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EB16D">
      <w:pPr>
        <w:pStyle w:val="2"/>
      </w:pPr>
      <w:r>
        <w:rPr>
          <w:rFonts w:hint="eastAsia"/>
          <w:sz w:val="48"/>
          <w:lang w:val="en-US" w:eastAsia="zh-CN"/>
        </w:rPr>
        <w:t>杭州市</w:t>
      </w:r>
      <w:r>
        <w:rPr>
          <w:sz w:val="48"/>
        </w:rPr>
        <w:t>人才政策、</w:t>
      </w:r>
      <w:r>
        <w:rPr>
          <w:rFonts w:hint="eastAsia"/>
          <w:sz w:val="48"/>
          <w:lang w:val="en-US" w:eastAsia="zh-CN"/>
        </w:rPr>
        <w:t>余杭区</w:t>
      </w:r>
      <w:r>
        <w:rPr>
          <w:sz w:val="48"/>
        </w:rPr>
        <w:t>海创未来</w:t>
      </w:r>
      <w:r>
        <w:rPr>
          <w:rFonts w:hint="eastAsia"/>
          <w:sz w:val="48"/>
          <w:lang w:val="en-US" w:eastAsia="zh-CN"/>
        </w:rPr>
        <w:t>政策</w:t>
      </w:r>
      <w:r>
        <w:rPr>
          <w:sz w:val="48"/>
        </w:rPr>
        <w:t>及一事一议政策沟通要点</w:t>
      </w:r>
      <w:bookmarkStart w:id="0" w:name="_GoBack"/>
      <w:bookmarkEnd w:id="0"/>
    </w:p>
    <w:p w14:paraId="14C9904C">
      <w:pPr>
        <w:pStyle w:val="5"/>
      </w:pPr>
      <w:r>
        <w:rPr>
          <w:b/>
        </w:rPr>
        <w:t>一、人才政策</w:t>
      </w:r>
    </w:p>
    <w:p w14:paraId="13B16417">
      <w:pPr>
        <w:pStyle w:val="5"/>
      </w:pPr>
      <w:r>
        <w:t>沟通对象：区人社部门。核心诉求：为符合条件的回国人才（回国不超过五年）争取国家/省/市千人计划推荐名额（含保送名额），并为人才单独申请一次性补贴。各级补贴标准如下：</w:t>
      </w:r>
    </w:p>
    <w:p w14:paraId="732AD571">
      <w:pPr>
        <w:pStyle w:val="5"/>
      </w:pPr>
    </w:p>
    <w:p w14:paraId="17598DD7">
      <w:pPr>
        <w:pStyle w:val="5"/>
      </w:pPr>
      <w:r>
        <w:t>国家千人计划：三年合计400万元（个人350万元+挂靠单位50万元）</w:t>
      </w:r>
    </w:p>
    <w:p w14:paraId="61A32F85">
      <w:pPr>
        <w:pStyle w:val="5"/>
      </w:pPr>
      <w:r>
        <w:drawing>
          <wp:inline distT="0" distB="0" distL="0" distR="0">
            <wp:extent cx="6502400" cy="32639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2432" cy="326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E6EB">
      <w:pPr>
        <w:pStyle w:val="5"/>
      </w:pPr>
    </w:p>
    <w:p w14:paraId="0941AAE7">
      <w:pPr>
        <w:pStyle w:val="5"/>
      </w:pPr>
      <w:r>
        <w:t>省千人计划：三年合计300万元（个人250万元+挂靠单位50万元）</w:t>
      </w:r>
    </w:p>
    <w:p w14:paraId="3746181D">
      <w:pPr>
        <w:pStyle w:val="5"/>
      </w:pPr>
      <w:r>
        <w:drawing>
          <wp:inline distT="0" distB="0" distL="0" distR="0">
            <wp:extent cx="7124700" cy="3792855"/>
            <wp:effectExtent l="0" t="0" r="0" b="4445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9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F338">
      <w:pPr>
        <w:pStyle w:val="5"/>
      </w:pPr>
    </w:p>
    <w:p w14:paraId="0CDA674A">
      <w:pPr>
        <w:pStyle w:val="5"/>
      </w:pPr>
      <w:r>
        <w:t>市千人计划（西湖明珠人才）：三年合计200万元（个人180万元+挂靠单位20万元）</w:t>
      </w:r>
    </w:p>
    <w:p w14:paraId="31B94159">
      <w:pPr>
        <w:pStyle w:val="5"/>
      </w:pPr>
      <w:r>
        <w:drawing>
          <wp:inline distT="0" distB="0" distL="0" distR="0">
            <wp:extent cx="7124700" cy="3638550"/>
            <wp:effectExtent l="0" t="0" r="0" b="635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6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C767">
      <w:pPr>
        <w:pStyle w:val="5"/>
      </w:pPr>
    </w:p>
    <w:p w14:paraId="244A8C9E">
      <w:pPr>
        <w:pStyle w:val="5"/>
      </w:pPr>
      <w:r>
        <w:rPr>
          <w:b/>
        </w:rPr>
        <w:t>二、海创未来领军人才</w:t>
      </w:r>
    </w:p>
    <w:p w14:paraId="5B0146D7">
      <w:pPr>
        <w:pStyle w:val="5"/>
      </w:pPr>
      <w:r>
        <w:t>顶尖人才：三年研发费用补贴3000万元+三年房租补贴600万元+直接认定2个C类人才名额</w:t>
      </w:r>
      <w:r>
        <w:rPr>
          <w:b/>
        </w:rPr>
        <w:t>（建议优先争取此档）</w:t>
      </w:r>
    </w:p>
    <w:p w14:paraId="5B077DD8">
      <w:pPr>
        <w:pStyle w:val="5"/>
      </w:pPr>
      <w:r>
        <w:t>领军人才：三年研发费用补贴1200万元+三年房租补贴300万元+直接认定2个D类人才名额</w:t>
      </w:r>
    </w:p>
    <w:p w14:paraId="4973BC35">
      <w:pPr>
        <w:pStyle w:val="5"/>
      </w:pPr>
      <w:r>
        <w:t>优秀人才：三年研发费用补贴600万元+三年房租补贴150万元（此档仅作参考，非重点争取方向）</w:t>
      </w:r>
    </w:p>
    <w:p w14:paraId="780816F1">
      <w:pPr>
        <w:pStyle w:val="5"/>
      </w:pPr>
      <w:r>
        <w:t>附：杭州市A-D类人才分类认定政策（详见下图）</w:t>
      </w:r>
    </w:p>
    <w:p w14:paraId="696505A6">
      <w:pPr>
        <w:pStyle w:val="5"/>
      </w:pPr>
      <w:r>
        <w:drawing>
          <wp:inline distT="0" distB="0" distL="0" distR="0">
            <wp:extent cx="7124700" cy="3472180"/>
            <wp:effectExtent l="0" t="0" r="0" b="762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4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3B0">
      <w:pPr>
        <w:pStyle w:val="5"/>
        <w:rPr>
          <w:rFonts w:hint="eastAsia"/>
        </w:rPr>
      </w:pPr>
    </w:p>
    <w:p w14:paraId="639692EF">
      <w:pPr>
        <w:pStyle w:val="5"/>
      </w:pPr>
      <w:r>
        <w:rPr>
          <w:b/>
        </w:rPr>
        <w:t>重要说明：上述各级人才政策（国家/省/市千人计划）与海创未来领军人才政策可同时申报、叠加享受，互不冲突。前提条件：人才须符合以下资格要求——在海外高校或科研机构任教，或在世界500强企业担任高级管理职位，且回国时间不超过五年。</w:t>
      </w:r>
    </w:p>
    <w:p w14:paraId="228FCEAA">
      <w:pPr>
        <w:pStyle w:val="5"/>
      </w:pPr>
      <w:r>
        <w:rPr>
          <w:b/>
        </w:rPr>
        <w:t>此外，同步向政府方面沟通国有资本投资入股事宜。</w:t>
      </w:r>
    </w:p>
    <w:p w14:paraId="01F8228F">
      <w:pPr>
        <w:pStyle w:val="5"/>
      </w:pPr>
    </w:p>
    <w:p w14:paraId="344537EE">
      <w:pPr>
        <w:pStyle w:val="5"/>
      </w:pPr>
    </w:p>
    <w:p w14:paraId="19459A27">
      <w:pPr>
        <w:pStyle w:val="5"/>
        <w:rPr>
          <w:rFonts w:hint="eastAsia"/>
        </w:rPr>
      </w:pPr>
      <w:r>
        <w:rPr>
          <w:rFonts w:hint="eastAsia"/>
        </w:rPr>
        <w:t>创新创业项目扶持政策：</w:t>
      </w:r>
    </w:p>
    <w:p w14:paraId="156977B8">
      <w:pPr>
        <w:pStyle w:val="5"/>
        <w:rPr>
          <w:rFonts w:hint="eastAsia"/>
        </w:rPr>
      </w:pPr>
      <w:r>
        <w:rPr>
          <w:rFonts w:hint="eastAsia"/>
        </w:rPr>
        <w:t>1️⃣三年可享受最高150万元工作场所租金补助，单个企业最高不超过50万元/年；（补助实缴租金的60%，最高不超过2.0元/天/㎡，人均补助面积10㎡）</w:t>
      </w:r>
    </w:p>
    <w:p w14:paraId="211F24FA">
      <w:pPr>
        <w:pStyle w:val="5"/>
        <w:rPr>
          <w:rFonts w:hint="eastAsia"/>
        </w:rPr>
      </w:pPr>
      <w:r>
        <w:rPr>
          <w:rFonts w:hint="eastAsia"/>
        </w:rPr>
        <w:t>2️⃣三年可享受最高600万元研发补助，具体为按实际购买研发设备的20%和实际研发费用的30%予以补助，单个企业最高不超过200万元/年 ；</w:t>
      </w:r>
    </w:p>
    <w:p w14:paraId="658FF063">
      <w:pPr>
        <w:pStyle w:val="5"/>
        <w:rPr>
          <w:rFonts w:hint="eastAsia"/>
        </w:rPr>
      </w:pPr>
      <w:r>
        <w:rPr>
          <w:rFonts w:hint="eastAsia"/>
        </w:rPr>
        <w:t>3️⃣三年可享受最高本金500万元贷款贴息，按上年最后一期LPR一年期利率的50%给予补贴；</w:t>
      </w:r>
    </w:p>
    <w:p w14:paraId="21792F3B">
      <w:pPr>
        <w:pStyle w:val="5"/>
        <w:rPr>
          <w:rFonts w:hint="eastAsia"/>
        </w:rPr>
      </w:pPr>
      <w:r>
        <w:rPr>
          <w:rFonts w:hint="eastAsia"/>
        </w:rPr>
        <w:t>4️⃣可享受政府产业引导基金支持，可申请最高1000万元的天使引导基金；</w:t>
      </w:r>
    </w:p>
    <w:p w14:paraId="34150FD7">
      <w:pPr>
        <w:pStyle w:val="5"/>
        <w:rPr>
          <w:rFonts w:hint="eastAsia"/>
        </w:rPr>
      </w:pPr>
      <w:r>
        <w:rPr>
          <w:rFonts w:hint="eastAsia"/>
        </w:rPr>
        <w:t>5️⃣可享受每年2万元的服务券补贴。</w:t>
      </w:r>
    </w:p>
    <w:p w14:paraId="59E9019A">
      <w:pPr>
        <w:pStyle w:val="5"/>
        <w:rPr>
          <w:b/>
        </w:rPr>
      </w:pPr>
    </w:p>
    <w:p w14:paraId="67D82DD3">
      <w:pPr>
        <w:pStyle w:val="5"/>
        <w:rPr>
          <w:b/>
        </w:rPr>
      </w:pPr>
    </w:p>
    <w:p w14:paraId="2752706A">
      <w:pPr>
        <w:pStyle w:val="5"/>
      </w:pPr>
      <w:r>
        <w:rPr>
          <w:b/>
        </w:rPr>
        <w:t>三、一事一议</w:t>
      </w:r>
    </w:p>
    <w:p w14:paraId="20AF4949">
      <w:pPr>
        <w:pStyle w:val="5"/>
      </w:pPr>
      <w:r>
        <w:rPr>
          <w:rFonts w:hint="eastAsia"/>
        </w:rPr>
        <w:t>考核的指标企业可以根据自身情况去争取，比如营税收比较弱尽量降低该指标要求，或者前期不考核</w:t>
      </w:r>
      <w:r>
        <w:rPr>
          <w:rFonts w:hint="eastAsia"/>
          <w:lang w:eastAsia="zh-CN"/>
        </w:rPr>
        <w:t>。</w:t>
      </w:r>
      <w:r>
        <w:t>核心原则：在政策框架内争取我方利益最大化。具体沟通要点如下：</w:t>
      </w:r>
    </w:p>
    <w:p w14:paraId="7F9B3787">
      <w:pPr>
        <w:pStyle w:val="5"/>
      </w:pPr>
      <w:r>
        <w:t>1、研发费用补贴比例：争取从现行30%提高至40%</w:t>
      </w:r>
    </w:p>
    <w:p w14:paraId="00AE3739">
      <w:pPr>
        <w:pStyle w:val="5"/>
      </w:pPr>
      <w:r>
        <w:t>2、房租补贴：争取实现100%全额覆盖</w:t>
      </w:r>
    </w:p>
    <w:p w14:paraId="36893EE1">
      <w:pPr>
        <w:pStyle w:val="5"/>
        <w:rPr>
          <w:rFonts w:hint="eastAsia" w:eastAsiaTheme="minorEastAsia"/>
          <w:lang w:eastAsia="zh-CN"/>
        </w:rPr>
      </w:pPr>
      <w:r>
        <w:t>3、人才计划名额：争取获得千人计划推荐乃至保送名额（详见第一部分）</w:t>
      </w:r>
      <w:r>
        <w:rPr>
          <w:rFonts w:hint="eastAsia"/>
          <w:lang w:eastAsia="zh-CN"/>
        </w:rPr>
        <w:t>，人才指标（省级人才，国家级人才，D类，C类，B类人才等）</w:t>
      </w:r>
    </w:p>
    <w:p w14:paraId="4A3E07EB">
      <w:pPr>
        <w:pStyle w:val="5"/>
      </w:pPr>
      <w:r>
        <w:t>4、国有资本投资：争取国有资本投资入股</w:t>
      </w:r>
    </w:p>
    <w:p w14:paraId="48C2A0EE">
      <w:pPr>
        <w:pStyle w:val="5"/>
      </w:pPr>
      <w:r>
        <w:t>5、金融支持：争取贷款贴息及银行预授信额度</w:t>
      </w:r>
    </w:p>
    <w:p w14:paraId="2EF4BB41">
      <w:pPr>
        <w:pStyle w:val="5"/>
      </w:pPr>
    </w:p>
    <w:p w14:paraId="1675A832">
      <w:pPr>
        <w:pStyle w:val="5"/>
      </w:pPr>
    </w:p>
    <w:p w14:paraId="54B47EA1">
      <w:pPr>
        <w:pStyle w:val="5"/>
        <w:rPr>
          <w:rFonts w:hint="eastAsia" w:eastAsiaTheme="minorEastAsia"/>
          <w:lang w:val="en-US" w:eastAsia="zh-CN"/>
        </w:rPr>
      </w:pPr>
    </w:p>
    <w:p w14:paraId="6DA4AD24">
      <w:pPr>
        <w:pStyle w:val="5"/>
      </w:pPr>
    </w:p>
    <w:p w14:paraId="6112ED6D"/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A82811"/>
    <w:rsid w:val="525F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qFormat/>
    <w:uiPriority w:val="9"/>
    <w:pPr>
      <w:keepNext/>
      <w:keepLines/>
      <w:spacing w:before="348" w:after="210"/>
      <w:outlineLvl w:val="0"/>
    </w:pPr>
    <w:rPr>
      <w:rFonts w:asciiTheme="minorHAnsi" w:hAnsiTheme="minorHAnsi" w:eastAsiaTheme="minorEastAsia" w:cstheme="minorBidi"/>
      <w:b/>
      <w:kern w:val="2"/>
      <w:sz w:val="3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dingdocnormal"/>
    <w:qFormat/>
    <w:uiPriority w:val="0"/>
    <w:rPr>
      <w:rFonts w:asciiTheme="minorHAnsi" w:hAnsiTheme="minorHAnsi" w:eastAsiaTheme="minorEastAsia" w:cstheme="minorBidi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682</Characters>
  <Lines>0</Lines>
  <Paragraphs>0</Paragraphs>
  <TotalTime>8</TotalTime>
  <ScaleCrop>false</ScaleCrop>
  <LinksUpToDate>false</LinksUpToDate>
  <CharactersWithSpaces>682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2026-07-24T07:10:00Z</dcterms:created>
  <dc:creator>Lenovo</dc:creator>
  <cp:lastModifiedBy>Anson</cp:lastModifiedBy>
  <dcterms:modified xsi:type="dcterms:W3CDTF">2026-07-24T07:20:58Z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eyJoZGlkIjoiMDljYzUzMWQ4OWI0YzBkYjYzMDRhZTY5ZjZkYmFmYTgiLCJ1c2VySWQiOiI0MzU1NzQ3NTQifQ==</vt:lpwstr>
  </property>
  <property fmtid="{D5CDD505-2E9C-101B-9397-08002B2CF9AE}" pid="4" name="ICV">
    <vt:lpwstr>FA6679485EA6426DA7C71CDB232370ED_12</vt:lpwstr>
  </property>
</Properties>
</file>