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4280C">
      <w:pPr>
        <w:spacing w:before="240" w:beforeLines="100" w:after="240" w:afterLines="100"/>
        <w:rPr>
          <w:rFonts w:hint="eastAsia" w:ascii="黑体" w:eastAsia="黑体"/>
          <w:b/>
          <w:bCs/>
          <w:spacing w:val="54"/>
          <w:sz w:val="18"/>
          <w:szCs w:val="18"/>
        </w:rPr>
      </w:pPr>
    </w:p>
    <w:p w14:paraId="28ACA585">
      <w:pPr>
        <w:spacing w:before="240" w:beforeLines="100" w:after="240" w:afterLines="100"/>
        <w:jc w:val="center"/>
        <w:rPr>
          <w:rFonts w:hint="eastAsia" w:ascii="黑体" w:eastAsia="黑体"/>
          <w:b/>
          <w:bCs/>
          <w:spacing w:val="40"/>
          <w:sz w:val="52"/>
        </w:rPr>
      </w:pPr>
      <w:r>
        <w:rPr>
          <w:rFonts w:hint="eastAsia" w:ascii="黑体" w:eastAsia="黑体"/>
          <w:b/>
          <w:bCs/>
          <w:spacing w:val="40"/>
          <w:sz w:val="52"/>
        </w:rPr>
        <w:t>余杭区“海创未来”人才项目</w:t>
      </w:r>
    </w:p>
    <w:p w14:paraId="6938A53E">
      <w:pPr>
        <w:spacing w:before="240" w:beforeLines="100" w:after="240" w:afterLines="100"/>
        <w:jc w:val="center"/>
        <w:rPr>
          <w:rFonts w:hint="eastAsia" w:ascii="黑体" w:eastAsia="黑体"/>
          <w:spacing w:val="40"/>
          <w:sz w:val="52"/>
        </w:rPr>
      </w:pPr>
      <w:r>
        <w:rPr>
          <w:rFonts w:hint="eastAsia" w:ascii="黑体" w:eastAsia="黑体"/>
          <w:b/>
          <w:bCs/>
          <w:spacing w:val="40"/>
          <w:sz w:val="52"/>
        </w:rPr>
        <w:t>企业发展任务书</w:t>
      </w:r>
      <w:r>
        <w:rPr>
          <w:rFonts w:hint="eastAsia" w:ascii="黑体" w:eastAsia="黑体"/>
          <w:spacing w:val="40"/>
          <w:sz w:val="52"/>
        </w:rPr>
        <w:t xml:space="preserve"> </w:t>
      </w:r>
    </w:p>
    <w:p w14:paraId="6B619D28">
      <w:pPr>
        <w:spacing w:before="240" w:beforeLines="100" w:after="240" w:afterLines="100"/>
        <w:ind w:firstLine="420" w:firstLineChars="0"/>
        <w:jc w:val="center"/>
        <w:rPr>
          <w:rFonts w:hint="eastAsia" w:ascii="黑体" w:eastAsia="黑体"/>
          <w:spacing w:val="40"/>
          <w:sz w:val="52"/>
          <w:lang w:val="en-US" w:eastAsia="zh-CN"/>
        </w:rPr>
      </w:pPr>
    </w:p>
    <w:p w14:paraId="1D1EB178">
      <w:pPr>
        <w:rPr>
          <w:rFonts w:ascii="仿宋_GB2312" w:eastAsia="仿宋_GB2312"/>
        </w:rPr>
      </w:pPr>
    </w:p>
    <w:p w14:paraId="04840E83">
      <w:pPr>
        <w:rPr>
          <w:rFonts w:ascii="仿宋_GB2312" w:eastAsia="仿宋_GB2312"/>
        </w:rPr>
      </w:pPr>
    </w:p>
    <w:p w14:paraId="277A627D">
      <w:pPr>
        <w:rPr>
          <w:rFonts w:ascii="仿宋_GB2312" w:eastAsia="仿宋_GB2312"/>
        </w:rPr>
      </w:pPr>
    </w:p>
    <w:p w14:paraId="3A23C802">
      <w:pPr>
        <w:rPr>
          <w:rFonts w:ascii="仿宋_GB2312" w:eastAsia="仿宋_GB2312"/>
        </w:rPr>
      </w:pPr>
      <w:r>
        <w:rPr>
          <w:rFonts w:ascii="仿宋_GB2312" w:eastAsia="仿宋_GB2312"/>
          <w:sz w:val="30"/>
        </w:rPr>
        <w:t xml:space="preserve">  </w:t>
      </w:r>
    </w:p>
    <w:tbl>
      <w:tblPr>
        <w:tblStyle w:val="6"/>
        <w:tblW w:w="8165" w:type="dxa"/>
        <w:tblInd w:w="8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4"/>
        <w:gridCol w:w="5451"/>
      </w:tblGrid>
      <w:tr w14:paraId="65DC5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165" w:type="dxa"/>
            <w:gridSpan w:val="2"/>
            <w:tcBorders>
              <w:top w:val="nil"/>
              <w:left w:val="nil"/>
              <w:bottom w:val="nil"/>
              <w:right w:val="nil"/>
            </w:tcBorders>
            <w:vAlign w:val="top"/>
          </w:tcPr>
          <w:p w14:paraId="39183337">
            <w:pPr>
              <w:jc w:val="left"/>
              <w:rPr>
                <w:rFonts w:ascii="仿宋_GB2312" w:eastAsia="仿宋_GB2312"/>
                <w:vertAlign w:val="baseline"/>
              </w:rPr>
            </w:pPr>
            <w:r>
              <w:rPr>
                <w:rFonts w:hint="eastAsia" w:ascii="仿宋_GB2312" w:eastAsia="仿宋_GB2312"/>
                <w:sz w:val="30"/>
              </w:rPr>
              <w:t>所 属 领 域:</w:t>
            </w:r>
            <w:r>
              <w:rPr>
                <w:rFonts w:hint="eastAsia" w:ascii="仿宋_GB2312" w:eastAsia="仿宋_GB2312"/>
                <w:sz w:val="30"/>
                <w:lang w:val="en-US" w:eastAsia="zh-CN"/>
              </w:rPr>
              <w:t xml:space="preserve"> </w:t>
            </w:r>
            <w:r>
              <w:rPr>
                <w:rFonts w:hint="eastAsia" w:ascii="仿宋_GB2312" w:eastAsia="仿宋_GB2312"/>
                <w:sz w:val="30"/>
                <w:u w:val="single"/>
              </w:rPr>
              <w:t xml:space="preserve"> </w:t>
            </w:r>
            <w:r>
              <w:rPr>
                <w:rFonts w:hint="eastAsia" w:ascii="仿宋_GB2312" w:eastAsia="仿宋_GB2312"/>
                <w:sz w:val="30"/>
                <w:u w:val="single"/>
                <w:lang w:val="en-US" w:eastAsia="zh-CN"/>
              </w:rPr>
              <w:t>智能物联</w:t>
            </w:r>
            <w:r>
              <w:rPr>
                <w:rFonts w:hint="eastAsia" w:ascii="仿宋_GB2312" w:eastAsia="仿宋_GB2312"/>
                <w:sz w:val="30"/>
                <w:u w:val="single"/>
              </w:rPr>
              <w:t xml:space="preserve">                                   </w:t>
            </w:r>
          </w:p>
        </w:tc>
      </w:tr>
      <w:tr w14:paraId="4CEB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165" w:type="dxa"/>
            <w:gridSpan w:val="2"/>
            <w:tcBorders>
              <w:top w:val="nil"/>
              <w:left w:val="nil"/>
              <w:bottom w:val="nil"/>
              <w:right w:val="nil"/>
            </w:tcBorders>
            <w:vAlign w:val="top"/>
          </w:tcPr>
          <w:p w14:paraId="532D64A3">
            <w:pPr>
              <w:jc w:val="left"/>
              <w:rPr>
                <w:rFonts w:ascii="仿宋_GB2312" w:eastAsia="仿宋_GB2312"/>
                <w:vertAlign w:val="baseline"/>
              </w:rPr>
            </w:pPr>
            <w:r>
              <w:rPr>
                <w:rFonts w:hint="eastAsia" w:ascii="仿宋_GB2312" w:eastAsia="仿宋_GB2312"/>
                <w:sz w:val="30"/>
              </w:rPr>
              <w:t>项 目 名 称：</w:t>
            </w:r>
            <w:r>
              <w:rPr>
                <w:rFonts w:hint="eastAsia" w:ascii="仿宋_GB2312" w:eastAsia="仿宋_GB2312"/>
                <w:sz w:val="30"/>
                <w:u w:val="single"/>
              </w:rPr>
              <w:t xml:space="preserve"> </w:t>
            </w:r>
            <w:r>
              <w:rPr>
                <w:rFonts w:hint="eastAsia" w:ascii="仿宋_GB2312" w:eastAsia="仿宋_GB2312"/>
                <w:sz w:val="30"/>
                <w:u w:val="single"/>
                <w:lang w:val="en-US" w:eastAsia="zh-CN"/>
              </w:rPr>
              <w:t>面向低空经济适航检测的不确定性量化（UQ）技术研发与产业化</w:t>
            </w:r>
            <w:r>
              <w:rPr>
                <w:rFonts w:hint="eastAsia" w:ascii="仿宋_GB2312" w:eastAsia="仿宋_GB2312"/>
                <w:sz w:val="30"/>
                <w:u w:val="single"/>
              </w:rPr>
              <w:t xml:space="preserve">                                   </w:t>
            </w:r>
          </w:p>
        </w:tc>
      </w:tr>
      <w:tr w14:paraId="4E52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165" w:type="dxa"/>
            <w:gridSpan w:val="2"/>
            <w:tcBorders>
              <w:top w:val="nil"/>
              <w:left w:val="nil"/>
              <w:bottom w:val="nil"/>
              <w:right w:val="nil"/>
            </w:tcBorders>
            <w:vAlign w:val="top"/>
          </w:tcPr>
          <w:p w14:paraId="67541FE1">
            <w:pPr>
              <w:jc w:val="left"/>
              <w:rPr>
                <w:rFonts w:ascii="仿宋_GB2312" w:eastAsia="仿宋_GB2312"/>
                <w:vertAlign w:val="baseline"/>
              </w:rPr>
            </w:pPr>
            <w:r>
              <w:rPr>
                <w:rFonts w:hint="eastAsia" w:ascii="仿宋_GB2312" w:eastAsia="仿宋_GB2312"/>
                <w:sz w:val="30"/>
              </w:rPr>
              <w:t>项 目申请人：</w:t>
            </w:r>
            <w:r>
              <w:rPr>
                <w:rFonts w:hint="eastAsia" w:ascii="仿宋_GB2312" w:eastAsia="仿宋_GB2312"/>
                <w:sz w:val="30"/>
                <w:u w:val="single"/>
              </w:rPr>
              <w:t xml:space="preserve"> </w:t>
            </w:r>
            <w:r>
              <w:rPr>
                <w:rFonts w:hint="eastAsia" w:ascii="仿宋_GB2312" w:eastAsia="仿宋_GB2312"/>
                <w:sz w:val="30"/>
                <w:u w:val="single"/>
                <w:lang w:val="en-US" w:eastAsia="zh-CN"/>
              </w:rPr>
              <w:t>杨星辰</w:t>
            </w:r>
            <w:r>
              <w:rPr>
                <w:rFonts w:hint="eastAsia" w:ascii="仿宋_GB2312" w:eastAsia="仿宋_GB2312"/>
                <w:sz w:val="30"/>
                <w:u w:val="single"/>
              </w:rPr>
              <w:t xml:space="preserve">                                            </w:t>
            </w:r>
          </w:p>
        </w:tc>
      </w:tr>
      <w:tr w14:paraId="6C5C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165" w:type="dxa"/>
            <w:gridSpan w:val="2"/>
            <w:tcBorders>
              <w:top w:val="nil"/>
              <w:left w:val="nil"/>
              <w:bottom w:val="nil"/>
              <w:right w:val="nil"/>
            </w:tcBorders>
            <w:vAlign w:val="top"/>
          </w:tcPr>
          <w:p w14:paraId="38D4CC9E">
            <w:pPr>
              <w:jc w:val="left"/>
              <w:rPr>
                <w:rFonts w:ascii="仿宋_GB2312" w:eastAsia="仿宋_GB2312"/>
                <w:vertAlign w:val="baseline"/>
              </w:rPr>
            </w:pPr>
            <w:r>
              <w:rPr>
                <w:rFonts w:hint="eastAsia" w:ascii="仿宋_GB2312" w:eastAsia="仿宋_GB2312"/>
                <w:sz w:val="30"/>
              </w:rPr>
              <w:t>项 目 编 号：</w:t>
            </w:r>
            <w:r>
              <w:rPr>
                <w:rFonts w:hint="eastAsia" w:ascii="仿宋_GB2312" w:eastAsia="仿宋_GB2312"/>
                <w:sz w:val="30"/>
                <w:u w:val="single"/>
              </w:rPr>
              <w:t xml:space="preserve"> </w:t>
            </w:r>
            <w:r>
              <w:rPr>
                <w:rFonts w:hint="eastAsia" w:ascii="仿宋_GB2312" w:eastAsia="仿宋_GB2312"/>
                <w:sz w:val="30"/>
                <w:u w:val="single"/>
                <w:lang w:val="en-US" w:eastAsia="zh-CN"/>
              </w:rPr>
              <w:t>HCWL-LJXM-0294</w:t>
            </w:r>
            <w:r>
              <w:rPr>
                <w:rFonts w:hint="eastAsia" w:ascii="仿宋_GB2312" w:eastAsia="仿宋_GB2312"/>
                <w:sz w:val="30"/>
                <w:u w:val="single"/>
              </w:rPr>
              <w:t xml:space="preserve">                                                               </w:t>
            </w:r>
          </w:p>
        </w:tc>
      </w:tr>
      <w:tr w14:paraId="689A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165" w:type="dxa"/>
            <w:gridSpan w:val="2"/>
            <w:tcBorders>
              <w:top w:val="nil"/>
              <w:left w:val="nil"/>
              <w:bottom w:val="nil"/>
              <w:right w:val="nil"/>
            </w:tcBorders>
            <w:vAlign w:val="top"/>
          </w:tcPr>
          <w:p w14:paraId="287A1BE7">
            <w:pPr>
              <w:jc w:val="left"/>
              <w:rPr>
                <w:rFonts w:ascii="仿宋_GB2312" w:eastAsia="仿宋_GB2312"/>
                <w:vertAlign w:val="baseline"/>
              </w:rPr>
            </w:pPr>
            <w:r>
              <w:rPr>
                <w:rFonts w:hint="eastAsia" w:ascii="仿宋_GB2312" w:eastAsia="仿宋_GB2312"/>
                <w:sz w:val="30"/>
              </w:rPr>
              <w:t>评 定 类 型：</w:t>
            </w:r>
            <w:r>
              <w:rPr>
                <w:rFonts w:hint="eastAsia" w:ascii="仿宋_GB2312" w:eastAsia="仿宋_GB2312"/>
                <w:sz w:val="30"/>
                <w:u w:val="single"/>
              </w:rPr>
              <w:t xml:space="preserve"> </w:t>
            </w:r>
            <w:r>
              <w:rPr>
                <w:rFonts w:hint="eastAsia" w:ascii="仿宋_GB2312" w:eastAsia="仿宋_GB2312"/>
                <w:sz w:val="30"/>
                <w:u w:val="single"/>
                <w:lang w:val="en-US" w:eastAsia="zh-CN"/>
              </w:rPr>
              <w:t>领军人才项目</w:t>
            </w:r>
            <w:r>
              <w:rPr>
                <w:rFonts w:hint="eastAsia" w:ascii="仿宋_GB2312" w:eastAsia="仿宋_GB2312"/>
                <w:sz w:val="30"/>
                <w:u w:val="single"/>
              </w:rPr>
              <w:t xml:space="preserve">                                  </w:t>
            </w:r>
          </w:p>
        </w:tc>
      </w:tr>
      <w:tr w14:paraId="725A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714" w:type="dxa"/>
            <w:tcBorders>
              <w:top w:val="nil"/>
              <w:left w:val="nil"/>
              <w:bottom w:val="nil"/>
              <w:right w:val="nil"/>
            </w:tcBorders>
            <w:vAlign w:val="top"/>
          </w:tcPr>
          <w:p w14:paraId="24AED2D7">
            <w:pPr>
              <w:jc w:val="left"/>
              <w:rPr>
                <w:rFonts w:ascii="仿宋_GB2312" w:eastAsia="仿宋_GB2312"/>
                <w:vertAlign w:val="baseline"/>
              </w:rPr>
            </w:pPr>
            <w:r>
              <w:rPr>
                <w:rFonts w:hint="eastAsia" w:ascii="仿宋_GB2312" w:eastAsia="仿宋_GB2312"/>
                <w:sz w:val="30"/>
              </w:rPr>
              <w:t>甲方（管理部门）：</w:t>
            </w:r>
          </w:p>
        </w:tc>
        <w:tc>
          <w:tcPr>
            <w:tcW w:w="5451" w:type="dxa"/>
            <w:tcBorders>
              <w:top w:val="nil"/>
              <w:left w:val="nil"/>
              <w:bottom w:val="nil"/>
              <w:right w:val="nil"/>
            </w:tcBorders>
            <w:vAlign w:val="top"/>
          </w:tcPr>
          <w:p w14:paraId="08B46BC9">
            <w:pPr>
              <w:jc w:val="left"/>
              <w:rPr>
                <w:rFonts w:ascii="仿宋_GB2312" w:eastAsia="仿宋_GB2312"/>
                <w:vertAlign w:val="baseline"/>
              </w:rPr>
            </w:pPr>
            <w:r>
              <w:rPr>
                <w:rFonts w:hint="eastAsia" w:ascii="仿宋_GB2312" w:eastAsia="仿宋_GB2312"/>
                <w:sz w:val="30"/>
                <w:u w:val="single"/>
                <w:lang w:val="en-US" w:eastAsia="zh-CN"/>
              </w:rPr>
              <w:t>未来科技城</w:t>
            </w:r>
            <w:r>
              <w:rPr>
                <w:rFonts w:hint="eastAsia" w:ascii="仿宋_GB2312" w:eastAsia="仿宋_GB2312"/>
                <w:sz w:val="30"/>
                <w:u w:val="single"/>
              </w:rPr>
              <w:t xml:space="preserve">                                  </w:t>
            </w:r>
          </w:p>
        </w:tc>
      </w:tr>
      <w:tr w14:paraId="3931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2714" w:type="dxa"/>
            <w:tcBorders>
              <w:top w:val="nil"/>
              <w:left w:val="nil"/>
              <w:bottom w:val="nil"/>
              <w:right w:val="nil"/>
            </w:tcBorders>
            <w:vAlign w:val="top"/>
          </w:tcPr>
          <w:p w14:paraId="16887FD8">
            <w:pPr>
              <w:jc w:val="left"/>
              <w:rPr>
                <w:rFonts w:ascii="仿宋_GB2312" w:eastAsia="仿宋_GB2312"/>
                <w:vertAlign w:val="baseline"/>
              </w:rPr>
            </w:pPr>
            <w:r>
              <w:rPr>
                <w:rFonts w:hint="eastAsia" w:ascii="仿宋_GB2312" w:eastAsia="仿宋_GB2312"/>
                <w:sz w:val="30"/>
              </w:rPr>
              <w:t>乙方（承担单位）：</w:t>
            </w:r>
          </w:p>
        </w:tc>
        <w:tc>
          <w:tcPr>
            <w:tcW w:w="5451" w:type="dxa"/>
            <w:tcBorders>
              <w:top w:val="nil"/>
              <w:left w:val="nil"/>
              <w:bottom w:val="nil"/>
              <w:right w:val="nil"/>
            </w:tcBorders>
            <w:vAlign w:val="top"/>
          </w:tcPr>
          <w:p w14:paraId="6DACEB00">
            <w:pPr>
              <w:jc w:val="left"/>
              <w:rPr>
                <w:rFonts w:ascii="仿宋_GB2312" w:eastAsia="仿宋_GB2312"/>
                <w:vertAlign w:val="baseline"/>
              </w:rPr>
            </w:pPr>
            <w:r>
              <w:rPr>
                <w:rFonts w:hint="eastAsia" w:ascii="仿宋_GB2312" w:eastAsia="仿宋_GB2312"/>
                <w:sz w:val="30"/>
                <w:u w:val="single"/>
                <w:lang w:val="en-US" w:eastAsia="zh-CN"/>
              </w:rPr>
              <w:t>杭州紫深智测技术有限公司</w:t>
            </w:r>
            <w:r>
              <w:rPr>
                <w:rFonts w:hint="eastAsia" w:ascii="仿宋_GB2312" w:eastAsia="仿宋_GB2312"/>
                <w:sz w:val="30"/>
                <w:u w:val="single"/>
              </w:rPr>
              <w:t xml:space="preserve">                                  </w:t>
            </w:r>
          </w:p>
        </w:tc>
      </w:tr>
    </w:tbl>
    <w:p w14:paraId="48966656">
      <w:pPr>
        <w:jc w:val="left"/>
        <w:rPr>
          <w:rFonts w:eastAsia="仿宋_GB2312"/>
          <w:sz w:val="30"/>
        </w:rPr>
      </w:pPr>
    </w:p>
    <w:p w14:paraId="0331D755">
      <w:pPr>
        <w:jc w:val="left"/>
        <w:rPr>
          <w:rFonts w:eastAsia="仿宋_GB2312"/>
          <w:sz w:val="30"/>
        </w:rPr>
      </w:pPr>
      <w:r>
        <w:rPr>
          <w:rFonts w:eastAsia="仿宋_GB2312"/>
          <w:sz w:val="30"/>
        </w:rPr>
        <w:t>项目执行期（任务期）：</w:t>
      </w:r>
      <w:r>
        <w:rPr>
          <w:rFonts w:hint="eastAsia" w:eastAsia="仿宋_GB2312"/>
          <w:sz w:val="30"/>
          <w:u w:val="single"/>
          <w:lang w:val="en-US" w:eastAsia="zh-CN"/>
        </w:rPr>
        <w:t>2026</w:t>
      </w:r>
      <w:r>
        <w:rPr>
          <w:rFonts w:eastAsia="仿宋_GB2312"/>
          <w:sz w:val="30"/>
        </w:rPr>
        <w:t>年</w:t>
      </w:r>
      <w:r>
        <w:rPr>
          <w:rFonts w:hint="eastAsia" w:eastAsia="仿宋_GB2312"/>
          <w:sz w:val="30"/>
          <w:u w:val="single"/>
          <w:lang w:val="en-US" w:eastAsia="zh-CN"/>
        </w:rPr>
        <w:t>7</w:t>
      </w:r>
      <w:r>
        <w:rPr>
          <w:rFonts w:eastAsia="仿宋_GB2312"/>
          <w:sz w:val="30"/>
        </w:rPr>
        <w:t>月</w:t>
      </w:r>
      <w:r>
        <w:rPr>
          <w:rFonts w:hint="eastAsia" w:eastAsia="仿宋_GB2312"/>
          <w:sz w:val="30"/>
          <w:u w:val="single"/>
          <w:lang w:val="en-US" w:eastAsia="zh-CN"/>
        </w:rPr>
        <w:t>24</w:t>
      </w:r>
      <w:r>
        <w:rPr>
          <w:rFonts w:eastAsia="仿宋_GB2312"/>
          <w:sz w:val="30"/>
        </w:rPr>
        <w:t xml:space="preserve">日 至 </w:t>
      </w:r>
      <w:r>
        <w:rPr>
          <w:rFonts w:hint="eastAsia" w:eastAsia="仿宋_GB2312"/>
          <w:sz w:val="30"/>
          <w:u w:val="single"/>
          <w:lang w:val="en-US" w:eastAsia="zh-CN"/>
        </w:rPr>
        <w:t>2029</w:t>
      </w:r>
      <w:r>
        <w:rPr>
          <w:rFonts w:eastAsia="仿宋_GB2312"/>
          <w:sz w:val="30"/>
        </w:rPr>
        <w:t>年</w:t>
      </w:r>
      <w:r>
        <w:rPr>
          <w:rFonts w:hint="eastAsia" w:eastAsia="仿宋_GB2312"/>
          <w:sz w:val="30"/>
          <w:u w:val="single"/>
          <w:lang w:val="en-US" w:eastAsia="zh-CN"/>
        </w:rPr>
        <w:t>7</w:t>
      </w:r>
      <w:r>
        <w:rPr>
          <w:rFonts w:eastAsia="仿宋_GB2312"/>
          <w:sz w:val="30"/>
        </w:rPr>
        <w:t>月</w:t>
      </w:r>
      <w:r>
        <w:rPr>
          <w:rFonts w:hint="eastAsia" w:eastAsia="仿宋_GB2312"/>
          <w:sz w:val="30"/>
          <w:u w:val="single"/>
          <w:lang w:val="en-US" w:eastAsia="zh-CN"/>
        </w:rPr>
        <w:t>23</w:t>
      </w:r>
      <w:r>
        <w:rPr>
          <w:rFonts w:eastAsia="仿宋_GB2312"/>
          <w:sz w:val="30"/>
        </w:rPr>
        <w:t xml:space="preserve">日 </w:t>
      </w:r>
    </w:p>
    <w:p w14:paraId="0F6A28F3">
      <w:pPr>
        <w:rPr>
          <w:rFonts w:hint="eastAsia" w:ascii="仿宋_GB2312" w:eastAsia="仿宋_GB2312"/>
        </w:rPr>
      </w:pPr>
    </w:p>
    <w:p w14:paraId="19B0592F">
      <w:pPr>
        <w:rPr>
          <w:rFonts w:hint="eastAsia" w:ascii="仿宋_GB2312" w:eastAsia="仿宋_GB2312"/>
        </w:rPr>
      </w:pPr>
    </w:p>
    <w:p w14:paraId="00DE4CA0">
      <w:pPr>
        <w:rPr>
          <w:rFonts w:ascii="仿宋_GB2312" w:eastAsia="仿宋_GB2312"/>
        </w:rPr>
      </w:pPr>
      <w:bookmarkStart w:id="0" w:name="_GoBack"/>
      <w:bookmarkEnd w:id="0"/>
    </w:p>
    <w:p w14:paraId="1B9256B5">
      <w:pPr>
        <w:jc w:val="center"/>
        <w:rPr>
          <w:rFonts w:ascii="仿宋_GB2312" w:eastAsia="仿宋_GB2312"/>
          <w:spacing w:val="20"/>
          <w:sz w:val="32"/>
          <w:szCs w:val="32"/>
        </w:rPr>
      </w:pPr>
      <w:r>
        <w:rPr>
          <w:rFonts w:hint="eastAsia" w:ascii="仿宋_GB2312" w:eastAsia="仿宋_GB2312"/>
          <w:spacing w:val="20"/>
          <w:sz w:val="32"/>
          <w:szCs w:val="32"/>
        </w:rPr>
        <w:t>中共杭州市余杭区委人才工作领导小组办公室</w:t>
      </w:r>
    </w:p>
    <w:p w14:paraId="1566EC3F">
      <w:pPr>
        <w:jc w:val="center"/>
        <w:rPr>
          <w:rFonts w:ascii="仿宋_GB2312" w:eastAsia="仿宋_GB2312"/>
          <w:sz w:val="30"/>
        </w:rPr>
      </w:pPr>
    </w:p>
    <w:p w14:paraId="48D20936">
      <w:pPr>
        <w:jc w:val="center"/>
        <w:rPr>
          <w:rFonts w:hint="eastAsia" w:ascii="仿宋_GB2312" w:eastAsia="仿宋_GB2312"/>
          <w:sz w:val="30"/>
        </w:rPr>
      </w:pPr>
      <w:r>
        <w:rPr>
          <w:rFonts w:hint="eastAsia" w:ascii="仿宋_GB2312" w:eastAsia="仿宋_GB2312"/>
          <w:sz w:val="30"/>
        </w:rPr>
        <w:t xml:space="preserve">二 ○ 二 </w:t>
      </w:r>
      <w:r>
        <w:rPr>
          <w:rFonts w:hint="eastAsia" w:ascii="仿宋_GB2312" w:eastAsia="仿宋_GB2312"/>
          <w:sz w:val="30"/>
          <w:lang w:val="en-US" w:eastAsia="zh-CN"/>
        </w:rPr>
        <w:t>六</w:t>
      </w:r>
      <w:r>
        <w:rPr>
          <w:rFonts w:hint="eastAsia" w:ascii="仿宋_GB2312" w:eastAsia="仿宋_GB2312"/>
          <w:sz w:val="30"/>
        </w:rPr>
        <w:t xml:space="preserve"> 年</w:t>
      </w:r>
    </w:p>
    <w:p w14:paraId="24C4F70A">
      <w:pPr>
        <w:jc w:val="center"/>
        <w:rPr>
          <w:rFonts w:hint="eastAsia" w:ascii="仿宋_GB2312" w:eastAsia="仿宋_GB2312"/>
          <w:b/>
          <w:bCs/>
          <w:sz w:val="36"/>
        </w:rPr>
        <w:sectPr>
          <w:headerReference r:id="rId4" w:type="first"/>
          <w:footerReference r:id="rId7" w:type="first"/>
          <w:headerReference r:id="rId3" w:type="default"/>
          <w:footerReference r:id="rId5" w:type="default"/>
          <w:footerReference r:id="rId6" w:type="even"/>
          <w:pgSz w:w="11906" w:h="16838"/>
          <w:pgMar w:top="2098" w:right="1474" w:bottom="1984" w:left="1587" w:header="708" w:footer="708" w:gutter="0"/>
          <w:pgBorders>
            <w:top w:val="none" w:sz="0" w:space="0"/>
            <w:left w:val="none" w:sz="0" w:space="0"/>
            <w:bottom w:val="none" w:sz="0" w:space="0"/>
            <w:right w:val="none" w:sz="0" w:space="0"/>
          </w:pgBorders>
          <w:pgNumType w:fmt="numberInDash" w:start="1"/>
          <w:cols w:space="720" w:num="1"/>
          <w:titlePg/>
          <w:docGrid w:linePitch="360" w:charSpace="0"/>
        </w:sectPr>
      </w:pPr>
    </w:p>
    <w:p w14:paraId="29E2E136">
      <w:pPr>
        <w:pStyle w:val="2"/>
        <w:widowControl/>
        <w:spacing w:line="360" w:lineRule="auto"/>
        <w:ind w:firstLine="0"/>
        <w:rPr>
          <w:rFonts w:hint="eastAsia" w:ascii="黑体" w:hAnsi="黑体" w:eastAsia="黑体" w:cs="黑体"/>
          <w:sz w:val="32"/>
          <w:szCs w:val="32"/>
          <w:lang w:eastAsia="zh-CN"/>
        </w:rPr>
      </w:pPr>
      <w:r>
        <w:rPr>
          <w:rFonts w:hint="eastAsia" w:ascii="黑体" w:hAnsi="黑体" w:eastAsia="黑体" w:cs="黑体"/>
          <w:sz w:val="32"/>
          <w:szCs w:val="32"/>
          <w:lang w:eastAsia="zh-CN"/>
        </w:rPr>
        <w:drawing>
          <wp:inline distT="0" distB="0" distL="114300" distR="114300">
            <wp:extent cx="5609590" cy="7809865"/>
            <wp:effectExtent l="0" t="0" r="13970" b="8255"/>
            <wp:docPr id="2" name="图片 2" descr="49fea95056a8f268361e46cfb123b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9fea95056a8f268361e46cfb123bf91"/>
                    <pic:cNvPicPr>
                      <a:picLocks noChangeAspect="1"/>
                    </pic:cNvPicPr>
                  </pic:nvPicPr>
                  <pic:blipFill>
                    <a:blip r:embed="rId14"/>
                    <a:srcRect b="7324"/>
                    <a:stretch>
                      <a:fillRect/>
                    </a:stretch>
                  </pic:blipFill>
                  <pic:spPr>
                    <a:xfrm>
                      <a:off x="0" y="0"/>
                      <a:ext cx="5609590" cy="7809865"/>
                    </a:xfrm>
                    <a:prstGeom prst="rect">
                      <a:avLst/>
                    </a:prstGeom>
                  </pic:spPr>
                </pic:pic>
              </a:graphicData>
            </a:graphic>
          </wp:inline>
        </w:drawing>
      </w:r>
    </w:p>
    <w:p w14:paraId="5522B155">
      <w:pPr>
        <w:pStyle w:val="2"/>
        <w:widowControl/>
        <w:spacing w:line="360" w:lineRule="auto"/>
        <w:ind w:firstLine="0"/>
        <w:rPr>
          <w:sz w:val="32"/>
          <w:szCs w:val="32"/>
        </w:rPr>
      </w:pPr>
      <w:r>
        <w:rPr>
          <w:rFonts w:hint="eastAsia" w:ascii="黑体" w:hAnsi="黑体" w:eastAsia="黑体" w:cs="黑体"/>
          <w:sz w:val="32"/>
          <w:szCs w:val="32"/>
        </w:rPr>
        <w:t>一、项目领衔人才基本情况</w:t>
      </w:r>
    </w:p>
    <w:tbl>
      <w:tblPr>
        <w:tblStyle w:val="5"/>
        <w:tblpPr w:leftFromText="180" w:rightFromText="180" w:vertAnchor="text" w:horzAnchor="page" w:tblpX="1197" w:tblpY="8"/>
        <w:tblOverlap w:val="never"/>
        <w:tblW w:w="963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7"/>
        <w:gridCol w:w="1750"/>
        <w:gridCol w:w="594"/>
        <w:gridCol w:w="1320"/>
        <w:gridCol w:w="6"/>
        <w:gridCol w:w="1326"/>
        <w:gridCol w:w="122"/>
        <w:gridCol w:w="575"/>
        <w:gridCol w:w="629"/>
        <w:gridCol w:w="638"/>
        <w:gridCol w:w="283"/>
        <w:gridCol w:w="1623"/>
      </w:tblGrid>
      <w:tr w14:paraId="77841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exact"/>
        </w:trPr>
        <w:tc>
          <w:tcPr>
            <w:tcW w:w="2517" w:type="dxa"/>
            <w:gridSpan w:val="2"/>
            <w:vAlign w:val="center"/>
          </w:tcPr>
          <w:p w14:paraId="1C663E22">
            <w:pPr>
              <w:jc w:val="center"/>
              <w:rPr>
                <w:rFonts w:hint="eastAsia" w:ascii="仿宋_GB2312" w:eastAsia="仿宋_GB2312"/>
              </w:rPr>
            </w:pPr>
            <w:r>
              <w:rPr>
                <w:rFonts w:hint="eastAsia" w:ascii="仿宋_GB2312" w:eastAsia="仿宋_GB2312"/>
              </w:rPr>
              <w:t>有效证件姓名</w:t>
            </w:r>
          </w:p>
        </w:tc>
        <w:tc>
          <w:tcPr>
            <w:tcW w:w="1914" w:type="dxa"/>
            <w:gridSpan w:val="2"/>
            <w:vAlign w:val="center"/>
          </w:tcPr>
          <w:p w14:paraId="4F466AF6">
            <w:pPr>
              <w:jc w:val="center"/>
              <w:rPr>
                <w:rFonts w:hint="default" w:ascii="仿宋_GB2312" w:eastAsia="仿宋_GB2312"/>
                <w:lang w:val="en-US" w:eastAsia="zh-CN"/>
              </w:rPr>
            </w:pPr>
            <w:r>
              <w:rPr>
                <w:rFonts w:hint="eastAsia" w:ascii="仿宋_GB2312" w:eastAsia="仿宋_GB2312"/>
                <w:lang w:val="en-US" w:eastAsia="zh-CN"/>
              </w:rPr>
              <w:t>杨星辰</w:t>
            </w:r>
          </w:p>
        </w:tc>
        <w:tc>
          <w:tcPr>
            <w:tcW w:w="1454" w:type="dxa"/>
            <w:gridSpan w:val="3"/>
            <w:vAlign w:val="center"/>
          </w:tcPr>
          <w:p w14:paraId="29BAF34A">
            <w:pPr>
              <w:jc w:val="center"/>
              <w:rPr>
                <w:rFonts w:hint="eastAsia" w:ascii="仿宋_GB2312" w:eastAsia="仿宋_GB2312"/>
              </w:rPr>
            </w:pPr>
            <w:r>
              <w:rPr>
                <w:rFonts w:hint="eastAsia" w:ascii="仿宋_GB2312" w:eastAsia="仿宋_GB2312"/>
              </w:rPr>
              <w:t>性别</w:t>
            </w:r>
          </w:p>
        </w:tc>
        <w:tc>
          <w:tcPr>
            <w:tcW w:w="1842" w:type="dxa"/>
            <w:gridSpan w:val="3"/>
            <w:vAlign w:val="center"/>
          </w:tcPr>
          <w:p w14:paraId="7C455813">
            <w:pPr>
              <w:jc w:val="both"/>
              <w:rPr>
                <w:rFonts w:hint="default" w:ascii="仿宋_GB2312" w:eastAsia="仿宋_GB2312"/>
                <w:lang w:val="en-US" w:eastAsia="zh-CN"/>
              </w:rPr>
            </w:pPr>
            <w:r>
              <w:rPr>
                <w:rFonts w:hint="eastAsia" w:ascii="仿宋_GB2312" w:eastAsia="仿宋_GB2312"/>
                <w:lang w:val="en-US" w:eastAsia="zh-CN"/>
              </w:rPr>
              <w:t xml:space="preserve">      </w:t>
            </w:r>
            <w:r>
              <w:rPr>
                <w:rFonts w:ascii="仿宋_GB2312" w:eastAsia="仿宋_GB2312"/>
                <w:u w:color="auto"/>
              </w:rPr>
              <w:t>男</w:t>
            </w:r>
          </w:p>
        </w:tc>
        <w:tc>
          <w:tcPr>
            <w:tcW w:w="1906" w:type="dxa"/>
            <w:gridSpan w:val="2"/>
            <w:vMerge w:val="restart"/>
            <w:vAlign w:val="center"/>
          </w:tcPr>
          <w:p w14:paraId="2E8D70BE">
            <w:pPr>
              <w:jc w:val="center"/>
              <w:rPr>
                <w:rFonts w:hint="default" w:ascii="仿宋_GB2312" w:eastAsia="仿宋_GB2312"/>
                <w:lang w:val="en-US" w:eastAsia="zh-CN"/>
              </w:rPr>
            </w:pPr>
            <w:r>
              <w:rPr>
                <w:rFonts w:hint="eastAsia" w:ascii="仿宋_GB2312" w:eastAsia="仿宋_GB2312"/>
                <w:lang w:val="en-US" w:eastAsia="zh-CN"/>
              </w:rPr>
              <w:drawing>
                <wp:inline distT="0" distB="0" distL="0" distR="0">
                  <wp:extent cx="1238250" cy="1428750"/>
                  <wp:effectExtent l="0" t="0" r="0" b="0"/>
                  <wp:docPr id="3" name="Drawing 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Generated"/>
                          <pic:cNvPicPr>
                            <a:picLocks noChangeAspect="1"/>
                          </pic:cNvPicPr>
                        </pic:nvPicPr>
                        <pic:blipFill>
                          <a:blip r:embed="rId15"/>
                          <a:stretch>
                            <a:fillRect/>
                          </a:stretch>
                        </pic:blipFill>
                        <pic:spPr>
                          <a:xfrm>
                            <a:off x="0" y="0"/>
                            <a:ext cx="1238250" cy="1428750"/>
                          </a:xfrm>
                          <a:prstGeom prst="rect">
                            <a:avLst/>
                          </a:prstGeom>
                        </pic:spPr>
                      </pic:pic>
                    </a:graphicData>
                  </a:graphic>
                </wp:inline>
              </w:drawing>
            </w:r>
          </w:p>
          <w:p w14:paraId="5CDC45D0">
            <w:pPr>
              <w:jc w:val="both"/>
              <w:rPr>
                <w:rFonts w:hint="eastAsia" w:ascii="仿宋_GB2312" w:eastAsia="仿宋_GB2312"/>
              </w:rPr>
            </w:pPr>
          </w:p>
        </w:tc>
      </w:tr>
      <w:tr w14:paraId="28D30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exact"/>
        </w:trPr>
        <w:tc>
          <w:tcPr>
            <w:tcW w:w="2517" w:type="dxa"/>
            <w:gridSpan w:val="2"/>
            <w:vAlign w:val="center"/>
          </w:tcPr>
          <w:p w14:paraId="5C87DFED">
            <w:pPr>
              <w:jc w:val="center"/>
              <w:rPr>
                <w:rFonts w:hint="eastAsia" w:ascii="仿宋_GB2312" w:eastAsia="仿宋_GB2312"/>
              </w:rPr>
            </w:pPr>
            <w:r>
              <w:rPr>
                <w:rFonts w:hint="eastAsia" w:ascii="仿宋_GB2312" w:eastAsia="仿宋_GB2312"/>
              </w:rPr>
              <w:t>出生日期</w:t>
            </w:r>
          </w:p>
        </w:tc>
        <w:tc>
          <w:tcPr>
            <w:tcW w:w="1914" w:type="dxa"/>
            <w:gridSpan w:val="2"/>
            <w:vAlign w:val="center"/>
          </w:tcPr>
          <w:p w14:paraId="6A035DA0">
            <w:pPr>
              <w:jc w:val="center"/>
              <w:rPr>
                <w:rFonts w:hint="default" w:ascii="仿宋_GB2312" w:eastAsia="仿宋_GB2312"/>
                <w:lang w:val="en-US" w:eastAsia="zh-CN"/>
              </w:rPr>
            </w:pPr>
            <w:r>
              <w:rPr>
                <w:rFonts w:hint="eastAsia" w:ascii="仿宋_GB2312" w:eastAsia="仿宋_GB2312"/>
                <w:lang w:val="en-US" w:eastAsia="zh-CN"/>
              </w:rPr>
              <w:t>1991-08-23</w:t>
            </w:r>
          </w:p>
        </w:tc>
        <w:tc>
          <w:tcPr>
            <w:tcW w:w="1454" w:type="dxa"/>
            <w:gridSpan w:val="3"/>
            <w:vAlign w:val="center"/>
          </w:tcPr>
          <w:p w14:paraId="18A8DB53">
            <w:pPr>
              <w:jc w:val="center"/>
              <w:rPr>
                <w:rFonts w:hint="eastAsia" w:ascii="仿宋_GB2312" w:eastAsia="仿宋_GB2312"/>
              </w:rPr>
            </w:pPr>
            <w:r>
              <w:rPr>
                <w:rFonts w:hint="eastAsia" w:ascii="仿宋_GB2312" w:eastAsia="仿宋_GB2312"/>
              </w:rPr>
              <w:t>学历</w:t>
            </w:r>
          </w:p>
        </w:tc>
        <w:tc>
          <w:tcPr>
            <w:tcW w:w="1842" w:type="dxa"/>
            <w:gridSpan w:val="3"/>
            <w:vAlign w:val="center"/>
          </w:tcPr>
          <w:p w14:paraId="1945A1C2">
            <w:pPr>
              <w:jc w:val="center"/>
              <w:rPr>
                <w:rFonts w:hint="default" w:ascii="仿宋_GB2312" w:eastAsia="仿宋_GB2312"/>
                <w:lang w:val="en-US" w:eastAsia="zh-CN"/>
              </w:rPr>
            </w:pPr>
            <w:r>
              <w:rPr>
                <w:rFonts w:hint="eastAsia" w:ascii="仿宋_GB2312" w:eastAsia="仿宋_GB2312"/>
                <w:lang w:val="en-US" w:eastAsia="zh-CN"/>
              </w:rPr>
              <w:t>全日制博士研究生</w:t>
            </w:r>
          </w:p>
        </w:tc>
        <w:tc>
          <w:tcPr>
            <w:tcW w:w="1906" w:type="dxa"/>
            <w:gridSpan w:val="2"/>
            <w:vMerge w:val="continue"/>
            <w:vAlign w:val="center"/>
          </w:tcPr>
          <w:p w14:paraId="00A6DC68">
            <w:pPr>
              <w:jc w:val="center"/>
              <w:rPr>
                <w:rFonts w:hint="eastAsia" w:ascii="仿宋_GB2312" w:eastAsia="仿宋_GB2312"/>
              </w:rPr>
            </w:pPr>
          </w:p>
        </w:tc>
      </w:tr>
      <w:tr w14:paraId="1536A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exact"/>
        </w:trPr>
        <w:tc>
          <w:tcPr>
            <w:tcW w:w="2517" w:type="dxa"/>
            <w:gridSpan w:val="2"/>
            <w:vAlign w:val="center"/>
          </w:tcPr>
          <w:p w14:paraId="0CAD76A3">
            <w:pPr>
              <w:jc w:val="center"/>
              <w:rPr>
                <w:rFonts w:hint="eastAsia" w:ascii="仿宋_GB2312" w:eastAsia="仿宋_GB2312"/>
              </w:rPr>
            </w:pPr>
            <w:r>
              <w:rPr>
                <w:rFonts w:hint="eastAsia" w:ascii="仿宋_GB2312" w:eastAsia="仿宋_GB2312"/>
              </w:rPr>
              <w:t>手机号</w:t>
            </w:r>
          </w:p>
        </w:tc>
        <w:tc>
          <w:tcPr>
            <w:tcW w:w="5210" w:type="dxa"/>
            <w:gridSpan w:val="8"/>
            <w:vAlign w:val="center"/>
          </w:tcPr>
          <w:p w14:paraId="5205C76B">
            <w:pPr>
              <w:jc w:val="center"/>
              <w:rPr>
                <w:rFonts w:hint="default" w:ascii="仿宋_GB2312" w:eastAsia="仿宋_GB2312"/>
                <w:lang w:val="en-US" w:eastAsia="zh-CN"/>
              </w:rPr>
            </w:pPr>
            <w:r>
              <w:rPr>
                <w:rFonts w:hint="eastAsia" w:ascii="仿宋_GB2312" w:eastAsia="仿宋_GB2312"/>
                <w:lang w:val="en-US" w:eastAsia="zh-CN"/>
              </w:rPr>
              <w:t>13989422165</w:t>
            </w:r>
          </w:p>
        </w:tc>
        <w:tc>
          <w:tcPr>
            <w:tcW w:w="1906" w:type="dxa"/>
            <w:gridSpan w:val="2"/>
            <w:vMerge w:val="continue"/>
            <w:vAlign w:val="center"/>
          </w:tcPr>
          <w:p w14:paraId="60E3189B">
            <w:pPr>
              <w:jc w:val="center"/>
              <w:rPr>
                <w:rFonts w:hint="eastAsia" w:ascii="仿宋_GB2312" w:eastAsia="仿宋_GB2312"/>
              </w:rPr>
            </w:pPr>
          </w:p>
        </w:tc>
      </w:tr>
      <w:tr w14:paraId="1706E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exact"/>
        </w:trPr>
        <w:tc>
          <w:tcPr>
            <w:tcW w:w="2517" w:type="dxa"/>
            <w:gridSpan w:val="2"/>
            <w:vAlign w:val="center"/>
          </w:tcPr>
          <w:p w14:paraId="392AAC50">
            <w:pPr>
              <w:jc w:val="center"/>
              <w:rPr>
                <w:rFonts w:hint="eastAsia" w:ascii="仿宋_GB2312" w:eastAsia="仿宋_GB2312"/>
              </w:rPr>
            </w:pPr>
            <w:r>
              <w:rPr>
                <w:rFonts w:hint="eastAsia" w:ascii="仿宋_GB2312" w:eastAsia="仿宋_GB2312"/>
              </w:rPr>
              <w:t>电子邮箱</w:t>
            </w:r>
          </w:p>
        </w:tc>
        <w:tc>
          <w:tcPr>
            <w:tcW w:w="5210" w:type="dxa"/>
            <w:gridSpan w:val="8"/>
            <w:vAlign w:val="center"/>
          </w:tcPr>
          <w:p w14:paraId="70EA63E5">
            <w:pPr>
              <w:jc w:val="center"/>
              <w:rPr>
                <w:rFonts w:hint="default" w:ascii="仿宋_GB2312" w:eastAsia="仿宋_GB2312"/>
                <w:lang w:val="en-US" w:eastAsia="zh-CN"/>
              </w:rPr>
            </w:pPr>
            <w:r>
              <w:rPr>
                <w:rFonts w:hint="eastAsia" w:ascii="仿宋_GB2312" w:eastAsia="仿宋_GB2312"/>
                <w:lang w:val="en-US" w:eastAsia="zh-CN"/>
              </w:rPr>
              <w:t>yangxingchen@hzzszc.cn</w:t>
            </w:r>
          </w:p>
        </w:tc>
        <w:tc>
          <w:tcPr>
            <w:tcW w:w="1906" w:type="dxa"/>
            <w:gridSpan w:val="2"/>
            <w:vMerge w:val="continue"/>
            <w:vAlign w:val="center"/>
          </w:tcPr>
          <w:p w14:paraId="5B25ABDD">
            <w:pPr>
              <w:jc w:val="center"/>
              <w:rPr>
                <w:rFonts w:hint="eastAsia" w:ascii="仿宋_GB2312" w:eastAsia="仿宋_GB2312"/>
              </w:rPr>
            </w:pPr>
          </w:p>
        </w:tc>
      </w:tr>
      <w:tr w14:paraId="43F6F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exact"/>
        </w:trPr>
        <w:tc>
          <w:tcPr>
            <w:tcW w:w="2517" w:type="dxa"/>
            <w:gridSpan w:val="2"/>
            <w:vAlign w:val="center"/>
          </w:tcPr>
          <w:p w14:paraId="38ADFEF0">
            <w:pPr>
              <w:jc w:val="center"/>
              <w:rPr>
                <w:rFonts w:hint="eastAsia" w:ascii="仿宋_GB2312" w:eastAsia="仿宋_GB2312"/>
              </w:rPr>
            </w:pPr>
            <w:r>
              <w:rPr>
                <w:rFonts w:hint="eastAsia" w:ascii="仿宋_GB2312" w:eastAsia="仿宋_GB2312"/>
              </w:rPr>
              <w:t>证件类型</w:t>
            </w:r>
          </w:p>
        </w:tc>
        <w:tc>
          <w:tcPr>
            <w:tcW w:w="1914" w:type="dxa"/>
            <w:gridSpan w:val="2"/>
            <w:vAlign w:val="center"/>
          </w:tcPr>
          <w:p w14:paraId="026C8F7F">
            <w:pPr>
              <w:jc w:val="center"/>
              <w:rPr>
                <w:rFonts w:hint="default" w:ascii="仿宋_GB2312" w:eastAsia="仿宋_GB2312"/>
                <w:lang w:val="en-US" w:eastAsia="zh-CN"/>
              </w:rPr>
            </w:pPr>
            <w:r>
              <w:rPr>
                <w:rFonts w:hint="eastAsia" w:ascii="仿宋_GB2312" w:eastAsia="仿宋_GB2312"/>
                <w:lang w:val="en-US" w:eastAsia="zh-CN"/>
              </w:rPr>
              <w:t>身份证</w:t>
            </w:r>
          </w:p>
        </w:tc>
        <w:tc>
          <w:tcPr>
            <w:tcW w:w="1454" w:type="dxa"/>
            <w:gridSpan w:val="3"/>
            <w:vAlign w:val="center"/>
          </w:tcPr>
          <w:p w14:paraId="48728C80">
            <w:pPr>
              <w:jc w:val="center"/>
              <w:rPr>
                <w:rFonts w:hint="eastAsia" w:ascii="仿宋_GB2312" w:eastAsia="仿宋_GB2312"/>
              </w:rPr>
            </w:pPr>
            <w:r>
              <w:rPr>
                <w:rFonts w:hint="eastAsia" w:ascii="仿宋_GB2312" w:eastAsia="仿宋_GB2312"/>
              </w:rPr>
              <w:t>证件号码</w:t>
            </w:r>
          </w:p>
        </w:tc>
        <w:tc>
          <w:tcPr>
            <w:tcW w:w="3748" w:type="dxa"/>
            <w:gridSpan w:val="5"/>
            <w:vAlign w:val="center"/>
          </w:tcPr>
          <w:p w14:paraId="55C2633C">
            <w:pPr>
              <w:jc w:val="center"/>
              <w:rPr>
                <w:rFonts w:hint="default" w:ascii="仿宋_GB2312" w:eastAsia="仿宋_GB2312"/>
                <w:lang w:val="en-US" w:eastAsia="zh-CN"/>
              </w:rPr>
            </w:pPr>
            <w:r>
              <w:rPr>
                <w:rFonts w:hint="eastAsia" w:ascii="仿宋_GB2312" w:eastAsia="仿宋_GB2312"/>
                <w:lang w:val="en-US" w:eastAsia="zh-CN"/>
              </w:rPr>
              <w:t>330782199108230239</w:t>
            </w:r>
          </w:p>
        </w:tc>
      </w:tr>
      <w:tr w14:paraId="057C4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exact"/>
        </w:trPr>
        <w:tc>
          <w:tcPr>
            <w:tcW w:w="9633" w:type="dxa"/>
            <w:gridSpan w:val="12"/>
            <w:vAlign w:val="center"/>
          </w:tcPr>
          <w:p w14:paraId="241F6D6A">
            <w:pPr>
              <w:jc w:val="center"/>
              <w:rPr>
                <w:rFonts w:hint="eastAsia" w:ascii="仿宋_GB2312" w:eastAsia="仿宋_GB2312"/>
              </w:rPr>
            </w:pPr>
            <w:r>
              <w:rPr>
                <w:rFonts w:hint="eastAsia" w:ascii="仿宋_GB2312" w:eastAsia="仿宋_GB2312"/>
              </w:rPr>
              <w:t>申报人基本情况（200字）</w:t>
            </w:r>
          </w:p>
        </w:tc>
      </w:tr>
      <w:tr w14:paraId="72F51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5" w:hRule="atLeast"/>
        </w:trPr>
        <w:tc>
          <w:tcPr>
            <w:tcW w:w="9633" w:type="dxa"/>
            <w:gridSpan w:val="12"/>
            <w:tcBorders>
              <w:right w:val="single" w:color="auto" w:sz="4" w:space="0"/>
            </w:tcBorders>
            <w:vAlign w:val="center"/>
          </w:tcPr>
          <w:p w14:paraId="2CB9E391">
            <w:pPr>
              <w:pStyle w:val="9"/>
              <w:spacing w:before="88" w:line="219" w:lineRule="auto"/>
              <w:jc w:val="left"/>
              <w:rPr>
                <w:rFonts w:hint="default"/>
                <w:lang w:val="en-US" w:eastAsia="zh-CN"/>
              </w:rPr>
            </w:pPr>
            <w:r>
              <w:rPr>
                <w:rFonts w:hint="eastAsia" w:ascii="仿宋_GB2312" w:hAnsi="Times New Roman" w:eastAsia="仿宋_GB2312" w:cs="Times New Roman"/>
                <w:kern w:val="2"/>
                <w:sz w:val="21"/>
                <w:szCs w:val="24"/>
                <w:lang w:val="en-US" w:eastAsia="zh-CN" w:bidi="ar-SA"/>
              </w:rPr>
              <w:t>杭州市D类人才、自然科学副研究员/副高，美国气象局与科学基金项目核心参与者。硕士期间参与系统开展环境参数UQ建模研究；博士期间作为核心成员参与美国科学基金资助的Earth-Cube计划，深化多源环境数据不确定性融合研究；回国在之江参与"领雁"计划"神威·之江之光"超算系统应用，量化复杂系统中关键变量的演化特征及情景敏感性。研究覆盖环境参数建模、UQ方法与高性能计算融合，发表论文多篇，发明专利3项。</w:t>
            </w:r>
          </w:p>
        </w:tc>
      </w:tr>
      <w:tr w14:paraId="1C7FC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exact"/>
        </w:trPr>
        <w:tc>
          <w:tcPr>
            <w:tcW w:w="9633" w:type="dxa"/>
            <w:gridSpan w:val="12"/>
            <w:tcBorders>
              <w:right w:val="single" w:color="auto" w:sz="4" w:space="0"/>
            </w:tcBorders>
            <w:vAlign w:val="center"/>
          </w:tcPr>
          <w:p w14:paraId="57A98194">
            <w:pPr>
              <w:pStyle w:val="9"/>
              <w:spacing w:before="88" w:line="219"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全日制学历</w:t>
            </w:r>
          </w:p>
        </w:tc>
      </w:tr>
      <w:tr w14:paraId="4E11A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exact"/>
        </w:trPr>
        <w:tc>
          <w:tcPr>
            <w:tcW w:w="767" w:type="dxa"/>
            <w:tcBorders>
              <w:right w:val="single" w:color="auto" w:sz="4" w:space="0"/>
            </w:tcBorders>
            <w:textDirection w:val="tbRlV"/>
            <w:vAlign w:val="center"/>
          </w:tcPr>
          <w:p w14:paraId="41465C6B">
            <w:pPr>
              <w:pStyle w:val="9"/>
              <w:spacing w:before="85" w:line="220"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序号</w:t>
            </w:r>
          </w:p>
        </w:tc>
        <w:tc>
          <w:tcPr>
            <w:tcW w:w="2344" w:type="dxa"/>
            <w:gridSpan w:val="2"/>
            <w:tcBorders>
              <w:right w:val="single" w:color="auto" w:sz="4" w:space="0"/>
            </w:tcBorders>
            <w:vAlign w:val="center"/>
          </w:tcPr>
          <w:p w14:paraId="0017CE5F">
            <w:pPr>
              <w:pStyle w:val="9"/>
              <w:spacing w:before="85" w:line="220"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起止时间</w:t>
            </w:r>
          </w:p>
        </w:tc>
        <w:tc>
          <w:tcPr>
            <w:tcW w:w="1326" w:type="dxa"/>
            <w:gridSpan w:val="2"/>
            <w:tcBorders>
              <w:right w:val="single" w:color="auto" w:sz="4" w:space="0"/>
            </w:tcBorders>
            <w:vAlign w:val="center"/>
          </w:tcPr>
          <w:p w14:paraId="5A345A07">
            <w:pPr>
              <w:pStyle w:val="9"/>
              <w:spacing w:before="85" w:line="220"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所在国家</w:t>
            </w:r>
          </w:p>
        </w:tc>
        <w:tc>
          <w:tcPr>
            <w:tcW w:w="2023" w:type="dxa"/>
            <w:gridSpan w:val="3"/>
            <w:tcBorders>
              <w:right w:val="single" w:color="auto" w:sz="4" w:space="0"/>
            </w:tcBorders>
            <w:vAlign w:val="center"/>
          </w:tcPr>
          <w:p w14:paraId="71F1176B">
            <w:pPr>
              <w:pStyle w:val="9"/>
              <w:spacing w:before="85" w:line="220"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校(院)名称</w:t>
            </w:r>
          </w:p>
        </w:tc>
        <w:tc>
          <w:tcPr>
            <w:tcW w:w="1550" w:type="dxa"/>
            <w:gridSpan w:val="3"/>
            <w:tcBorders>
              <w:right w:val="single" w:color="auto" w:sz="4" w:space="0"/>
            </w:tcBorders>
            <w:vAlign w:val="center"/>
          </w:tcPr>
          <w:p w14:paraId="756F16B5">
            <w:pPr>
              <w:pStyle w:val="9"/>
              <w:spacing w:before="85" w:line="220"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专业领域</w:t>
            </w:r>
          </w:p>
        </w:tc>
        <w:tc>
          <w:tcPr>
            <w:tcW w:w="1623" w:type="dxa"/>
            <w:tcBorders>
              <w:right w:val="single" w:color="auto" w:sz="4" w:space="0"/>
            </w:tcBorders>
            <w:vAlign w:val="center"/>
          </w:tcPr>
          <w:p w14:paraId="7C5073AC">
            <w:pPr>
              <w:pStyle w:val="9"/>
              <w:spacing w:before="85" w:line="220"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学位</w:t>
            </w:r>
          </w:p>
        </w:tc>
      </w:tr>
      <w:tr w14:paraId="3B37E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67" w:type="dxa"/>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6EE5289C">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1</w:t>
            </w:r>
          </w:p>
        </w:tc>
        <w:tc>
          <w:tcPr>
            <w:tcW w:w="2344" w:type="dxa"/>
            <w:gridSpan w:val="2"/>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191B6AD0">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2009-09-01-2013-06-25</w:t>
            </w:r>
          </w:p>
        </w:tc>
        <w:tc>
          <w:tcPr>
            <w:tcW w:w="1326" w:type="dxa"/>
            <w:gridSpan w:val="2"/>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1228AB30">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中国</w:t>
            </w:r>
          </w:p>
        </w:tc>
        <w:tc>
          <w:tcPr>
            <w:tcW w:w="2023" w:type="dxa"/>
            <w:gridSpan w:val="3"/>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2260659E">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中国地质大学（北京）</w:t>
            </w:r>
          </w:p>
        </w:tc>
        <w:tc>
          <w:tcPr>
            <w:tcW w:w="1550" w:type="dxa"/>
            <w:gridSpan w:val="3"/>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59EABAC2">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地球 物理</w:t>
            </w:r>
          </w:p>
        </w:tc>
        <w:tc>
          <w:tcPr>
            <w:tcW w:w="1623" w:type="dxa"/>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19A86177">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学士</w:t>
            </w:r>
          </w:p>
        </w:tc>
      </w:tr>
      <w:tr w14:paraId="5494D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67" w:type="dxa"/>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799AFD1D">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2</w:t>
            </w:r>
          </w:p>
        </w:tc>
        <w:tc>
          <w:tcPr>
            <w:tcW w:w="2344" w:type="dxa"/>
            <w:gridSpan w:val="2"/>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64D081C1">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2014-01-12-2016-05-08</w:t>
            </w:r>
          </w:p>
        </w:tc>
        <w:tc>
          <w:tcPr>
            <w:tcW w:w="1326" w:type="dxa"/>
            <w:gridSpan w:val="2"/>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21FADA7D">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美国</w:t>
            </w:r>
          </w:p>
        </w:tc>
        <w:tc>
          <w:tcPr>
            <w:tcW w:w="2023" w:type="dxa"/>
            <w:gridSpan w:val="3"/>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1B213179">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宾夕法尼亚州立大学</w:t>
            </w:r>
          </w:p>
        </w:tc>
        <w:tc>
          <w:tcPr>
            <w:tcW w:w="1550" w:type="dxa"/>
            <w:gridSpan w:val="3"/>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692CDAB6">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水资源工程</w:t>
            </w:r>
          </w:p>
        </w:tc>
        <w:tc>
          <w:tcPr>
            <w:tcW w:w="1623" w:type="dxa"/>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4CA0E1D4">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硕士</w:t>
            </w:r>
          </w:p>
        </w:tc>
      </w:tr>
      <w:tr w14:paraId="28B01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67" w:type="dxa"/>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74E73594">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3</w:t>
            </w:r>
          </w:p>
        </w:tc>
        <w:tc>
          <w:tcPr>
            <w:tcW w:w="2344" w:type="dxa"/>
            <w:gridSpan w:val="2"/>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1D39C9EC">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2016-08-20-2022-08-05</w:t>
            </w:r>
          </w:p>
        </w:tc>
        <w:tc>
          <w:tcPr>
            <w:tcW w:w="1326" w:type="dxa"/>
            <w:gridSpan w:val="2"/>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3620BF47">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美国</w:t>
            </w:r>
          </w:p>
        </w:tc>
        <w:tc>
          <w:tcPr>
            <w:tcW w:w="2023" w:type="dxa"/>
            <w:gridSpan w:val="3"/>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55A42968">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迈阿密大学</w:t>
            </w:r>
          </w:p>
        </w:tc>
        <w:tc>
          <w:tcPr>
            <w:tcW w:w="1550" w:type="dxa"/>
            <w:gridSpan w:val="3"/>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2F28006D">
            <w:pPr>
              <w:pStyle w:val="9"/>
              <w:tabs>
                <w:tab w:val="center" w:pos="438"/>
                <w:tab w:val="left" w:pos="552"/>
              </w:tabs>
              <w:spacing w:before="84" w:line="184" w:lineRule="auto"/>
              <w:jc w:val="center"/>
              <w:rPr>
                <w:rFonts w:hint="eastAsia"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物理海洋</w:t>
            </w:r>
          </w:p>
        </w:tc>
        <w:tc>
          <w:tcPr>
            <w:tcW w:w="1623" w:type="dxa"/>
            <w:tcBorders>
              <w:top w:val="single" w:color="4D9CDF" w:sz="4" w:space="0"/>
              <w:left w:val="dotted" w:color="auto" w:sz="4" w:space="0"/>
              <w:bottom w:val="single" w:color="4D9CDF" w:sz="4" w:space="0"/>
              <w:right w:val="dotted" w:color="auto" w:sz="4" w:space="0"/>
            </w:tcBorders>
            <w:shd w:val="clear" w:color="auto" w:fill="FFFFFF" w:themeFill="background1"/>
            <w:vAlign w:val="center"/>
          </w:tcPr>
          <w:p w14:paraId="70563A9F">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博士</w:t>
            </w:r>
          </w:p>
        </w:tc>
      </w:tr>
      <w:tr w14:paraId="18CE1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exact"/>
        </w:trPr>
        <w:tc>
          <w:tcPr>
            <w:tcW w:w="9633" w:type="dxa"/>
            <w:gridSpan w:val="12"/>
            <w:tcBorders>
              <w:right w:val="single" w:color="auto" w:sz="4" w:space="0"/>
            </w:tcBorders>
            <w:vAlign w:val="center"/>
          </w:tcPr>
          <w:p w14:paraId="337C4D55">
            <w:pPr>
              <w:pStyle w:val="9"/>
              <w:spacing w:before="88" w:line="219"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工作经历</w:t>
            </w:r>
          </w:p>
        </w:tc>
      </w:tr>
      <w:tr w14:paraId="1B41B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exact"/>
        </w:trPr>
        <w:tc>
          <w:tcPr>
            <w:tcW w:w="767" w:type="dxa"/>
            <w:tcBorders>
              <w:right w:val="single" w:color="auto" w:sz="4" w:space="0"/>
            </w:tcBorders>
            <w:textDirection w:val="tbRlV"/>
            <w:vAlign w:val="center"/>
          </w:tcPr>
          <w:p w14:paraId="7E0B67E3">
            <w:pPr>
              <w:pStyle w:val="9"/>
              <w:spacing w:before="84" w:line="184"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序号</w:t>
            </w:r>
          </w:p>
        </w:tc>
        <w:tc>
          <w:tcPr>
            <w:tcW w:w="2344" w:type="dxa"/>
            <w:gridSpan w:val="2"/>
            <w:tcBorders>
              <w:right w:val="single" w:color="auto" w:sz="4" w:space="0"/>
            </w:tcBorders>
            <w:vAlign w:val="center"/>
          </w:tcPr>
          <w:p w14:paraId="3F020E3A">
            <w:pPr>
              <w:pStyle w:val="9"/>
              <w:spacing w:before="84" w:line="184"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起止时间</w:t>
            </w:r>
          </w:p>
        </w:tc>
        <w:tc>
          <w:tcPr>
            <w:tcW w:w="1326" w:type="dxa"/>
            <w:gridSpan w:val="2"/>
            <w:tcBorders>
              <w:right w:val="single" w:color="auto" w:sz="4" w:space="0"/>
            </w:tcBorders>
            <w:vAlign w:val="center"/>
          </w:tcPr>
          <w:p w14:paraId="478880BC">
            <w:pPr>
              <w:pStyle w:val="9"/>
              <w:spacing w:before="84" w:line="184"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所在国家</w:t>
            </w:r>
          </w:p>
        </w:tc>
        <w:tc>
          <w:tcPr>
            <w:tcW w:w="1326" w:type="dxa"/>
            <w:tcBorders>
              <w:right w:val="single" w:color="auto" w:sz="4" w:space="0"/>
            </w:tcBorders>
            <w:vAlign w:val="center"/>
          </w:tcPr>
          <w:p w14:paraId="3CD051CF">
            <w:pPr>
              <w:pStyle w:val="9"/>
              <w:spacing w:before="84" w:line="184"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工作单位</w:t>
            </w:r>
          </w:p>
        </w:tc>
        <w:tc>
          <w:tcPr>
            <w:tcW w:w="1326" w:type="dxa"/>
            <w:gridSpan w:val="3"/>
            <w:tcBorders>
              <w:right w:val="single" w:color="auto" w:sz="4" w:space="0"/>
            </w:tcBorders>
            <w:vAlign w:val="center"/>
          </w:tcPr>
          <w:p w14:paraId="39F19E94">
            <w:pPr>
              <w:pStyle w:val="9"/>
              <w:spacing w:before="84" w:line="184"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担任职务</w:t>
            </w:r>
          </w:p>
        </w:tc>
        <w:tc>
          <w:tcPr>
            <w:tcW w:w="2544" w:type="dxa"/>
            <w:gridSpan w:val="3"/>
            <w:tcBorders>
              <w:right w:val="single" w:color="auto" w:sz="4" w:space="0"/>
            </w:tcBorders>
            <w:vAlign w:val="center"/>
          </w:tcPr>
          <w:p w14:paraId="3F1CD8C6">
            <w:pPr>
              <w:pStyle w:val="9"/>
              <w:spacing w:before="84" w:line="184" w:lineRule="auto"/>
              <w:jc w:val="center"/>
              <w:rPr>
                <w:rFonts w:hint="eastAsia" w:ascii="仿宋_GB2312" w:hAnsi="Times New Roman" w:eastAsia="仿宋_GB2312" w:cs="Times New Roman"/>
                <w:sz w:val="21"/>
                <w:szCs w:val="24"/>
                <w:lang w:eastAsia="zh-CN"/>
              </w:rPr>
            </w:pPr>
            <w:r>
              <w:rPr>
                <w:rFonts w:hint="eastAsia" w:ascii="仿宋_GB2312" w:hAnsi="Times New Roman" w:eastAsia="仿宋_GB2312" w:cs="Times New Roman"/>
                <w:sz w:val="21"/>
                <w:szCs w:val="24"/>
                <w:lang w:eastAsia="zh-CN"/>
              </w:rPr>
              <w:t>职务职责和贡献</w:t>
            </w:r>
          </w:p>
        </w:tc>
      </w:tr>
      <w:tr w14:paraId="65EF1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67" w:type="dxa"/>
            <w:vAlign w:val="center"/>
          </w:tcPr>
          <w:p w14:paraId="36ABD862">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1</w:t>
            </w:r>
          </w:p>
        </w:tc>
        <w:tc>
          <w:tcPr>
            <w:tcW w:w="2344" w:type="dxa"/>
            <w:gridSpan w:val="2"/>
            <w:vAlign w:val="center"/>
          </w:tcPr>
          <w:p w14:paraId="65F5026E">
            <w:pPr>
              <w:pStyle w:val="9"/>
              <w:spacing w:before="41"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2023-02-01-2025-02-01</w:t>
            </w:r>
          </w:p>
        </w:tc>
        <w:tc>
          <w:tcPr>
            <w:tcW w:w="1326" w:type="dxa"/>
            <w:gridSpan w:val="2"/>
            <w:vAlign w:val="center"/>
          </w:tcPr>
          <w:p w14:paraId="791E6BC5">
            <w:pPr>
              <w:pStyle w:val="9"/>
              <w:spacing w:before="84" w:line="220"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中国</w:t>
            </w:r>
          </w:p>
        </w:tc>
        <w:tc>
          <w:tcPr>
            <w:tcW w:w="1326" w:type="dxa"/>
            <w:vAlign w:val="center"/>
          </w:tcPr>
          <w:p w14:paraId="038D2788">
            <w:pPr>
              <w:pStyle w:val="9"/>
              <w:spacing w:before="114" w:line="206" w:lineRule="auto"/>
              <w:ind w:left="162" w:right="150"/>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之江实验室</w:t>
            </w:r>
          </w:p>
        </w:tc>
        <w:tc>
          <w:tcPr>
            <w:tcW w:w="1326" w:type="dxa"/>
            <w:gridSpan w:val="3"/>
            <w:vAlign w:val="center"/>
          </w:tcPr>
          <w:p w14:paraId="7DD2F719">
            <w:pPr>
              <w:pStyle w:val="9"/>
              <w:spacing w:before="5" w:line="229"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博士后（智能超算研究中心）</w:t>
            </w:r>
          </w:p>
        </w:tc>
        <w:tc>
          <w:tcPr>
            <w:tcW w:w="2544" w:type="dxa"/>
            <w:gridSpan w:val="3"/>
            <w:vAlign w:val="center"/>
          </w:tcPr>
          <w:p w14:paraId="54A0AC08">
            <w:pPr>
              <w:pStyle w:val="9"/>
              <w:spacing w:before="85" w:line="221"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面向超算环境下大规模气候模型与数据处理任务，开展模型运行与数据处理性能优化研究</w:t>
            </w:r>
          </w:p>
        </w:tc>
      </w:tr>
      <w:tr w14:paraId="19521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67" w:type="dxa"/>
            <w:vAlign w:val="center"/>
          </w:tcPr>
          <w:p w14:paraId="506F7F33">
            <w:pPr>
              <w:pStyle w:val="9"/>
              <w:tabs>
                <w:tab w:val="center" w:pos="438"/>
                <w:tab w:val="left" w:pos="552"/>
              </w:tabs>
              <w:spacing w:before="84"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2</w:t>
            </w:r>
          </w:p>
        </w:tc>
        <w:tc>
          <w:tcPr>
            <w:tcW w:w="2344" w:type="dxa"/>
            <w:gridSpan w:val="2"/>
            <w:vAlign w:val="center"/>
          </w:tcPr>
          <w:p w14:paraId="01210F05">
            <w:pPr>
              <w:pStyle w:val="9"/>
              <w:spacing w:before="41" w:line="184"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2022-08-01-2026-03-01</w:t>
            </w:r>
          </w:p>
        </w:tc>
        <w:tc>
          <w:tcPr>
            <w:tcW w:w="1326" w:type="dxa"/>
            <w:gridSpan w:val="2"/>
            <w:vAlign w:val="center"/>
          </w:tcPr>
          <w:p w14:paraId="1272C679">
            <w:pPr>
              <w:pStyle w:val="9"/>
              <w:spacing w:before="84" w:line="220"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美国</w:t>
            </w:r>
          </w:p>
        </w:tc>
        <w:tc>
          <w:tcPr>
            <w:tcW w:w="1326" w:type="dxa"/>
            <w:vAlign w:val="center"/>
          </w:tcPr>
          <w:p w14:paraId="7CCE29F6">
            <w:pPr>
              <w:pStyle w:val="9"/>
              <w:spacing w:before="114" w:line="206" w:lineRule="auto"/>
              <w:ind w:left="162" w:right="150"/>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Grove Scuba Inc.</w:t>
            </w:r>
          </w:p>
        </w:tc>
        <w:tc>
          <w:tcPr>
            <w:tcW w:w="1326" w:type="dxa"/>
            <w:gridSpan w:val="3"/>
            <w:vAlign w:val="center"/>
          </w:tcPr>
          <w:p w14:paraId="65F8737C">
            <w:pPr>
              <w:pStyle w:val="9"/>
              <w:spacing w:before="5" w:line="229"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数据分析师（兼职）</w:t>
            </w:r>
          </w:p>
        </w:tc>
        <w:tc>
          <w:tcPr>
            <w:tcW w:w="2544" w:type="dxa"/>
            <w:gridSpan w:val="3"/>
            <w:vAlign w:val="center"/>
          </w:tcPr>
          <w:p w14:paraId="7115112F">
            <w:pPr>
              <w:pStyle w:val="9"/>
              <w:spacing w:before="85" w:line="221" w:lineRule="auto"/>
              <w:jc w:val="center"/>
              <w:rPr>
                <w:rFonts w:hint="default" w:ascii="仿宋_GB2312" w:hAnsi="Times New Roman" w:eastAsia="仿宋_GB2312" w:cs="Times New Roman"/>
                <w:sz w:val="21"/>
                <w:szCs w:val="24"/>
                <w:lang w:val="en-US" w:eastAsia="zh-CN"/>
              </w:rPr>
            </w:pPr>
            <w:r>
              <w:rPr>
                <w:rFonts w:hint="eastAsia" w:ascii="仿宋_GB2312" w:hAnsi="Times New Roman" w:eastAsia="仿宋_GB2312" w:cs="Times New Roman"/>
                <w:sz w:val="21"/>
                <w:szCs w:val="24"/>
                <w:lang w:val="en-US" w:eastAsia="zh-CN"/>
              </w:rPr>
              <w:t>负责公司远程潜水数据分析师工作，整合卫星观测、浮标测量等多源沿岸海洋环境数据，开展数据清洗、时空配准</w:t>
            </w:r>
          </w:p>
        </w:tc>
      </w:tr>
    </w:tbl>
    <w:p w14:paraId="2B4B3D3B">
      <w:pPr>
        <w:pStyle w:val="2"/>
        <w:widowControl/>
        <w:spacing w:line="600" w:lineRule="exact"/>
        <w:ind w:firstLine="0"/>
        <w:rPr>
          <w:rFonts w:hint="eastAsia" w:ascii="黑体" w:hAnsi="黑体" w:eastAsia="黑体" w:cs="黑体"/>
          <w:sz w:val="32"/>
          <w:szCs w:val="32"/>
        </w:rPr>
      </w:pPr>
    </w:p>
    <w:p w14:paraId="30063A9C">
      <w:pPr>
        <w:pStyle w:val="2"/>
        <w:widowControl/>
        <w:spacing w:line="600" w:lineRule="exact"/>
        <w:ind w:firstLine="0"/>
        <w:rPr>
          <w:rFonts w:hint="eastAsia" w:ascii="黑体" w:hAnsi="黑体" w:eastAsia="黑体" w:cs="黑体"/>
          <w:sz w:val="32"/>
          <w:szCs w:val="32"/>
        </w:rPr>
      </w:pPr>
    </w:p>
    <w:p w14:paraId="4E23E4B0">
      <w:pPr>
        <w:pStyle w:val="2"/>
        <w:widowControl/>
        <w:spacing w:line="600" w:lineRule="exact"/>
        <w:ind w:firstLine="0"/>
        <w:rPr>
          <w:rFonts w:hint="eastAsia" w:ascii="黑体" w:hAnsi="黑体" w:eastAsia="黑体" w:cs="黑体"/>
          <w:sz w:val="32"/>
          <w:szCs w:val="32"/>
        </w:rPr>
      </w:pPr>
    </w:p>
    <w:p w14:paraId="28C77A85">
      <w:pPr>
        <w:pStyle w:val="2"/>
        <w:widowControl/>
        <w:spacing w:line="600" w:lineRule="exact"/>
        <w:ind w:firstLine="0"/>
        <w:rPr>
          <w:rFonts w:hint="eastAsia" w:ascii="黑体" w:hAnsi="黑体" w:eastAsia="黑体" w:cs="黑体"/>
          <w:sz w:val="32"/>
          <w:szCs w:val="32"/>
        </w:rPr>
      </w:pPr>
    </w:p>
    <w:p w14:paraId="6DB47A55">
      <w:pPr>
        <w:pStyle w:val="2"/>
        <w:widowControl/>
        <w:spacing w:line="600" w:lineRule="exact"/>
        <w:ind w:firstLine="0"/>
        <w:rPr>
          <w:rFonts w:hint="eastAsia" w:ascii="黑体" w:hAnsi="黑体" w:eastAsia="黑体" w:cs="黑体"/>
          <w:sz w:val="32"/>
          <w:szCs w:val="32"/>
        </w:rPr>
      </w:pPr>
      <w:r>
        <w:rPr>
          <w:rFonts w:hint="eastAsia" w:ascii="黑体" w:hAnsi="黑体" w:eastAsia="黑体" w:cs="黑体"/>
          <w:sz w:val="32"/>
          <w:szCs w:val="32"/>
        </w:rPr>
        <w:t>二、企业基本情况</w:t>
      </w:r>
    </w:p>
    <w:tbl>
      <w:tblPr>
        <w:tblStyle w:val="5"/>
        <w:tblW w:w="874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548"/>
        <w:gridCol w:w="1866"/>
        <w:gridCol w:w="1399"/>
        <w:gridCol w:w="1274"/>
        <w:gridCol w:w="1527"/>
        <w:gridCol w:w="1135"/>
      </w:tblGrid>
      <w:tr w14:paraId="6D139C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11D16EB1">
            <w:pPr>
              <w:jc w:val="center"/>
              <w:rPr>
                <w:rFonts w:hint="eastAsia" w:ascii="仿宋_GB2312" w:eastAsia="仿宋_GB2312"/>
              </w:rPr>
            </w:pPr>
            <w:r>
              <w:rPr>
                <w:rFonts w:hint="eastAsia" w:ascii="仿宋_GB2312" w:eastAsia="仿宋_GB2312"/>
              </w:rPr>
              <w:t>企业名称</w:t>
            </w:r>
          </w:p>
        </w:tc>
        <w:tc>
          <w:tcPr>
            <w:tcW w:w="7201" w:type="dxa"/>
            <w:gridSpan w:val="5"/>
            <w:vAlign w:val="center"/>
          </w:tcPr>
          <w:p w14:paraId="501BD685">
            <w:pPr>
              <w:jc w:val="center"/>
              <w:rPr>
                <w:rFonts w:hint="default" w:ascii="仿宋_GB2312" w:eastAsia="仿宋_GB2312"/>
                <w:lang w:val="en-US" w:eastAsia="zh-CN"/>
              </w:rPr>
            </w:pPr>
            <w:r>
              <w:rPr>
                <w:rFonts w:hint="eastAsia" w:ascii="仿宋_GB2312" w:eastAsia="仿宋_GB2312"/>
                <w:lang w:val="en-US" w:eastAsia="zh-CN"/>
              </w:rPr>
              <w:t>杭州紫深智测技术有限公司</w:t>
            </w:r>
          </w:p>
        </w:tc>
      </w:tr>
      <w:tr w14:paraId="43876E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587EB7CB">
            <w:pPr>
              <w:jc w:val="center"/>
              <w:rPr>
                <w:rFonts w:hint="eastAsia" w:ascii="仿宋_GB2312" w:eastAsia="仿宋_GB2312"/>
              </w:rPr>
            </w:pPr>
            <w:r>
              <w:rPr>
                <w:rFonts w:hint="eastAsia" w:ascii="仿宋_GB2312" w:eastAsia="仿宋_GB2312"/>
              </w:rPr>
              <w:t>组织机构代码</w:t>
            </w:r>
          </w:p>
        </w:tc>
        <w:tc>
          <w:tcPr>
            <w:tcW w:w="3265" w:type="dxa"/>
            <w:gridSpan w:val="2"/>
            <w:vAlign w:val="center"/>
          </w:tcPr>
          <w:p w14:paraId="7C81AB21">
            <w:pPr>
              <w:jc w:val="center"/>
              <w:rPr>
                <w:rFonts w:hint="default" w:ascii="仿宋_GB2312" w:eastAsia="仿宋_GB2312"/>
                <w:lang w:val="en-US" w:eastAsia="zh-CN"/>
              </w:rPr>
            </w:pPr>
            <w:r>
              <w:rPr>
                <w:rFonts w:hint="eastAsia" w:ascii="仿宋_GB2312" w:eastAsia="仿宋_GB2312"/>
                <w:lang w:val="en-US" w:eastAsia="zh-CN"/>
              </w:rPr>
              <w:t>91330110MAK3Y4C179</w:t>
            </w:r>
          </w:p>
        </w:tc>
        <w:tc>
          <w:tcPr>
            <w:tcW w:w="1274" w:type="dxa"/>
            <w:vAlign w:val="center"/>
          </w:tcPr>
          <w:p w14:paraId="615F81D3">
            <w:pPr>
              <w:jc w:val="center"/>
              <w:rPr>
                <w:rFonts w:hint="eastAsia" w:ascii="仿宋_GB2312" w:eastAsia="仿宋_GB2312"/>
              </w:rPr>
            </w:pPr>
            <w:r>
              <w:rPr>
                <w:rFonts w:hint="eastAsia" w:ascii="仿宋_GB2312" w:eastAsia="仿宋_GB2312"/>
              </w:rPr>
              <w:t>注册时间</w:t>
            </w:r>
          </w:p>
        </w:tc>
        <w:tc>
          <w:tcPr>
            <w:tcW w:w="2662" w:type="dxa"/>
            <w:gridSpan w:val="2"/>
            <w:vAlign w:val="center"/>
          </w:tcPr>
          <w:p w14:paraId="69E3F707">
            <w:pPr>
              <w:jc w:val="center"/>
              <w:rPr>
                <w:rFonts w:hint="default" w:ascii="仿宋_GB2312" w:eastAsia="仿宋_GB2312"/>
                <w:lang w:val="en-US" w:eastAsia="zh-CN"/>
              </w:rPr>
            </w:pPr>
            <w:r>
              <w:rPr>
                <w:rFonts w:hint="eastAsia" w:ascii="仿宋_GB2312" w:eastAsia="仿宋_GB2312"/>
                <w:lang w:val="en-US" w:eastAsia="zh-CN"/>
              </w:rPr>
              <w:t>2025-12-18</w:t>
            </w:r>
          </w:p>
        </w:tc>
      </w:tr>
      <w:tr w14:paraId="1E6F90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04A4CABF">
            <w:pPr>
              <w:jc w:val="center"/>
              <w:rPr>
                <w:rFonts w:hint="eastAsia" w:ascii="仿宋_GB2312" w:eastAsia="仿宋_GB2312"/>
              </w:rPr>
            </w:pPr>
            <w:r>
              <w:rPr>
                <w:rFonts w:hint="eastAsia" w:ascii="仿宋_GB2312" w:eastAsia="仿宋_GB2312"/>
              </w:rPr>
              <w:t>注册资本</w:t>
            </w:r>
          </w:p>
        </w:tc>
        <w:tc>
          <w:tcPr>
            <w:tcW w:w="1866" w:type="dxa"/>
            <w:vAlign w:val="center"/>
          </w:tcPr>
          <w:p w14:paraId="69E5987E">
            <w:pPr>
              <w:jc w:val="center"/>
              <w:rPr>
                <w:rFonts w:hint="eastAsia" w:ascii="仿宋_GB2312" w:eastAsia="仿宋_GB2312"/>
                <w:sz w:val="18"/>
                <w:szCs w:val="18"/>
              </w:rPr>
            </w:pPr>
            <w:r>
              <w:rPr>
                <w:rFonts w:hint="eastAsia" w:ascii="仿宋_GB2312" w:eastAsia="仿宋_GB2312"/>
                <w:lang w:val="en-US" w:eastAsia="zh-CN"/>
              </w:rPr>
              <w:t>1000</w:t>
            </w:r>
            <w:r>
              <w:rPr>
                <w:rFonts w:hint="eastAsia" w:ascii="仿宋_GB2312" w:eastAsia="仿宋_GB2312"/>
              </w:rPr>
              <w:t xml:space="preserve">      </w:t>
            </w:r>
          </w:p>
        </w:tc>
        <w:tc>
          <w:tcPr>
            <w:tcW w:w="1399" w:type="dxa"/>
            <w:vAlign w:val="center"/>
          </w:tcPr>
          <w:p w14:paraId="214C913D">
            <w:pPr>
              <w:jc w:val="center"/>
              <w:rPr>
                <w:rFonts w:hint="eastAsia" w:ascii="仿宋_GB2312" w:eastAsia="仿宋_GB2312"/>
              </w:rPr>
            </w:pPr>
            <w:r>
              <w:rPr>
                <w:rFonts w:hint="eastAsia" w:ascii="仿宋_GB2312" w:eastAsia="仿宋_GB2312"/>
              </w:rPr>
              <w:t>实收资本</w:t>
            </w:r>
          </w:p>
        </w:tc>
        <w:tc>
          <w:tcPr>
            <w:tcW w:w="1274" w:type="dxa"/>
            <w:vAlign w:val="center"/>
          </w:tcPr>
          <w:p w14:paraId="2A8680F1">
            <w:pPr>
              <w:jc w:val="center"/>
              <w:rPr>
                <w:rFonts w:hint="default" w:ascii="仿宋_GB2312" w:eastAsia="仿宋_GB2312"/>
                <w:sz w:val="18"/>
                <w:szCs w:val="18"/>
                <w:lang w:val="en-US" w:eastAsia="zh-CN"/>
              </w:rPr>
            </w:pPr>
          </w:p>
        </w:tc>
        <w:tc>
          <w:tcPr>
            <w:tcW w:w="1527" w:type="dxa"/>
            <w:vAlign w:val="center"/>
          </w:tcPr>
          <w:p w14:paraId="5A8160E7">
            <w:pPr>
              <w:jc w:val="center"/>
              <w:rPr>
                <w:rFonts w:hint="eastAsia" w:ascii="仿宋_GB2312" w:eastAsia="仿宋_GB2312"/>
              </w:rPr>
            </w:pPr>
            <w:r>
              <w:rPr>
                <w:rFonts w:hint="eastAsia" w:ascii="仿宋_GB2312" w:eastAsia="仿宋_GB2312"/>
              </w:rPr>
              <w:t>货币实收资本</w:t>
            </w:r>
          </w:p>
        </w:tc>
        <w:tc>
          <w:tcPr>
            <w:tcW w:w="1135" w:type="dxa"/>
            <w:vAlign w:val="center"/>
          </w:tcPr>
          <w:p w14:paraId="1E8EC360">
            <w:pPr>
              <w:jc w:val="center"/>
              <w:rPr>
                <w:rFonts w:hint="default" w:ascii="仿宋_GB2312" w:eastAsia="仿宋_GB2312"/>
                <w:sz w:val="18"/>
                <w:szCs w:val="18"/>
                <w:lang w:val="en-US" w:eastAsia="zh-CN"/>
              </w:rPr>
            </w:pPr>
          </w:p>
        </w:tc>
      </w:tr>
      <w:tr w14:paraId="5ED006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7A1FFFAD">
            <w:pPr>
              <w:jc w:val="center"/>
              <w:rPr>
                <w:rFonts w:hint="eastAsia" w:ascii="仿宋_GB2312" w:eastAsia="仿宋_GB2312"/>
              </w:rPr>
            </w:pPr>
            <w:r>
              <w:rPr>
                <w:rFonts w:hint="eastAsia" w:ascii="仿宋_GB2312" w:eastAsia="仿宋_GB2312"/>
              </w:rPr>
              <w:t>注册地址</w:t>
            </w:r>
          </w:p>
        </w:tc>
        <w:tc>
          <w:tcPr>
            <w:tcW w:w="7201" w:type="dxa"/>
            <w:gridSpan w:val="5"/>
            <w:vAlign w:val="center"/>
          </w:tcPr>
          <w:p w14:paraId="31D84DD6">
            <w:pPr>
              <w:jc w:val="center"/>
              <w:rPr>
                <w:rFonts w:hint="default" w:ascii="仿宋_GB2312" w:eastAsia="仿宋_GB2312"/>
                <w:lang w:val="en-US" w:eastAsia="zh-CN"/>
              </w:rPr>
            </w:pPr>
            <w:r>
              <w:rPr>
                <w:rFonts w:hint="eastAsia" w:ascii="仿宋_GB2312" w:eastAsia="仿宋_GB2312"/>
                <w:lang w:val="en-US" w:eastAsia="zh-CN"/>
              </w:rPr>
              <w:t>浙江省杭州市余杭区中泰街道铜山溪路2号南湖未来科学园11号楼505室</w:t>
            </w:r>
          </w:p>
        </w:tc>
      </w:tr>
      <w:tr w14:paraId="449CA5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4E646696">
            <w:pPr>
              <w:jc w:val="center"/>
              <w:rPr>
                <w:rFonts w:hint="eastAsia" w:ascii="仿宋_GB2312" w:eastAsia="仿宋_GB2312"/>
              </w:rPr>
            </w:pPr>
            <w:r>
              <w:rPr>
                <w:rFonts w:hint="eastAsia" w:ascii="仿宋_GB2312" w:eastAsia="仿宋_GB2312"/>
              </w:rPr>
              <w:t>实际办公地址</w:t>
            </w:r>
          </w:p>
        </w:tc>
        <w:tc>
          <w:tcPr>
            <w:tcW w:w="7201" w:type="dxa"/>
            <w:gridSpan w:val="5"/>
            <w:vAlign w:val="center"/>
          </w:tcPr>
          <w:p w14:paraId="381C4075">
            <w:pPr>
              <w:jc w:val="center"/>
              <w:rPr>
                <w:rFonts w:hint="default" w:ascii="仿宋_GB2312" w:eastAsia="仿宋_GB2312"/>
                <w:lang w:val="en-US" w:eastAsia="zh-CN"/>
              </w:rPr>
            </w:pPr>
            <w:r>
              <w:rPr>
                <w:rFonts w:hint="eastAsia" w:ascii="仿宋_GB2312" w:eastAsia="仿宋_GB2312"/>
                <w:lang w:val="en-US" w:eastAsia="zh-CN"/>
              </w:rPr>
              <w:t>浙江省杭州市余杭区中泰街道铜山溪路2号南湖未来科学园11号楼505室</w:t>
            </w:r>
          </w:p>
        </w:tc>
      </w:tr>
      <w:tr w14:paraId="5B9B5B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78867356">
            <w:pPr>
              <w:jc w:val="center"/>
              <w:rPr>
                <w:rFonts w:hint="eastAsia" w:ascii="仿宋_GB2312" w:eastAsia="仿宋_GB2312"/>
              </w:rPr>
            </w:pPr>
            <w:r>
              <w:rPr>
                <w:rFonts w:hint="eastAsia" w:ascii="仿宋_GB2312" w:eastAsia="仿宋_GB2312"/>
              </w:rPr>
              <w:t>公司法人</w:t>
            </w:r>
          </w:p>
        </w:tc>
        <w:tc>
          <w:tcPr>
            <w:tcW w:w="3265" w:type="dxa"/>
            <w:gridSpan w:val="2"/>
            <w:vAlign w:val="center"/>
          </w:tcPr>
          <w:p w14:paraId="56A0BF1D">
            <w:pPr>
              <w:jc w:val="center"/>
              <w:rPr>
                <w:rFonts w:hint="default" w:ascii="仿宋_GB2312" w:eastAsia="仿宋_GB2312"/>
                <w:lang w:val="en-US" w:eastAsia="zh-CN"/>
              </w:rPr>
            </w:pPr>
            <w:r>
              <w:rPr>
                <w:rFonts w:hint="eastAsia" w:ascii="仿宋_GB2312" w:eastAsia="仿宋_GB2312"/>
                <w:lang w:val="en-US" w:eastAsia="zh-CN"/>
              </w:rPr>
              <w:t>周志强</w:t>
            </w:r>
          </w:p>
        </w:tc>
        <w:tc>
          <w:tcPr>
            <w:tcW w:w="1274" w:type="dxa"/>
            <w:vAlign w:val="center"/>
          </w:tcPr>
          <w:p w14:paraId="0564D11C">
            <w:pPr>
              <w:jc w:val="center"/>
              <w:rPr>
                <w:rFonts w:hint="eastAsia" w:ascii="仿宋_GB2312" w:eastAsia="仿宋_GB2312"/>
              </w:rPr>
            </w:pPr>
            <w:r>
              <w:rPr>
                <w:rFonts w:hint="eastAsia" w:ascii="仿宋_GB2312" w:eastAsia="仿宋_GB2312"/>
              </w:rPr>
              <w:t>联系电话</w:t>
            </w:r>
          </w:p>
        </w:tc>
        <w:tc>
          <w:tcPr>
            <w:tcW w:w="2662" w:type="dxa"/>
            <w:gridSpan w:val="2"/>
            <w:vAlign w:val="center"/>
          </w:tcPr>
          <w:p w14:paraId="7692CC0E">
            <w:pPr>
              <w:jc w:val="center"/>
              <w:rPr>
                <w:rFonts w:hint="default" w:ascii="仿宋_GB2312" w:eastAsia="仿宋_GB2312"/>
                <w:lang w:val="en-US" w:eastAsia="zh-CN"/>
              </w:rPr>
            </w:pPr>
            <w:r>
              <w:rPr>
                <w:rFonts w:hint="eastAsia" w:ascii="仿宋_GB2312" w:eastAsia="仿宋_GB2312"/>
                <w:lang w:val="en-US" w:eastAsia="zh-CN"/>
              </w:rPr>
              <w:t>15000209442</w:t>
            </w:r>
          </w:p>
        </w:tc>
      </w:tr>
      <w:tr w14:paraId="0CDD3D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37D2FE8F">
            <w:pPr>
              <w:jc w:val="center"/>
              <w:rPr>
                <w:rFonts w:hint="eastAsia" w:ascii="仿宋_GB2312" w:eastAsia="仿宋_GB2312"/>
              </w:rPr>
            </w:pPr>
            <w:r>
              <w:rPr>
                <w:rFonts w:hint="eastAsia" w:ascii="仿宋_GB2312" w:eastAsia="仿宋_GB2312"/>
              </w:rPr>
              <w:t>电子邮箱</w:t>
            </w:r>
          </w:p>
        </w:tc>
        <w:tc>
          <w:tcPr>
            <w:tcW w:w="7201" w:type="dxa"/>
            <w:gridSpan w:val="5"/>
            <w:vAlign w:val="center"/>
          </w:tcPr>
          <w:p w14:paraId="67BAB66A">
            <w:pPr>
              <w:jc w:val="center"/>
              <w:rPr>
                <w:rFonts w:hint="default" w:ascii="仿宋_GB2312" w:eastAsia="仿宋_GB2312"/>
                <w:lang w:val="en-US" w:eastAsia="zh-CN"/>
              </w:rPr>
            </w:pPr>
          </w:p>
        </w:tc>
      </w:tr>
      <w:tr w14:paraId="27CFC3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3D550541">
            <w:pPr>
              <w:jc w:val="center"/>
              <w:rPr>
                <w:rFonts w:hint="eastAsia" w:ascii="仿宋_GB2312" w:eastAsia="仿宋_GB2312"/>
              </w:rPr>
            </w:pPr>
            <w:r>
              <w:rPr>
                <w:rFonts w:hint="eastAsia" w:ascii="仿宋_GB2312" w:eastAsia="仿宋_GB2312"/>
              </w:rPr>
              <w:t>项目联系人</w:t>
            </w:r>
          </w:p>
        </w:tc>
        <w:tc>
          <w:tcPr>
            <w:tcW w:w="3265" w:type="dxa"/>
            <w:gridSpan w:val="2"/>
            <w:vAlign w:val="center"/>
          </w:tcPr>
          <w:p w14:paraId="5123F68B">
            <w:pPr>
              <w:jc w:val="center"/>
              <w:rPr>
                <w:rFonts w:hint="default" w:ascii="仿宋_GB2312" w:eastAsia="仿宋_GB2312"/>
                <w:lang w:val="en-US" w:eastAsia="zh-CN"/>
              </w:rPr>
            </w:pPr>
            <w:r>
              <w:rPr>
                <w:rFonts w:hint="eastAsia" w:ascii="仿宋_GB2312" w:eastAsia="仿宋_GB2312"/>
                <w:lang w:val="en-US" w:eastAsia="zh-CN"/>
              </w:rPr>
              <w:t>汤卓群</w:t>
            </w:r>
          </w:p>
        </w:tc>
        <w:tc>
          <w:tcPr>
            <w:tcW w:w="1274" w:type="dxa"/>
            <w:vAlign w:val="center"/>
          </w:tcPr>
          <w:p w14:paraId="3307FC43">
            <w:pPr>
              <w:jc w:val="center"/>
              <w:rPr>
                <w:rFonts w:hint="eastAsia" w:ascii="仿宋_GB2312" w:eastAsia="仿宋_GB2312"/>
              </w:rPr>
            </w:pPr>
            <w:r>
              <w:rPr>
                <w:rFonts w:hint="eastAsia" w:ascii="仿宋_GB2312" w:eastAsia="仿宋_GB2312"/>
              </w:rPr>
              <w:t>联系电话</w:t>
            </w:r>
          </w:p>
        </w:tc>
        <w:tc>
          <w:tcPr>
            <w:tcW w:w="2662" w:type="dxa"/>
            <w:gridSpan w:val="2"/>
            <w:vAlign w:val="center"/>
          </w:tcPr>
          <w:p w14:paraId="6CB62658">
            <w:pPr>
              <w:jc w:val="center"/>
              <w:rPr>
                <w:rFonts w:hint="default" w:ascii="仿宋_GB2312" w:eastAsia="仿宋_GB2312"/>
                <w:lang w:val="en-US" w:eastAsia="zh-CN"/>
              </w:rPr>
            </w:pPr>
            <w:r>
              <w:rPr>
                <w:rFonts w:hint="eastAsia" w:ascii="仿宋_GB2312" w:eastAsia="仿宋_GB2312"/>
                <w:lang w:val="en-US" w:eastAsia="zh-CN"/>
              </w:rPr>
              <w:t>18268598486</w:t>
            </w:r>
          </w:p>
        </w:tc>
      </w:tr>
      <w:tr w14:paraId="270117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727595A2">
            <w:pPr>
              <w:jc w:val="center"/>
              <w:rPr>
                <w:rFonts w:hint="eastAsia" w:ascii="仿宋_GB2312" w:eastAsia="仿宋_GB2312"/>
              </w:rPr>
            </w:pPr>
            <w:r>
              <w:rPr>
                <w:rFonts w:hint="eastAsia" w:ascii="仿宋_GB2312" w:eastAsia="仿宋_GB2312"/>
              </w:rPr>
              <w:t>电子邮箱</w:t>
            </w:r>
          </w:p>
        </w:tc>
        <w:tc>
          <w:tcPr>
            <w:tcW w:w="7201" w:type="dxa"/>
            <w:gridSpan w:val="5"/>
            <w:vAlign w:val="center"/>
          </w:tcPr>
          <w:p w14:paraId="79F8599D">
            <w:pPr>
              <w:jc w:val="center"/>
              <w:rPr>
                <w:rFonts w:hint="default" w:ascii="仿宋_GB2312" w:eastAsia="仿宋_GB2312"/>
                <w:lang w:val="en-US" w:eastAsia="zh-CN"/>
              </w:rPr>
            </w:pPr>
            <w:r>
              <w:rPr>
                <w:rFonts w:hint="eastAsia" w:ascii="仿宋_GB2312" w:eastAsia="仿宋_GB2312"/>
                <w:lang w:val="en-US" w:eastAsia="zh-CN"/>
              </w:rPr>
              <w:t>tangzhuoqun@hzzszc.cn</w:t>
            </w:r>
          </w:p>
        </w:tc>
      </w:tr>
      <w:tr w14:paraId="00B8C5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48" w:type="dxa"/>
            <w:vAlign w:val="center"/>
          </w:tcPr>
          <w:p w14:paraId="7AC7EFA4">
            <w:pPr>
              <w:jc w:val="center"/>
              <w:rPr>
                <w:rFonts w:hint="eastAsia" w:ascii="仿宋_GB2312" w:eastAsia="仿宋_GB2312"/>
              </w:rPr>
            </w:pPr>
            <w:r>
              <w:rPr>
                <w:rFonts w:hint="eastAsia" w:ascii="仿宋_GB2312" w:eastAsia="仿宋_GB2312"/>
              </w:rPr>
              <w:t>开户银行</w:t>
            </w:r>
          </w:p>
        </w:tc>
        <w:tc>
          <w:tcPr>
            <w:tcW w:w="3265" w:type="dxa"/>
            <w:gridSpan w:val="2"/>
            <w:vAlign w:val="center"/>
          </w:tcPr>
          <w:p w14:paraId="67CF4C9F">
            <w:pPr>
              <w:jc w:val="center"/>
              <w:rPr>
                <w:rFonts w:hint="default" w:ascii="仿宋_GB2312" w:eastAsia="仿宋_GB2312"/>
                <w:lang w:val="en-US" w:eastAsia="zh-CN"/>
              </w:rPr>
            </w:pPr>
            <w:r>
              <w:rPr>
                <w:rFonts w:hint="eastAsia" w:ascii="仿宋_GB2312" w:eastAsia="仿宋_GB2312"/>
                <w:lang w:val="en-US" w:eastAsia="zh-CN"/>
              </w:rPr>
              <w:t>余杭农商银行中泰支行</w:t>
            </w:r>
          </w:p>
        </w:tc>
        <w:tc>
          <w:tcPr>
            <w:tcW w:w="1274" w:type="dxa"/>
            <w:vAlign w:val="center"/>
          </w:tcPr>
          <w:p w14:paraId="73B3CA02">
            <w:pPr>
              <w:jc w:val="center"/>
              <w:rPr>
                <w:rFonts w:hint="eastAsia" w:ascii="仿宋_GB2312" w:eastAsia="仿宋_GB2312"/>
              </w:rPr>
            </w:pPr>
            <w:r>
              <w:rPr>
                <w:rFonts w:hint="eastAsia" w:ascii="仿宋_GB2312" w:eastAsia="仿宋_GB2312"/>
              </w:rPr>
              <w:t>银行帐号</w:t>
            </w:r>
          </w:p>
        </w:tc>
        <w:tc>
          <w:tcPr>
            <w:tcW w:w="2662" w:type="dxa"/>
            <w:gridSpan w:val="2"/>
            <w:vAlign w:val="center"/>
          </w:tcPr>
          <w:p w14:paraId="3F1C7B26">
            <w:pPr>
              <w:jc w:val="center"/>
              <w:rPr>
                <w:rFonts w:hint="default" w:ascii="仿宋_GB2312" w:eastAsia="仿宋_GB2312"/>
                <w:lang w:val="en-US" w:eastAsia="zh-CN"/>
              </w:rPr>
            </w:pPr>
            <w:r>
              <w:rPr>
                <w:rFonts w:hint="eastAsia" w:ascii="仿宋_GB2312" w:eastAsia="仿宋_GB2312"/>
                <w:lang w:val="en-US" w:eastAsia="zh-CN"/>
              </w:rPr>
              <w:t>201000405437287</w:t>
            </w:r>
          </w:p>
        </w:tc>
      </w:tr>
      <w:tr w14:paraId="4383E4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51" w:hRule="exact"/>
          <w:jc w:val="center"/>
        </w:trPr>
        <w:tc>
          <w:tcPr>
            <w:tcW w:w="1548" w:type="dxa"/>
            <w:vAlign w:val="center"/>
          </w:tcPr>
          <w:p w14:paraId="5D1A0B12">
            <w:pPr>
              <w:ind w:left="1333" w:leftChars="-270" w:hanging="1900" w:hangingChars="905"/>
              <w:jc w:val="center"/>
              <w:rPr>
                <w:rFonts w:hint="eastAsia" w:ascii="仿宋_GB2312" w:eastAsia="仿宋_GB2312"/>
              </w:rPr>
            </w:pPr>
            <w:r>
              <w:rPr>
                <w:rFonts w:hint="eastAsia" w:ascii="仿宋_GB2312" w:eastAsia="仿宋_GB2312"/>
              </w:rPr>
              <w:t xml:space="preserve">     技术领域</w:t>
            </w:r>
          </w:p>
        </w:tc>
        <w:tc>
          <w:tcPr>
            <w:tcW w:w="7201" w:type="dxa"/>
            <w:gridSpan w:val="5"/>
            <w:vAlign w:val="center"/>
          </w:tcPr>
          <w:p w14:paraId="472AE59B">
            <w:pPr>
              <w:spacing w:line="240" w:lineRule="exact"/>
              <w:ind w:firstLine="1680" w:firstLineChars="800"/>
              <w:rPr>
                <w:rFonts w:hint="eastAsia" w:ascii="仿宋_GB2312" w:eastAsia="仿宋_GB2312"/>
                <w:szCs w:val="21"/>
              </w:rPr>
            </w:pPr>
            <w:r>
              <w:rPr>
                <w:rFonts w:hint="eastAsia" w:ascii="仿宋_GB2312" w:eastAsia="仿宋_GB2312"/>
                <w:szCs w:val="21"/>
              </w:rPr>
              <mc:AlternateContent>
                <mc:Choice Requires="wps">
                  <w:drawing>
                    <wp:anchor distT="0" distB="0" distL="114300" distR="114300" simplePos="0" relativeHeight="251663360" behindDoc="0" locked="0" layoutInCell="1" allowOverlap="1">
                      <wp:simplePos x="0" y="0"/>
                      <wp:positionH relativeFrom="column">
                        <wp:posOffset>76835</wp:posOffset>
                      </wp:positionH>
                      <wp:positionV relativeFrom="paragraph">
                        <wp:posOffset>56515</wp:posOffset>
                      </wp:positionV>
                      <wp:extent cx="868680" cy="270510"/>
                      <wp:effectExtent l="4445" t="5080" r="15875" b="16510"/>
                      <wp:wrapNone/>
                      <wp:docPr id="8" name="矩形 8"/>
                      <wp:cNvGraphicFramePr/>
                      <a:graphic xmlns:a="http://schemas.openxmlformats.org/drawingml/2006/main">
                        <a:graphicData uri="http://schemas.microsoft.com/office/word/2010/wordprocessingShape">
                          <wps:wsp>
                            <wps:cNvSpPr/>
                            <wps:spPr>
                              <a:xfrm>
                                <a:off x="0" y="0"/>
                                <a:ext cx="868680" cy="2705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54C2D3">
                                  <w:pPr>
                                    <w:rPr>
                                      <w:rFonts w:hint="default" w:eastAsia="宋体"/>
                                      <w:szCs w:val="21"/>
                                      <w:lang w:val="en-US" w:eastAsia="zh-CN"/>
                                    </w:rPr>
                                  </w:pPr>
                                  <w:r>
                                    <w:rPr>
                                      <w:rFonts w:hint="eastAsia"/>
                                      <w:szCs w:val="21"/>
                                      <w:lang w:val="en-US" w:eastAsia="zh-CN"/>
                                    </w:rPr>
                                    <w:t>智能物联</w:t>
                                  </w:r>
                                </w:p>
                              </w:txbxContent>
                            </wps:txbx>
                            <wps:bodyPr upright="1"/>
                          </wps:wsp>
                        </a:graphicData>
                      </a:graphic>
                    </wp:anchor>
                  </w:drawing>
                </mc:Choice>
                <mc:Fallback>
                  <w:pict>
                    <v:rect id="_x0000_s1026" o:spid="_x0000_s1026" o:spt="1" style="position:absolute;left:0pt;margin-left:6.05pt;margin-top:4.45pt;height:21.3pt;width:68.4pt;z-index:251663360;mso-width-relative:page;mso-height-relative:page;" fillcolor="#FFFFFF" filled="t" stroked="t" coordsize="21600,21600" o:gfxdata="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3siDTAAAABwEAAA8AAAAAAAAAAQAgAAAAIgAAAGRycy9kb3ducmV2&#10;LnhtbFBLAQIUABQAAAAIAIdO4kDjj7V/AQIAACgEAAAOAAAAAAAAAAEAIAAAACIBAABkcnMvZTJv&#10;RG9jLnhtbFBLBQYAAAAABgAGAFkBAACVBQAAAAA=&#10;">
                      <v:fill on="t" focussize="0,0"/>
                      <v:stroke color="#000000" joinstyle="miter"/>
                      <v:imagedata o:title=""/>
                      <o:lock v:ext="edit" aspectratio="f"/>
                      <v:textbox>
                        <w:txbxContent>
                          <w:p w14:paraId="2754C2D3">
                            <w:pPr>
                              <w:rPr>
                                <w:rFonts w:hint="default" w:eastAsia="宋体"/>
                                <w:szCs w:val="21"/>
                                <w:lang w:val="en-US" w:eastAsia="zh-CN"/>
                              </w:rPr>
                            </w:pPr>
                            <w:r>
                              <w:rPr>
                                <w:rFonts w:hint="eastAsia"/>
                                <w:szCs w:val="21"/>
                                <w:lang w:val="en-US" w:eastAsia="zh-CN"/>
                              </w:rPr>
                              <w:t>智能物联</w:t>
                            </w:r>
                          </w:p>
                        </w:txbxContent>
                      </v:textbox>
                    </v:rect>
                  </w:pict>
                </mc:Fallback>
              </mc:AlternateContent>
            </w:r>
            <w:r>
              <w:rPr>
                <w:rFonts w:hint="eastAsia" w:ascii="仿宋_GB2312" w:eastAsia="仿宋_GB2312"/>
                <w:szCs w:val="21"/>
              </w:rPr>
              <w:t>01.智能物联     02.生物医药     03.高端装备</w:t>
            </w:r>
          </w:p>
          <w:p w14:paraId="75816F4B">
            <w:pPr>
              <w:spacing w:line="240" w:lineRule="exact"/>
              <w:ind w:firstLine="1680" w:firstLineChars="800"/>
              <w:rPr>
                <w:rFonts w:hint="eastAsia" w:ascii="仿宋_GB2312" w:eastAsia="仿宋_GB2312"/>
              </w:rPr>
            </w:pPr>
            <w:r>
              <w:rPr>
                <w:rFonts w:ascii="仿宋_GB2312" w:eastAsia="仿宋_GB2312"/>
                <w:szCs w:val="21"/>
              </w:rPr>
              <w:t>04</w:t>
            </w:r>
            <w:r>
              <w:rPr>
                <w:rFonts w:hint="eastAsia" w:ascii="仿宋_GB2312" w:eastAsia="仿宋_GB2312"/>
                <w:szCs w:val="21"/>
              </w:rPr>
              <w:t xml:space="preserve">.新材料       05.绿色能源   </w:t>
            </w:r>
          </w:p>
        </w:tc>
      </w:tr>
      <w:tr w14:paraId="5FDAA7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402" w:hRule="atLeast"/>
          <w:jc w:val="center"/>
        </w:trPr>
        <w:tc>
          <w:tcPr>
            <w:tcW w:w="1548" w:type="dxa"/>
            <w:vAlign w:val="center"/>
          </w:tcPr>
          <w:p w14:paraId="7EBDEF3C">
            <w:pPr>
              <w:jc w:val="left"/>
              <w:rPr>
                <w:rFonts w:hint="eastAsia" w:ascii="仿宋_GB2312" w:eastAsia="仿宋_GB2312"/>
              </w:rPr>
            </w:pPr>
            <w:r>
              <w:rPr>
                <w:rFonts w:hint="eastAsia" w:ascii="仿宋_GB2312" w:eastAsia="仿宋_GB2312"/>
              </w:rPr>
              <w:t xml:space="preserve">  项目申请人</w:t>
            </w:r>
          </w:p>
          <w:p w14:paraId="21F79535">
            <w:pPr>
              <w:ind w:left="1333" w:leftChars="-270" w:hanging="1900" w:hangingChars="905"/>
              <w:jc w:val="left"/>
              <w:rPr>
                <w:rFonts w:hint="eastAsia" w:ascii="仿宋_GB2312" w:eastAsia="仿宋_GB2312"/>
                <w:szCs w:val="21"/>
              </w:rPr>
            </w:pPr>
            <w:r>
              <w:rPr>
                <w:rFonts w:hint="eastAsia" w:ascii="仿宋_GB2312" w:eastAsia="仿宋_GB2312"/>
              </w:rPr>
              <w:t xml:space="preserve">      </w:t>
            </w:r>
            <w:r>
              <w:rPr>
                <w:rFonts w:hint="eastAsia" w:ascii="仿宋_GB2312" w:eastAsia="仿宋_GB2312"/>
                <w:szCs w:val="21"/>
              </w:rPr>
              <w:t>实际占股比例</w:t>
            </w:r>
          </w:p>
          <w:p w14:paraId="21BCB5A4">
            <w:pPr>
              <w:ind w:left="1333" w:leftChars="-270" w:hanging="1900" w:hangingChars="905"/>
              <w:jc w:val="left"/>
              <w:rPr>
                <w:rFonts w:hint="eastAsia" w:ascii="仿宋_GB2312" w:eastAsia="仿宋_GB2312"/>
                <w:szCs w:val="21"/>
              </w:rPr>
            </w:pPr>
            <w:r>
              <w:rPr>
                <w:rFonts w:hint="eastAsia" w:ascii="仿宋_GB2312" w:eastAsia="仿宋_GB2312"/>
                <w:szCs w:val="21"/>
              </w:rPr>
              <w:t xml:space="preserve">         情况</w:t>
            </w:r>
          </w:p>
          <w:p w14:paraId="689FC50F">
            <w:pPr>
              <w:ind w:left="1333" w:leftChars="-270" w:hanging="1900" w:hangingChars="905"/>
              <w:jc w:val="left"/>
              <w:rPr>
                <w:rFonts w:hint="eastAsia" w:ascii="仿宋_GB2312" w:eastAsia="仿宋_GB2312"/>
                <w:szCs w:val="21"/>
              </w:rPr>
            </w:pPr>
            <w:r>
              <w:rPr>
                <w:rFonts w:hint="eastAsia" w:ascii="仿宋_GB2312" w:eastAsia="仿宋_GB2312"/>
                <w:szCs w:val="21"/>
              </w:rPr>
              <w:t xml:space="preserve">      （股权结构）</w:t>
            </w:r>
          </w:p>
        </w:tc>
        <w:tc>
          <w:tcPr>
            <w:tcW w:w="7201" w:type="dxa"/>
            <w:gridSpan w:val="5"/>
            <w:vAlign w:val="center"/>
          </w:tcPr>
          <w:p w14:paraId="280C8F54">
            <w:pPr>
              <w:jc w:val="left"/>
              <w:rPr>
                <w:rFonts w:ascii="楷体" w:hAnsi="楷体" w:eastAsia="楷体" w:cs="楷体"/>
                <w:szCs w:val="21"/>
              </w:rPr>
            </w:pPr>
            <w:r>
              <w:rPr>
                <w:rFonts w:hint="eastAsia" w:ascii="楷体" w:hAnsi="楷体" w:eastAsia="楷体" w:cs="楷体"/>
                <w:szCs w:val="21"/>
              </w:rPr>
              <w:t>（政策兑现时项目应满足申请人占股15%以上，且申请人实到资本占公司全部注册资本比例达到15%以上）</w:t>
            </w:r>
          </w:p>
          <w:p w14:paraId="3784339E">
            <w:pPr>
              <w:jc w:val="left"/>
              <w:rPr>
                <w:rFonts w:ascii="楷体" w:hAnsi="楷体" w:eastAsia="楷体" w:cs="楷体"/>
                <w:szCs w:val="21"/>
              </w:rPr>
            </w:pPr>
          </w:p>
          <w:p w14:paraId="075811B2">
            <w:pPr>
              <w:jc w:val="left"/>
              <w:rPr>
                <w:rFonts w:hint="default" w:ascii="楷体" w:hAnsi="楷体" w:eastAsia="楷体" w:cs="楷体"/>
                <w:szCs w:val="21"/>
                <w:lang w:val="en-US" w:eastAsia="zh-CN"/>
              </w:rPr>
            </w:pPr>
            <w:r>
              <w:rPr>
                <w:rFonts w:hint="eastAsia" w:ascii="楷体" w:hAnsi="楷体" w:eastAsia="楷体" w:cs="楷体"/>
                <w:szCs w:val="21"/>
                <w:lang w:val="en-US" w:eastAsia="zh-CN"/>
              </w:rPr>
              <w:t>杨星辰为最大自然人股东占股15%，公司其余股东分别为紫辉（杭州）企业管理合伙企业（有限合伙）、杭州紫霄无人科技有限公司以及投资公司。（目前暂未变更，将在天使轮前完成变更）</w:t>
            </w:r>
          </w:p>
          <w:p w14:paraId="72351DFF">
            <w:pPr>
              <w:jc w:val="left"/>
              <w:rPr>
                <w:rFonts w:ascii="楷体" w:hAnsi="楷体" w:eastAsia="楷体" w:cs="楷体"/>
                <w:szCs w:val="21"/>
              </w:rPr>
            </w:pPr>
          </w:p>
          <w:p w14:paraId="3E8ACF1A">
            <w:pPr>
              <w:jc w:val="left"/>
              <w:rPr>
                <w:rFonts w:ascii="楷体" w:hAnsi="楷体" w:eastAsia="楷体" w:cs="楷体"/>
                <w:szCs w:val="21"/>
              </w:rPr>
            </w:pPr>
          </w:p>
          <w:p w14:paraId="6C5D9932">
            <w:pPr>
              <w:jc w:val="left"/>
              <w:rPr>
                <w:rFonts w:ascii="楷体" w:hAnsi="楷体" w:eastAsia="楷体" w:cs="楷体"/>
                <w:szCs w:val="21"/>
              </w:rPr>
            </w:pPr>
          </w:p>
          <w:p w14:paraId="6F4B5613">
            <w:pPr>
              <w:jc w:val="left"/>
              <w:rPr>
                <w:rFonts w:ascii="楷体" w:hAnsi="楷体" w:eastAsia="楷体" w:cs="楷体"/>
                <w:szCs w:val="21"/>
              </w:rPr>
            </w:pPr>
          </w:p>
          <w:p w14:paraId="1C24E05E">
            <w:pPr>
              <w:jc w:val="left"/>
              <w:rPr>
                <w:rFonts w:ascii="楷体" w:hAnsi="楷体" w:eastAsia="楷体" w:cs="楷体"/>
                <w:szCs w:val="21"/>
              </w:rPr>
            </w:pPr>
          </w:p>
          <w:p w14:paraId="3519A010">
            <w:pPr>
              <w:jc w:val="left"/>
              <w:rPr>
                <w:rFonts w:ascii="楷体" w:hAnsi="楷体" w:eastAsia="楷体" w:cs="楷体"/>
                <w:szCs w:val="21"/>
              </w:rPr>
            </w:pPr>
          </w:p>
          <w:p w14:paraId="43B0F68E">
            <w:pPr>
              <w:jc w:val="left"/>
              <w:rPr>
                <w:rFonts w:ascii="楷体" w:hAnsi="楷体" w:eastAsia="楷体" w:cs="楷体"/>
                <w:szCs w:val="21"/>
              </w:rPr>
            </w:pPr>
          </w:p>
          <w:p w14:paraId="1D28035F">
            <w:pPr>
              <w:jc w:val="left"/>
              <w:rPr>
                <w:rFonts w:ascii="楷体" w:hAnsi="楷体" w:eastAsia="楷体" w:cs="楷体"/>
                <w:szCs w:val="21"/>
              </w:rPr>
            </w:pPr>
          </w:p>
          <w:p w14:paraId="43E3EDD0">
            <w:pPr>
              <w:jc w:val="left"/>
              <w:rPr>
                <w:rFonts w:ascii="楷体" w:hAnsi="楷体" w:eastAsia="楷体" w:cs="楷体"/>
                <w:szCs w:val="21"/>
              </w:rPr>
            </w:pPr>
          </w:p>
          <w:p w14:paraId="54342C00">
            <w:pPr>
              <w:jc w:val="left"/>
              <w:rPr>
                <w:rFonts w:ascii="楷体" w:hAnsi="楷体" w:eastAsia="楷体" w:cs="楷体"/>
                <w:szCs w:val="21"/>
              </w:rPr>
            </w:pPr>
          </w:p>
          <w:p w14:paraId="307BED01">
            <w:pPr>
              <w:jc w:val="left"/>
              <w:rPr>
                <w:rFonts w:hint="eastAsia" w:ascii="仿宋_GB2312" w:eastAsia="仿宋_GB2312"/>
                <w:szCs w:val="21"/>
              </w:rPr>
            </w:pPr>
          </w:p>
        </w:tc>
      </w:tr>
    </w:tbl>
    <w:p w14:paraId="1E612319">
      <w:pPr>
        <w:rPr>
          <w:rFonts w:hint="default" w:ascii="仿宋_GB2312" w:eastAsia="仿宋_GB2312"/>
          <w:b/>
          <w:bCs/>
          <w:sz w:val="18"/>
          <w:szCs w:val="18"/>
          <w:lang w:val="en-US" w:eastAsia="zh-CN"/>
        </w:rPr>
      </w:pPr>
    </w:p>
    <w:p w14:paraId="6E56BEDD">
      <w:pPr>
        <w:rPr>
          <w:rFonts w:hint="eastAsia" w:ascii="楷体" w:hAnsi="楷体" w:eastAsia="楷体" w:cs="楷体"/>
          <w:szCs w:val="21"/>
        </w:rPr>
      </w:pPr>
    </w:p>
    <w:p w14:paraId="59134291">
      <w:pPr>
        <w:rPr>
          <w:rFonts w:hint="eastAsia" w:ascii="楷体" w:hAnsi="楷体" w:eastAsia="楷体" w:cs="楷体"/>
          <w:szCs w:val="21"/>
        </w:rPr>
      </w:pPr>
      <w:r>
        <w:rPr>
          <w:rFonts w:hint="eastAsia" w:ascii="楷体" w:hAnsi="楷体" w:eastAsia="楷体" w:cs="楷体"/>
          <w:szCs w:val="21"/>
        </w:rPr>
        <w:t>* 注：项目申请人信息以“余杭先锋”公众号公示为准，且项目类型及项目申请人不得随意变更，项目申请人联系方式、项目联系人或联系方式发生变化的，应及时向落地平台/镇街报备。</w:t>
      </w:r>
    </w:p>
    <w:p w14:paraId="16B2B8C0">
      <w:pPr>
        <w:rPr>
          <w:rFonts w:hint="eastAsia" w:ascii="楷体" w:hAnsi="楷体" w:eastAsia="楷体" w:cs="楷体"/>
          <w:szCs w:val="21"/>
        </w:rPr>
      </w:pPr>
    </w:p>
    <w:p w14:paraId="73F85655">
      <w:pPr>
        <w:rPr>
          <w:rFonts w:hint="eastAsia" w:ascii="黑体" w:hAnsi="黑体" w:eastAsia="黑体" w:cs="黑体"/>
          <w:sz w:val="32"/>
          <w:szCs w:val="32"/>
        </w:rPr>
      </w:pPr>
    </w:p>
    <w:p w14:paraId="18B0D358">
      <w:pPr>
        <w:rPr>
          <w:rFonts w:hint="eastAsia" w:ascii="黑体" w:hAnsi="黑体" w:eastAsia="黑体" w:cs="黑体"/>
          <w:sz w:val="32"/>
          <w:szCs w:val="32"/>
        </w:rPr>
      </w:pPr>
      <w:r>
        <w:rPr>
          <w:rFonts w:hint="eastAsia" w:ascii="黑体" w:hAnsi="黑体" w:eastAsia="黑体" w:cs="黑体"/>
          <w:sz w:val="32"/>
          <w:szCs w:val="32"/>
        </w:rPr>
        <w:t>三、企业经营情况及人员情况</w:t>
      </w:r>
    </w:p>
    <w:p w14:paraId="0B47B772">
      <w:pPr>
        <w:spacing w:line="600" w:lineRule="exact"/>
        <w:rPr>
          <w:rFonts w:hint="eastAsia" w:ascii="黑体" w:hAnsi="黑体" w:eastAsia="黑体" w:cs="黑体"/>
          <w:b/>
          <w:bCs/>
          <w:sz w:val="36"/>
          <w:szCs w:val="36"/>
        </w:rPr>
      </w:pPr>
    </w:p>
    <w:tbl>
      <w:tblPr>
        <w:tblStyle w:val="5"/>
        <w:tblW w:w="828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40"/>
        <w:gridCol w:w="270"/>
        <w:gridCol w:w="660"/>
        <w:gridCol w:w="336"/>
        <w:gridCol w:w="864"/>
        <w:gridCol w:w="446"/>
        <w:gridCol w:w="638"/>
        <w:gridCol w:w="236"/>
        <w:gridCol w:w="402"/>
        <w:gridCol w:w="566"/>
        <w:gridCol w:w="568"/>
        <w:gridCol w:w="899"/>
        <w:gridCol w:w="97"/>
        <w:gridCol w:w="1058"/>
      </w:tblGrid>
      <w:tr w14:paraId="37DC58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81" w:hRule="exact"/>
          <w:jc w:val="center"/>
        </w:trPr>
        <w:tc>
          <w:tcPr>
            <w:tcW w:w="1240" w:type="dxa"/>
            <w:vMerge w:val="restart"/>
            <w:tcBorders>
              <w:top w:val="single" w:color="auto" w:sz="4" w:space="0"/>
            </w:tcBorders>
            <w:vAlign w:val="center"/>
          </w:tcPr>
          <w:p w14:paraId="11123F6F">
            <w:pPr>
              <w:jc w:val="center"/>
              <w:rPr>
                <w:rFonts w:hint="eastAsia" w:ascii="仿宋_GB2312" w:eastAsia="仿宋_GB2312"/>
                <w:bCs/>
              </w:rPr>
            </w:pPr>
            <w:r>
              <w:rPr>
                <w:rFonts w:hint="eastAsia" w:ascii="仿宋_GB2312" w:eastAsia="仿宋_GB2312"/>
                <w:bCs/>
              </w:rPr>
              <w:t>企业目前实际经营情况</w:t>
            </w:r>
          </w:p>
        </w:tc>
        <w:tc>
          <w:tcPr>
            <w:tcW w:w="1266" w:type="dxa"/>
            <w:gridSpan w:val="3"/>
            <w:tcBorders>
              <w:top w:val="single" w:color="auto" w:sz="4" w:space="0"/>
            </w:tcBorders>
            <w:vAlign w:val="center"/>
          </w:tcPr>
          <w:p w14:paraId="5A5758F4">
            <w:pPr>
              <w:jc w:val="center"/>
              <w:rPr>
                <w:rFonts w:hint="eastAsia" w:ascii="仿宋_GB2312" w:eastAsia="仿宋_GB2312"/>
              </w:rPr>
            </w:pPr>
            <w:r>
              <w:rPr>
                <w:rFonts w:hint="eastAsia" w:ascii="仿宋_GB2312" w:eastAsia="仿宋_GB2312"/>
              </w:rPr>
              <w:t>销售收入（万元）</w:t>
            </w:r>
          </w:p>
        </w:tc>
        <w:tc>
          <w:tcPr>
            <w:tcW w:w="1310" w:type="dxa"/>
            <w:gridSpan w:val="2"/>
            <w:tcBorders>
              <w:top w:val="single" w:color="auto" w:sz="4" w:space="0"/>
            </w:tcBorders>
            <w:vAlign w:val="center"/>
          </w:tcPr>
          <w:p w14:paraId="1F56AF5A">
            <w:pPr>
              <w:jc w:val="center"/>
              <w:rPr>
                <w:rFonts w:hint="eastAsia" w:ascii="仿宋_GB2312" w:eastAsia="仿宋_GB2312"/>
              </w:rPr>
            </w:pPr>
            <w:r>
              <w:rPr>
                <w:rFonts w:hint="eastAsia" w:ascii="仿宋_GB2312" w:eastAsia="仿宋_GB2312"/>
              </w:rPr>
              <w:t>研发投入</w:t>
            </w:r>
          </w:p>
          <w:p w14:paraId="22ACE46A">
            <w:pPr>
              <w:jc w:val="center"/>
              <w:rPr>
                <w:rFonts w:hint="eastAsia" w:ascii="仿宋_GB2312" w:eastAsia="仿宋_GB2312"/>
              </w:rPr>
            </w:pPr>
            <w:r>
              <w:rPr>
                <w:rFonts w:hint="eastAsia" w:ascii="仿宋_GB2312" w:eastAsia="仿宋_GB2312"/>
              </w:rPr>
              <w:t>（万元）</w:t>
            </w:r>
          </w:p>
        </w:tc>
        <w:tc>
          <w:tcPr>
            <w:tcW w:w="1276" w:type="dxa"/>
            <w:gridSpan w:val="3"/>
            <w:tcBorders>
              <w:top w:val="single" w:color="auto" w:sz="4" w:space="0"/>
            </w:tcBorders>
            <w:vAlign w:val="center"/>
          </w:tcPr>
          <w:p w14:paraId="046C2809">
            <w:pPr>
              <w:jc w:val="center"/>
              <w:rPr>
                <w:rFonts w:hint="eastAsia" w:ascii="仿宋_GB2312" w:eastAsia="仿宋_GB2312"/>
              </w:rPr>
            </w:pPr>
            <w:r>
              <w:rPr>
                <w:rFonts w:hint="eastAsia" w:ascii="仿宋_GB2312" w:eastAsia="仿宋_GB2312"/>
              </w:rPr>
              <w:t>净利润</w:t>
            </w:r>
          </w:p>
          <w:p w14:paraId="4E085C32">
            <w:pPr>
              <w:jc w:val="center"/>
              <w:rPr>
                <w:rFonts w:hint="eastAsia" w:ascii="仿宋_GB2312" w:eastAsia="仿宋_GB2312"/>
              </w:rPr>
            </w:pPr>
            <w:r>
              <w:rPr>
                <w:rFonts w:hint="eastAsia" w:ascii="仿宋_GB2312" w:eastAsia="仿宋_GB2312"/>
              </w:rPr>
              <w:t>（万元）</w:t>
            </w:r>
          </w:p>
        </w:tc>
        <w:tc>
          <w:tcPr>
            <w:tcW w:w="1134" w:type="dxa"/>
            <w:gridSpan w:val="2"/>
            <w:tcBorders>
              <w:top w:val="single" w:color="auto" w:sz="4" w:space="0"/>
            </w:tcBorders>
            <w:vAlign w:val="center"/>
          </w:tcPr>
          <w:p w14:paraId="21FBFD38">
            <w:pPr>
              <w:jc w:val="center"/>
              <w:rPr>
                <w:rFonts w:hint="eastAsia" w:ascii="仿宋_GB2312" w:eastAsia="仿宋_GB2312"/>
              </w:rPr>
            </w:pPr>
            <w:r>
              <w:rPr>
                <w:rFonts w:hint="eastAsia" w:ascii="仿宋_GB2312" w:eastAsia="仿宋_GB2312"/>
              </w:rPr>
              <w:t>税收</w:t>
            </w:r>
          </w:p>
          <w:p w14:paraId="6B9EDD05">
            <w:pPr>
              <w:jc w:val="center"/>
              <w:rPr>
                <w:rFonts w:hint="eastAsia" w:ascii="仿宋_GB2312" w:eastAsia="仿宋_GB2312"/>
              </w:rPr>
            </w:pPr>
            <w:r>
              <w:rPr>
                <w:rFonts w:hint="eastAsia" w:ascii="仿宋_GB2312" w:eastAsia="仿宋_GB2312"/>
              </w:rPr>
              <w:t>（万元）</w:t>
            </w:r>
          </w:p>
        </w:tc>
        <w:tc>
          <w:tcPr>
            <w:tcW w:w="2054" w:type="dxa"/>
            <w:gridSpan w:val="3"/>
            <w:tcBorders>
              <w:top w:val="single" w:color="auto" w:sz="4" w:space="0"/>
            </w:tcBorders>
            <w:vAlign w:val="center"/>
          </w:tcPr>
          <w:p w14:paraId="7D5CF125">
            <w:pPr>
              <w:jc w:val="center"/>
              <w:rPr>
                <w:rFonts w:hint="eastAsia" w:ascii="仿宋_GB2312" w:eastAsia="仿宋_GB2312"/>
              </w:rPr>
            </w:pPr>
            <w:r>
              <w:rPr>
                <w:rFonts w:hint="eastAsia" w:ascii="仿宋_GB2312" w:eastAsia="仿宋_GB2312"/>
              </w:rPr>
              <w:t>创汇</w:t>
            </w:r>
          </w:p>
          <w:p w14:paraId="3404B924">
            <w:pPr>
              <w:jc w:val="center"/>
              <w:rPr>
                <w:rFonts w:hint="eastAsia" w:ascii="仿宋_GB2312" w:eastAsia="仿宋_GB2312"/>
              </w:rPr>
            </w:pPr>
            <w:r>
              <w:rPr>
                <w:rFonts w:hint="eastAsia" w:ascii="仿宋_GB2312" w:eastAsia="仿宋_GB2312"/>
              </w:rPr>
              <w:t>（万美元，如无填0）</w:t>
            </w:r>
          </w:p>
        </w:tc>
      </w:tr>
      <w:tr w14:paraId="6CE946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1" w:hRule="atLeast"/>
          <w:jc w:val="center"/>
        </w:trPr>
        <w:tc>
          <w:tcPr>
            <w:tcW w:w="1240" w:type="dxa"/>
            <w:vMerge w:val="continue"/>
            <w:tcBorders>
              <w:bottom w:val="single" w:color="auto" w:sz="4" w:space="0"/>
            </w:tcBorders>
            <w:vAlign w:val="center"/>
          </w:tcPr>
          <w:p w14:paraId="326768B4">
            <w:pPr>
              <w:jc w:val="center"/>
              <w:rPr>
                <w:rFonts w:hint="eastAsia" w:ascii="仿宋_GB2312" w:eastAsia="仿宋_GB2312"/>
                <w:bCs/>
              </w:rPr>
            </w:pPr>
          </w:p>
        </w:tc>
        <w:tc>
          <w:tcPr>
            <w:tcW w:w="1266" w:type="dxa"/>
            <w:gridSpan w:val="3"/>
            <w:vAlign w:val="center"/>
          </w:tcPr>
          <w:p w14:paraId="1747DA89">
            <w:pPr>
              <w:jc w:val="center"/>
              <w:rPr>
                <w:rFonts w:hint="default" w:ascii="仿宋_GB2312" w:eastAsia="仿宋_GB2312"/>
                <w:lang w:val="en-US" w:eastAsia="zh-CN"/>
              </w:rPr>
            </w:pPr>
            <w:r>
              <w:rPr>
                <w:rFonts w:hint="eastAsia" w:ascii="仿宋_GB2312" w:eastAsia="仿宋_GB2312"/>
                <w:lang w:val="en-US" w:eastAsia="zh-CN"/>
              </w:rPr>
              <w:t>0</w:t>
            </w:r>
          </w:p>
        </w:tc>
        <w:tc>
          <w:tcPr>
            <w:tcW w:w="1310" w:type="dxa"/>
            <w:gridSpan w:val="2"/>
            <w:vAlign w:val="center"/>
          </w:tcPr>
          <w:p w14:paraId="05877A7B">
            <w:pPr>
              <w:jc w:val="center"/>
              <w:rPr>
                <w:rFonts w:hint="default" w:ascii="仿宋_GB2312" w:eastAsia="仿宋_GB2312"/>
                <w:lang w:val="en-US" w:eastAsia="zh-CN"/>
              </w:rPr>
            </w:pPr>
            <w:r>
              <w:rPr>
                <w:rFonts w:hint="eastAsia" w:ascii="仿宋_GB2312" w:eastAsia="仿宋_GB2312"/>
                <w:lang w:val="en-US" w:eastAsia="zh-CN"/>
              </w:rPr>
              <w:t>0</w:t>
            </w:r>
          </w:p>
        </w:tc>
        <w:tc>
          <w:tcPr>
            <w:tcW w:w="1276" w:type="dxa"/>
            <w:gridSpan w:val="3"/>
            <w:vAlign w:val="center"/>
          </w:tcPr>
          <w:p w14:paraId="1F375484">
            <w:pPr>
              <w:jc w:val="center"/>
              <w:rPr>
                <w:rFonts w:hint="default" w:ascii="仿宋_GB2312" w:eastAsia="仿宋_GB2312"/>
                <w:lang w:val="en-US" w:eastAsia="zh-CN"/>
              </w:rPr>
            </w:pPr>
            <w:r>
              <w:rPr>
                <w:rFonts w:hint="eastAsia" w:ascii="仿宋_GB2312" w:eastAsia="仿宋_GB2312"/>
                <w:lang w:val="en-US" w:eastAsia="zh-CN"/>
              </w:rPr>
              <w:t>0</w:t>
            </w:r>
          </w:p>
        </w:tc>
        <w:tc>
          <w:tcPr>
            <w:tcW w:w="1134" w:type="dxa"/>
            <w:gridSpan w:val="2"/>
            <w:vAlign w:val="center"/>
          </w:tcPr>
          <w:p w14:paraId="3417316E">
            <w:pPr>
              <w:jc w:val="center"/>
              <w:rPr>
                <w:rFonts w:hint="default" w:ascii="仿宋_GB2312" w:eastAsia="仿宋_GB2312"/>
                <w:lang w:val="en-US" w:eastAsia="zh-CN"/>
              </w:rPr>
            </w:pPr>
            <w:r>
              <w:rPr>
                <w:rFonts w:hint="eastAsia" w:ascii="仿宋_GB2312" w:eastAsia="仿宋_GB2312"/>
                <w:lang w:val="en-US" w:eastAsia="zh-CN"/>
              </w:rPr>
              <w:t>0</w:t>
            </w:r>
          </w:p>
        </w:tc>
        <w:tc>
          <w:tcPr>
            <w:tcW w:w="2054" w:type="dxa"/>
            <w:gridSpan w:val="3"/>
            <w:vAlign w:val="center"/>
          </w:tcPr>
          <w:p w14:paraId="0C9FDD21">
            <w:pPr>
              <w:jc w:val="center"/>
              <w:rPr>
                <w:rFonts w:hint="default" w:ascii="仿宋_GB2312" w:eastAsia="仿宋_GB2312"/>
                <w:lang w:val="en-US" w:eastAsia="zh-CN"/>
              </w:rPr>
            </w:pPr>
            <w:r>
              <w:rPr>
                <w:rFonts w:hint="eastAsia" w:ascii="仿宋_GB2312" w:eastAsia="仿宋_GB2312"/>
                <w:lang w:val="en-US" w:eastAsia="zh-CN"/>
              </w:rPr>
              <w:t>0</w:t>
            </w:r>
          </w:p>
        </w:tc>
      </w:tr>
      <w:tr w14:paraId="2BF86C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04" w:hRule="exact"/>
          <w:jc w:val="center"/>
        </w:trPr>
        <w:tc>
          <w:tcPr>
            <w:tcW w:w="1240" w:type="dxa"/>
            <w:vMerge w:val="restart"/>
            <w:vAlign w:val="center"/>
          </w:tcPr>
          <w:p w14:paraId="2DF8E4EE">
            <w:pPr>
              <w:jc w:val="center"/>
              <w:rPr>
                <w:rFonts w:hint="eastAsia" w:ascii="仿宋_GB2312" w:eastAsia="仿宋_GB2312"/>
                <w:bCs/>
              </w:rPr>
            </w:pPr>
            <w:r>
              <w:rPr>
                <w:rFonts w:hint="eastAsia" w:ascii="仿宋_GB2312" w:eastAsia="仿宋_GB2312"/>
                <w:bCs/>
              </w:rPr>
              <w:t>企业任务期内经营目标</w:t>
            </w:r>
          </w:p>
        </w:tc>
        <w:tc>
          <w:tcPr>
            <w:tcW w:w="1266" w:type="dxa"/>
            <w:gridSpan w:val="3"/>
            <w:vAlign w:val="center"/>
          </w:tcPr>
          <w:p w14:paraId="294E0D7C">
            <w:pPr>
              <w:jc w:val="center"/>
              <w:rPr>
                <w:rFonts w:hint="eastAsia" w:ascii="仿宋_GB2312" w:eastAsia="仿宋_GB2312"/>
              </w:rPr>
            </w:pPr>
            <w:r>
              <w:rPr>
                <w:rFonts w:hint="eastAsia" w:ascii="仿宋_GB2312" w:eastAsia="仿宋_GB2312"/>
              </w:rPr>
              <w:t>任务期限内营业收入（万元）</w:t>
            </w:r>
          </w:p>
        </w:tc>
        <w:tc>
          <w:tcPr>
            <w:tcW w:w="1310" w:type="dxa"/>
            <w:gridSpan w:val="2"/>
            <w:vAlign w:val="center"/>
          </w:tcPr>
          <w:p w14:paraId="6E9505F6">
            <w:pPr>
              <w:jc w:val="center"/>
              <w:rPr>
                <w:rFonts w:hint="eastAsia" w:ascii="仿宋_GB2312" w:eastAsia="仿宋_GB2312"/>
              </w:rPr>
            </w:pPr>
            <w:r>
              <w:rPr>
                <w:rFonts w:hint="eastAsia" w:ascii="仿宋_GB2312" w:eastAsia="仿宋_GB2312"/>
              </w:rPr>
              <w:t>任务期限内研发投入</w:t>
            </w:r>
          </w:p>
          <w:p w14:paraId="2BE294EE">
            <w:pPr>
              <w:jc w:val="center"/>
              <w:rPr>
                <w:rFonts w:hint="eastAsia" w:ascii="仿宋_GB2312" w:eastAsia="仿宋_GB2312"/>
              </w:rPr>
            </w:pPr>
            <w:r>
              <w:rPr>
                <w:rFonts w:hint="eastAsia" w:ascii="仿宋_GB2312" w:eastAsia="仿宋_GB2312"/>
              </w:rPr>
              <w:t>（万元）</w:t>
            </w:r>
          </w:p>
        </w:tc>
        <w:tc>
          <w:tcPr>
            <w:tcW w:w="2410" w:type="dxa"/>
            <w:gridSpan w:val="5"/>
            <w:vAlign w:val="center"/>
          </w:tcPr>
          <w:p w14:paraId="290B9509">
            <w:pPr>
              <w:jc w:val="center"/>
              <w:rPr>
                <w:rFonts w:hint="eastAsia" w:ascii="仿宋_GB2312" w:eastAsia="仿宋_GB2312"/>
              </w:rPr>
            </w:pPr>
            <w:r>
              <w:rPr>
                <w:rFonts w:hint="eastAsia" w:ascii="仿宋_GB2312" w:eastAsia="仿宋_GB2312"/>
              </w:rPr>
              <w:t>任务期限内税收</w:t>
            </w:r>
          </w:p>
          <w:p w14:paraId="6C29EC4A">
            <w:pPr>
              <w:jc w:val="center"/>
              <w:rPr>
                <w:rFonts w:hint="eastAsia" w:ascii="仿宋_GB2312" w:eastAsia="仿宋_GB2312"/>
              </w:rPr>
            </w:pPr>
            <w:r>
              <w:rPr>
                <w:rFonts w:hint="eastAsia" w:ascii="仿宋_GB2312" w:eastAsia="仿宋_GB2312"/>
              </w:rPr>
              <w:t>（万元）</w:t>
            </w:r>
          </w:p>
        </w:tc>
        <w:tc>
          <w:tcPr>
            <w:tcW w:w="2054" w:type="dxa"/>
            <w:gridSpan w:val="3"/>
            <w:vAlign w:val="center"/>
          </w:tcPr>
          <w:p w14:paraId="5F565FE4">
            <w:pPr>
              <w:jc w:val="center"/>
              <w:rPr>
                <w:rFonts w:hint="eastAsia" w:ascii="仿宋_GB2312" w:eastAsia="仿宋_GB2312"/>
              </w:rPr>
            </w:pPr>
            <w:r>
              <w:rPr>
                <w:rFonts w:hint="eastAsia" w:ascii="仿宋_GB2312" w:eastAsia="仿宋_GB2312"/>
              </w:rPr>
              <w:t>任务期限内创汇</w:t>
            </w:r>
          </w:p>
          <w:p w14:paraId="06181ED8">
            <w:pPr>
              <w:jc w:val="center"/>
              <w:rPr>
                <w:rFonts w:hint="eastAsia" w:ascii="仿宋_GB2312" w:eastAsia="仿宋_GB2312"/>
              </w:rPr>
            </w:pPr>
            <w:r>
              <w:rPr>
                <w:rFonts w:hint="eastAsia" w:ascii="仿宋_GB2312" w:eastAsia="仿宋_GB2312"/>
              </w:rPr>
              <w:t>（万美元，如无填0）</w:t>
            </w:r>
          </w:p>
        </w:tc>
      </w:tr>
      <w:tr w14:paraId="380295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55" w:hRule="atLeast"/>
          <w:jc w:val="center"/>
        </w:trPr>
        <w:tc>
          <w:tcPr>
            <w:tcW w:w="1240" w:type="dxa"/>
            <w:vMerge w:val="continue"/>
            <w:vAlign w:val="center"/>
          </w:tcPr>
          <w:p w14:paraId="3A24F37E">
            <w:pPr>
              <w:jc w:val="center"/>
              <w:rPr>
                <w:rFonts w:hint="eastAsia" w:ascii="仿宋_GB2312" w:eastAsia="仿宋_GB2312"/>
                <w:bCs/>
              </w:rPr>
            </w:pPr>
          </w:p>
        </w:tc>
        <w:tc>
          <w:tcPr>
            <w:tcW w:w="1266" w:type="dxa"/>
            <w:gridSpan w:val="3"/>
            <w:vAlign w:val="center"/>
          </w:tcPr>
          <w:p w14:paraId="59510CFA">
            <w:pPr>
              <w:jc w:val="center"/>
              <w:rPr>
                <w:rFonts w:hint="default" w:ascii="仿宋_GB2312" w:eastAsia="仿宋_GB2312"/>
                <w:lang w:val="en-US" w:eastAsia="zh-CN"/>
              </w:rPr>
            </w:pPr>
            <w:r>
              <w:rPr>
                <w:rFonts w:hint="eastAsia" w:ascii="仿宋_GB2312" w:eastAsia="仿宋_GB2312"/>
                <w:lang w:val="en-US" w:eastAsia="zh-CN"/>
              </w:rPr>
              <w:t>10000</w:t>
            </w:r>
          </w:p>
        </w:tc>
        <w:tc>
          <w:tcPr>
            <w:tcW w:w="1310" w:type="dxa"/>
            <w:gridSpan w:val="2"/>
            <w:vAlign w:val="center"/>
          </w:tcPr>
          <w:p w14:paraId="701CCD1F">
            <w:pPr>
              <w:jc w:val="center"/>
              <w:rPr>
                <w:rFonts w:hint="default" w:ascii="仿宋_GB2312" w:eastAsia="仿宋_GB2312"/>
                <w:lang w:val="en-US" w:eastAsia="zh-CN"/>
              </w:rPr>
            </w:pPr>
            <w:r>
              <w:rPr>
                <w:rFonts w:hint="eastAsia" w:ascii="仿宋_GB2312" w:eastAsia="仿宋_GB2312"/>
                <w:lang w:val="en-US" w:eastAsia="zh-CN"/>
              </w:rPr>
              <w:t>1510</w:t>
            </w:r>
          </w:p>
        </w:tc>
        <w:tc>
          <w:tcPr>
            <w:tcW w:w="2410" w:type="dxa"/>
            <w:gridSpan w:val="5"/>
            <w:vAlign w:val="center"/>
          </w:tcPr>
          <w:p w14:paraId="47060822">
            <w:pPr>
              <w:jc w:val="center"/>
              <w:rPr>
                <w:rFonts w:hint="default" w:ascii="仿宋_GB2312" w:eastAsia="仿宋_GB2312"/>
                <w:lang w:val="en-US" w:eastAsia="zh-CN"/>
              </w:rPr>
            </w:pPr>
            <w:r>
              <w:rPr>
                <w:rFonts w:hint="eastAsia" w:ascii="仿宋_GB2312" w:eastAsia="仿宋_GB2312"/>
                <w:lang w:val="en-US" w:eastAsia="zh-CN"/>
              </w:rPr>
              <w:t>170</w:t>
            </w:r>
          </w:p>
        </w:tc>
        <w:tc>
          <w:tcPr>
            <w:tcW w:w="2054" w:type="dxa"/>
            <w:gridSpan w:val="3"/>
            <w:tcBorders>
              <w:right w:val="single" w:color="auto" w:sz="4" w:space="0"/>
            </w:tcBorders>
            <w:vAlign w:val="center"/>
          </w:tcPr>
          <w:p w14:paraId="6F833823">
            <w:pPr>
              <w:jc w:val="center"/>
              <w:rPr>
                <w:rFonts w:hint="default" w:ascii="仿宋_GB2312" w:eastAsia="仿宋_GB2312"/>
                <w:lang w:val="en-US" w:eastAsia="zh-CN"/>
              </w:rPr>
            </w:pPr>
            <w:r>
              <w:rPr>
                <w:rFonts w:hint="eastAsia" w:ascii="仿宋_GB2312" w:eastAsia="仿宋_GB2312"/>
                <w:lang w:val="en-US" w:eastAsia="zh-CN"/>
              </w:rPr>
              <w:t>0</w:t>
            </w:r>
          </w:p>
        </w:tc>
      </w:tr>
      <w:tr w14:paraId="638011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02" w:hRule="atLeast"/>
          <w:jc w:val="center"/>
        </w:trPr>
        <w:tc>
          <w:tcPr>
            <w:tcW w:w="1240" w:type="dxa"/>
            <w:vMerge w:val="restart"/>
            <w:tcBorders>
              <w:right w:val="single" w:color="auto" w:sz="4" w:space="0"/>
            </w:tcBorders>
            <w:vAlign w:val="center"/>
          </w:tcPr>
          <w:p w14:paraId="06013353">
            <w:pPr>
              <w:jc w:val="center"/>
              <w:rPr>
                <w:rFonts w:hint="eastAsia" w:ascii="仿宋_GB2312" w:eastAsia="仿宋_GB2312"/>
                <w:bCs/>
              </w:rPr>
            </w:pPr>
            <w:r>
              <w:rPr>
                <w:rFonts w:hint="eastAsia" w:ascii="仿宋_GB2312" w:eastAsia="仿宋_GB2312"/>
                <w:bCs/>
              </w:rPr>
              <w:t>任务期内员工目标聘任情况</w:t>
            </w:r>
          </w:p>
        </w:tc>
        <w:tc>
          <w:tcPr>
            <w:tcW w:w="1266" w:type="dxa"/>
            <w:gridSpan w:val="3"/>
            <w:vMerge w:val="restart"/>
            <w:tcBorders>
              <w:left w:val="single" w:color="auto" w:sz="4" w:space="0"/>
              <w:right w:val="single" w:color="auto" w:sz="4" w:space="0"/>
            </w:tcBorders>
            <w:vAlign w:val="center"/>
          </w:tcPr>
          <w:p w14:paraId="6502B156">
            <w:pPr>
              <w:jc w:val="center"/>
              <w:rPr>
                <w:rFonts w:hint="eastAsia" w:ascii="仿宋_GB2312" w:eastAsia="仿宋_GB2312"/>
                <w:b/>
              </w:rPr>
            </w:pPr>
            <w:r>
              <w:rPr>
                <w:rFonts w:hint="eastAsia" w:ascii="仿宋_GB2312" w:eastAsia="仿宋_GB2312"/>
              </w:rPr>
              <w:t>员工总人数</w:t>
            </w:r>
          </w:p>
        </w:tc>
        <w:tc>
          <w:tcPr>
            <w:tcW w:w="1310" w:type="dxa"/>
            <w:gridSpan w:val="2"/>
            <w:vMerge w:val="restart"/>
            <w:tcBorders>
              <w:left w:val="single" w:color="auto" w:sz="4" w:space="0"/>
              <w:right w:val="single" w:color="auto" w:sz="4" w:space="0"/>
            </w:tcBorders>
            <w:vAlign w:val="center"/>
          </w:tcPr>
          <w:p w14:paraId="042C8B2C">
            <w:pPr>
              <w:jc w:val="center"/>
              <w:rPr>
                <w:rFonts w:hint="eastAsia" w:ascii="仿宋_GB2312" w:eastAsia="仿宋_GB2312"/>
                <w:b/>
              </w:rPr>
            </w:pPr>
            <w:r>
              <w:rPr>
                <w:rFonts w:hint="eastAsia" w:ascii="仿宋_GB2312" w:eastAsia="仿宋_GB2312"/>
              </w:rPr>
              <w:t>符合各类人才计划申报条件的人才</w:t>
            </w:r>
          </w:p>
        </w:tc>
        <w:tc>
          <w:tcPr>
            <w:tcW w:w="1276" w:type="dxa"/>
            <w:gridSpan w:val="3"/>
            <w:tcBorders>
              <w:left w:val="single" w:color="auto" w:sz="4" w:space="0"/>
              <w:right w:val="single" w:color="auto" w:sz="4" w:space="0"/>
            </w:tcBorders>
            <w:vAlign w:val="center"/>
          </w:tcPr>
          <w:p w14:paraId="7F41F906">
            <w:pPr>
              <w:jc w:val="center"/>
              <w:rPr>
                <w:rFonts w:hint="eastAsia" w:ascii="仿宋_GB2312" w:eastAsia="仿宋_GB2312"/>
              </w:rPr>
            </w:pPr>
            <w:r>
              <w:rPr>
                <w:rFonts w:hint="eastAsia" w:ascii="仿宋_GB2312" w:eastAsia="仿宋_GB2312"/>
              </w:rPr>
              <w:t>博士及以上</w:t>
            </w:r>
          </w:p>
        </w:tc>
        <w:tc>
          <w:tcPr>
            <w:tcW w:w="1134" w:type="dxa"/>
            <w:gridSpan w:val="2"/>
            <w:tcBorders>
              <w:left w:val="single" w:color="auto" w:sz="4" w:space="0"/>
              <w:right w:val="single" w:color="auto" w:sz="4" w:space="0"/>
            </w:tcBorders>
            <w:vAlign w:val="center"/>
          </w:tcPr>
          <w:p w14:paraId="42E3AF07">
            <w:pPr>
              <w:ind w:firstLine="105" w:firstLineChars="50"/>
              <w:jc w:val="center"/>
              <w:rPr>
                <w:rFonts w:hint="eastAsia" w:ascii="仿宋_GB2312" w:eastAsia="仿宋_GB2312"/>
              </w:rPr>
            </w:pPr>
            <w:r>
              <w:rPr>
                <w:rFonts w:hint="eastAsia" w:ascii="仿宋_GB2312" w:eastAsia="仿宋_GB2312"/>
              </w:rPr>
              <w:t>硕士</w:t>
            </w:r>
          </w:p>
        </w:tc>
        <w:tc>
          <w:tcPr>
            <w:tcW w:w="996" w:type="dxa"/>
            <w:gridSpan w:val="2"/>
            <w:vMerge w:val="restart"/>
            <w:tcBorders>
              <w:left w:val="single" w:color="auto" w:sz="4" w:space="0"/>
              <w:right w:val="single" w:color="auto" w:sz="4" w:space="0"/>
            </w:tcBorders>
            <w:vAlign w:val="center"/>
          </w:tcPr>
          <w:p w14:paraId="274AC34B">
            <w:pPr>
              <w:ind w:firstLine="105" w:firstLineChars="50"/>
              <w:jc w:val="center"/>
              <w:rPr>
                <w:rFonts w:hint="eastAsia" w:ascii="仿宋_GB2312" w:eastAsia="仿宋_GB2312"/>
              </w:rPr>
            </w:pPr>
            <w:r>
              <w:rPr>
                <w:rFonts w:hint="eastAsia" w:ascii="仿宋_GB2312" w:eastAsia="仿宋_GB2312"/>
              </w:rPr>
              <w:t>本科</w:t>
            </w:r>
          </w:p>
        </w:tc>
        <w:tc>
          <w:tcPr>
            <w:tcW w:w="1058" w:type="dxa"/>
            <w:vMerge w:val="restart"/>
            <w:tcBorders>
              <w:left w:val="single" w:color="auto" w:sz="4" w:space="0"/>
            </w:tcBorders>
            <w:vAlign w:val="center"/>
          </w:tcPr>
          <w:p w14:paraId="77E60470">
            <w:pPr>
              <w:ind w:firstLine="105" w:firstLineChars="50"/>
              <w:jc w:val="center"/>
              <w:rPr>
                <w:rFonts w:hint="eastAsia" w:ascii="仿宋_GB2312" w:eastAsia="仿宋_GB2312"/>
              </w:rPr>
            </w:pPr>
            <w:r>
              <w:rPr>
                <w:rFonts w:hint="eastAsia" w:ascii="仿宋_GB2312" w:eastAsia="仿宋_GB2312"/>
              </w:rPr>
              <w:t>技能</w:t>
            </w:r>
          </w:p>
          <w:p w14:paraId="683F5D3E">
            <w:pPr>
              <w:ind w:firstLine="105" w:firstLineChars="50"/>
              <w:jc w:val="center"/>
              <w:rPr>
                <w:rFonts w:ascii="仿宋_GB2312" w:eastAsia="仿宋_GB2312"/>
              </w:rPr>
            </w:pPr>
            <w:r>
              <w:rPr>
                <w:rFonts w:hint="eastAsia" w:ascii="仿宋_GB2312" w:eastAsia="仿宋_GB2312"/>
              </w:rPr>
              <w:t>人才</w:t>
            </w:r>
          </w:p>
        </w:tc>
      </w:tr>
      <w:tr w14:paraId="3A558F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03" w:hRule="atLeast"/>
          <w:jc w:val="center"/>
        </w:trPr>
        <w:tc>
          <w:tcPr>
            <w:tcW w:w="1240" w:type="dxa"/>
            <w:vMerge w:val="continue"/>
            <w:tcBorders>
              <w:right w:val="single" w:color="auto" w:sz="4" w:space="0"/>
            </w:tcBorders>
            <w:vAlign w:val="center"/>
          </w:tcPr>
          <w:p w14:paraId="6C6DBD06">
            <w:pPr>
              <w:jc w:val="center"/>
              <w:rPr>
                <w:rFonts w:hint="eastAsia" w:ascii="仿宋_GB2312" w:eastAsia="仿宋_GB2312"/>
                <w:b/>
              </w:rPr>
            </w:pPr>
          </w:p>
        </w:tc>
        <w:tc>
          <w:tcPr>
            <w:tcW w:w="1266" w:type="dxa"/>
            <w:gridSpan w:val="3"/>
            <w:vMerge w:val="continue"/>
            <w:tcBorders>
              <w:left w:val="single" w:color="auto" w:sz="4" w:space="0"/>
              <w:right w:val="single" w:color="auto" w:sz="4" w:space="0"/>
            </w:tcBorders>
            <w:vAlign w:val="center"/>
          </w:tcPr>
          <w:p w14:paraId="76945B99">
            <w:pPr>
              <w:jc w:val="center"/>
              <w:rPr>
                <w:rFonts w:hint="eastAsia" w:ascii="仿宋_GB2312" w:eastAsia="仿宋_GB2312"/>
              </w:rPr>
            </w:pPr>
          </w:p>
        </w:tc>
        <w:tc>
          <w:tcPr>
            <w:tcW w:w="1310" w:type="dxa"/>
            <w:gridSpan w:val="2"/>
            <w:vMerge w:val="continue"/>
            <w:tcBorders>
              <w:left w:val="single" w:color="auto" w:sz="4" w:space="0"/>
              <w:right w:val="single" w:color="auto" w:sz="4" w:space="0"/>
            </w:tcBorders>
            <w:vAlign w:val="center"/>
          </w:tcPr>
          <w:p w14:paraId="7293D8CF">
            <w:pPr>
              <w:jc w:val="center"/>
              <w:rPr>
                <w:rFonts w:hint="eastAsia" w:ascii="仿宋_GB2312" w:eastAsia="仿宋_GB2312"/>
              </w:rPr>
            </w:pPr>
          </w:p>
        </w:tc>
        <w:tc>
          <w:tcPr>
            <w:tcW w:w="638" w:type="dxa"/>
            <w:tcBorders>
              <w:left w:val="single" w:color="auto" w:sz="4" w:space="0"/>
              <w:right w:val="single" w:color="auto" w:sz="4" w:space="0"/>
            </w:tcBorders>
            <w:vAlign w:val="center"/>
          </w:tcPr>
          <w:p w14:paraId="24F5F13B">
            <w:pPr>
              <w:jc w:val="center"/>
              <w:rPr>
                <w:rFonts w:hint="eastAsia" w:ascii="仿宋_GB2312" w:eastAsia="仿宋_GB2312"/>
                <w:sz w:val="15"/>
                <w:szCs w:val="15"/>
              </w:rPr>
            </w:pPr>
            <w:r>
              <w:rPr>
                <w:rFonts w:hint="eastAsia" w:ascii="仿宋_GB2312" w:eastAsia="仿宋_GB2312"/>
                <w:sz w:val="15"/>
                <w:szCs w:val="15"/>
              </w:rPr>
              <w:t>海归</w:t>
            </w:r>
          </w:p>
        </w:tc>
        <w:tc>
          <w:tcPr>
            <w:tcW w:w="638" w:type="dxa"/>
            <w:gridSpan w:val="2"/>
            <w:tcBorders>
              <w:left w:val="single" w:color="auto" w:sz="4" w:space="0"/>
              <w:right w:val="single" w:color="auto" w:sz="4" w:space="0"/>
            </w:tcBorders>
            <w:vAlign w:val="center"/>
          </w:tcPr>
          <w:p w14:paraId="31492CAE">
            <w:pPr>
              <w:jc w:val="center"/>
              <w:rPr>
                <w:rFonts w:hint="eastAsia" w:ascii="仿宋_GB2312" w:eastAsia="仿宋_GB2312"/>
                <w:sz w:val="15"/>
                <w:szCs w:val="15"/>
              </w:rPr>
            </w:pPr>
            <w:r>
              <w:rPr>
                <w:rFonts w:hint="eastAsia" w:ascii="仿宋_GB2312" w:eastAsia="仿宋_GB2312"/>
                <w:sz w:val="15"/>
                <w:szCs w:val="15"/>
              </w:rPr>
              <w:t>内地</w:t>
            </w:r>
          </w:p>
        </w:tc>
        <w:tc>
          <w:tcPr>
            <w:tcW w:w="566" w:type="dxa"/>
            <w:tcBorders>
              <w:left w:val="single" w:color="auto" w:sz="4" w:space="0"/>
              <w:right w:val="single" w:color="auto" w:sz="4" w:space="0"/>
            </w:tcBorders>
            <w:vAlign w:val="center"/>
          </w:tcPr>
          <w:p w14:paraId="654BA31F">
            <w:pPr>
              <w:jc w:val="center"/>
              <w:rPr>
                <w:rFonts w:hint="eastAsia" w:ascii="仿宋_GB2312" w:eastAsia="仿宋_GB2312"/>
                <w:sz w:val="15"/>
                <w:szCs w:val="15"/>
              </w:rPr>
            </w:pPr>
            <w:r>
              <w:rPr>
                <w:rFonts w:hint="eastAsia" w:ascii="仿宋_GB2312" w:eastAsia="仿宋_GB2312"/>
                <w:sz w:val="15"/>
                <w:szCs w:val="15"/>
              </w:rPr>
              <w:t>海归</w:t>
            </w:r>
          </w:p>
        </w:tc>
        <w:tc>
          <w:tcPr>
            <w:tcW w:w="568" w:type="dxa"/>
            <w:tcBorders>
              <w:left w:val="single" w:color="auto" w:sz="4" w:space="0"/>
              <w:right w:val="single" w:color="auto" w:sz="4" w:space="0"/>
            </w:tcBorders>
            <w:vAlign w:val="center"/>
          </w:tcPr>
          <w:p w14:paraId="1990C231">
            <w:pPr>
              <w:jc w:val="center"/>
              <w:rPr>
                <w:rFonts w:hint="eastAsia" w:ascii="仿宋_GB2312" w:eastAsia="仿宋_GB2312"/>
                <w:sz w:val="15"/>
                <w:szCs w:val="15"/>
              </w:rPr>
            </w:pPr>
            <w:r>
              <w:rPr>
                <w:rFonts w:hint="eastAsia" w:ascii="仿宋_GB2312" w:eastAsia="仿宋_GB2312"/>
                <w:sz w:val="15"/>
                <w:szCs w:val="15"/>
              </w:rPr>
              <w:t>内地</w:t>
            </w:r>
          </w:p>
        </w:tc>
        <w:tc>
          <w:tcPr>
            <w:tcW w:w="996" w:type="dxa"/>
            <w:gridSpan w:val="2"/>
            <w:vMerge w:val="continue"/>
            <w:tcBorders>
              <w:left w:val="single" w:color="auto" w:sz="4" w:space="0"/>
              <w:right w:val="single" w:color="auto" w:sz="4" w:space="0"/>
            </w:tcBorders>
            <w:vAlign w:val="center"/>
          </w:tcPr>
          <w:p w14:paraId="05EB62DA">
            <w:pPr>
              <w:ind w:firstLine="105" w:firstLineChars="50"/>
              <w:jc w:val="center"/>
              <w:rPr>
                <w:rFonts w:hint="eastAsia" w:ascii="仿宋_GB2312" w:eastAsia="仿宋_GB2312"/>
              </w:rPr>
            </w:pPr>
          </w:p>
        </w:tc>
        <w:tc>
          <w:tcPr>
            <w:tcW w:w="1058" w:type="dxa"/>
            <w:vMerge w:val="continue"/>
            <w:tcBorders>
              <w:left w:val="single" w:color="auto" w:sz="4" w:space="0"/>
            </w:tcBorders>
            <w:vAlign w:val="center"/>
          </w:tcPr>
          <w:p w14:paraId="604A51D6">
            <w:pPr>
              <w:ind w:firstLine="105" w:firstLineChars="50"/>
              <w:jc w:val="center"/>
              <w:rPr>
                <w:rFonts w:hint="eastAsia" w:ascii="仿宋_GB2312" w:eastAsia="仿宋_GB2312"/>
              </w:rPr>
            </w:pPr>
          </w:p>
        </w:tc>
      </w:tr>
      <w:tr w14:paraId="539CDB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77" w:hRule="atLeast"/>
          <w:jc w:val="center"/>
        </w:trPr>
        <w:tc>
          <w:tcPr>
            <w:tcW w:w="1240" w:type="dxa"/>
            <w:vMerge w:val="continue"/>
            <w:tcBorders>
              <w:right w:val="single" w:color="auto" w:sz="4" w:space="0"/>
            </w:tcBorders>
            <w:vAlign w:val="center"/>
          </w:tcPr>
          <w:p w14:paraId="1055D661">
            <w:pPr>
              <w:jc w:val="center"/>
              <w:rPr>
                <w:rFonts w:hint="eastAsia" w:ascii="仿宋_GB2312" w:eastAsia="仿宋_GB2312"/>
                <w:b/>
              </w:rPr>
            </w:pPr>
          </w:p>
        </w:tc>
        <w:tc>
          <w:tcPr>
            <w:tcW w:w="1266" w:type="dxa"/>
            <w:gridSpan w:val="3"/>
            <w:tcBorders>
              <w:left w:val="single" w:color="auto" w:sz="4" w:space="0"/>
              <w:right w:val="single" w:color="auto" w:sz="4" w:space="0"/>
            </w:tcBorders>
            <w:vAlign w:val="center"/>
          </w:tcPr>
          <w:p w14:paraId="3DB1EF67">
            <w:pPr>
              <w:jc w:val="center"/>
              <w:rPr>
                <w:rFonts w:hint="default" w:ascii="仿宋_GB2312" w:eastAsia="仿宋_GB2312"/>
                <w:lang w:val="en-US" w:eastAsia="zh-CN"/>
              </w:rPr>
            </w:pPr>
            <w:r>
              <w:rPr>
                <w:rFonts w:hint="eastAsia" w:ascii="仿宋_GB2312" w:eastAsia="仿宋_GB2312"/>
                <w:lang w:val="en-US" w:eastAsia="zh-CN"/>
              </w:rPr>
              <w:t>30</w:t>
            </w:r>
          </w:p>
        </w:tc>
        <w:tc>
          <w:tcPr>
            <w:tcW w:w="1310" w:type="dxa"/>
            <w:gridSpan w:val="2"/>
            <w:tcBorders>
              <w:left w:val="single" w:color="auto" w:sz="4" w:space="0"/>
              <w:right w:val="single" w:color="auto" w:sz="4" w:space="0"/>
            </w:tcBorders>
            <w:vAlign w:val="center"/>
          </w:tcPr>
          <w:p w14:paraId="4E86D6A9">
            <w:pPr>
              <w:jc w:val="center"/>
              <w:rPr>
                <w:rFonts w:hint="default" w:ascii="仿宋_GB2312" w:eastAsia="仿宋_GB2312"/>
                <w:lang w:val="en-US" w:eastAsia="zh-CN"/>
              </w:rPr>
            </w:pPr>
            <w:r>
              <w:rPr>
                <w:rFonts w:hint="eastAsia" w:ascii="仿宋_GB2312" w:eastAsia="仿宋_GB2312"/>
                <w:lang w:val="en-US" w:eastAsia="zh-CN"/>
              </w:rPr>
              <w:t>5</w:t>
            </w:r>
          </w:p>
        </w:tc>
        <w:tc>
          <w:tcPr>
            <w:tcW w:w="638" w:type="dxa"/>
            <w:tcBorders>
              <w:left w:val="single" w:color="auto" w:sz="4" w:space="0"/>
              <w:right w:val="single" w:color="auto" w:sz="4" w:space="0"/>
            </w:tcBorders>
            <w:vAlign w:val="center"/>
          </w:tcPr>
          <w:p w14:paraId="5FFF7698">
            <w:pPr>
              <w:jc w:val="center"/>
              <w:rPr>
                <w:rFonts w:hint="default" w:ascii="仿宋_GB2312" w:eastAsia="仿宋_GB2312"/>
                <w:lang w:val="en-US" w:eastAsia="zh-CN"/>
              </w:rPr>
            </w:pPr>
            <w:r>
              <w:rPr>
                <w:rFonts w:hint="eastAsia" w:ascii="仿宋_GB2312" w:eastAsia="仿宋_GB2312"/>
                <w:lang w:val="en-US" w:eastAsia="zh-CN"/>
              </w:rPr>
              <w:t>1</w:t>
            </w:r>
          </w:p>
        </w:tc>
        <w:tc>
          <w:tcPr>
            <w:tcW w:w="638" w:type="dxa"/>
            <w:gridSpan w:val="2"/>
            <w:tcBorders>
              <w:left w:val="single" w:color="auto" w:sz="4" w:space="0"/>
              <w:right w:val="single" w:color="auto" w:sz="4" w:space="0"/>
            </w:tcBorders>
            <w:vAlign w:val="center"/>
          </w:tcPr>
          <w:p w14:paraId="628FA501">
            <w:pPr>
              <w:jc w:val="center"/>
              <w:rPr>
                <w:rFonts w:hint="default" w:ascii="仿宋_GB2312" w:eastAsia="仿宋_GB2312"/>
                <w:lang w:val="en-US" w:eastAsia="zh-CN"/>
              </w:rPr>
            </w:pPr>
            <w:r>
              <w:rPr>
                <w:rFonts w:hint="eastAsia" w:ascii="仿宋_GB2312" w:eastAsia="仿宋_GB2312"/>
                <w:lang w:val="en-US" w:eastAsia="zh-CN"/>
              </w:rPr>
              <w:t>1</w:t>
            </w:r>
          </w:p>
        </w:tc>
        <w:tc>
          <w:tcPr>
            <w:tcW w:w="566" w:type="dxa"/>
            <w:tcBorders>
              <w:left w:val="single" w:color="auto" w:sz="4" w:space="0"/>
              <w:right w:val="single" w:color="auto" w:sz="4" w:space="0"/>
            </w:tcBorders>
            <w:vAlign w:val="center"/>
          </w:tcPr>
          <w:p w14:paraId="5161CCCE">
            <w:pPr>
              <w:ind w:firstLine="105" w:firstLineChars="50"/>
              <w:jc w:val="center"/>
              <w:rPr>
                <w:rFonts w:hint="default" w:ascii="仿宋_GB2312" w:eastAsia="仿宋_GB2312"/>
                <w:lang w:val="en-US" w:eastAsia="zh-CN"/>
              </w:rPr>
            </w:pPr>
            <w:r>
              <w:rPr>
                <w:rFonts w:hint="eastAsia" w:ascii="仿宋_GB2312" w:eastAsia="仿宋_GB2312"/>
                <w:lang w:val="en-US" w:eastAsia="zh-CN"/>
              </w:rPr>
              <w:t>2</w:t>
            </w:r>
          </w:p>
        </w:tc>
        <w:tc>
          <w:tcPr>
            <w:tcW w:w="568" w:type="dxa"/>
            <w:tcBorders>
              <w:left w:val="single" w:color="auto" w:sz="4" w:space="0"/>
              <w:right w:val="single" w:color="auto" w:sz="4" w:space="0"/>
            </w:tcBorders>
            <w:vAlign w:val="center"/>
          </w:tcPr>
          <w:p w14:paraId="7F3F9228">
            <w:pPr>
              <w:ind w:firstLine="105" w:firstLineChars="50"/>
              <w:jc w:val="center"/>
              <w:rPr>
                <w:rFonts w:hint="default" w:ascii="仿宋_GB2312" w:eastAsia="仿宋_GB2312"/>
                <w:lang w:val="en-US" w:eastAsia="zh-CN"/>
              </w:rPr>
            </w:pPr>
            <w:r>
              <w:rPr>
                <w:rFonts w:hint="eastAsia" w:ascii="仿宋_GB2312" w:eastAsia="仿宋_GB2312"/>
                <w:lang w:val="en-US" w:eastAsia="zh-CN"/>
              </w:rPr>
              <w:t>8</w:t>
            </w:r>
          </w:p>
        </w:tc>
        <w:tc>
          <w:tcPr>
            <w:tcW w:w="996" w:type="dxa"/>
            <w:gridSpan w:val="2"/>
            <w:tcBorders>
              <w:left w:val="single" w:color="auto" w:sz="4" w:space="0"/>
              <w:right w:val="single" w:color="auto" w:sz="4" w:space="0"/>
            </w:tcBorders>
            <w:vAlign w:val="center"/>
          </w:tcPr>
          <w:p w14:paraId="54709328">
            <w:pPr>
              <w:ind w:firstLine="105" w:firstLineChars="50"/>
              <w:jc w:val="center"/>
              <w:rPr>
                <w:rFonts w:hint="default" w:ascii="仿宋_GB2312" w:eastAsia="仿宋_GB2312"/>
                <w:lang w:val="en-US" w:eastAsia="zh-CN"/>
              </w:rPr>
            </w:pPr>
            <w:r>
              <w:rPr>
                <w:rFonts w:hint="eastAsia" w:ascii="仿宋_GB2312" w:eastAsia="仿宋_GB2312"/>
                <w:lang w:val="en-US" w:eastAsia="zh-CN"/>
              </w:rPr>
              <w:t>8</w:t>
            </w:r>
          </w:p>
        </w:tc>
        <w:tc>
          <w:tcPr>
            <w:tcW w:w="1058" w:type="dxa"/>
            <w:tcBorders>
              <w:left w:val="single" w:color="auto" w:sz="4" w:space="0"/>
            </w:tcBorders>
            <w:vAlign w:val="center"/>
          </w:tcPr>
          <w:p w14:paraId="45E344BB">
            <w:pPr>
              <w:ind w:firstLine="105" w:firstLineChars="50"/>
              <w:jc w:val="center"/>
              <w:rPr>
                <w:rFonts w:hint="default" w:ascii="仿宋_GB2312" w:eastAsia="仿宋_GB2312"/>
                <w:lang w:val="en-US" w:eastAsia="zh-CN"/>
              </w:rPr>
            </w:pPr>
            <w:r>
              <w:rPr>
                <w:rFonts w:hint="eastAsia" w:ascii="仿宋_GB2312" w:eastAsia="仿宋_GB2312"/>
                <w:lang w:val="en-US" w:eastAsia="zh-CN"/>
              </w:rPr>
              <w:t>2</w:t>
            </w:r>
          </w:p>
        </w:tc>
      </w:tr>
      <w:tr w14:paraId="41B74F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4" w:hRule="atLeast"/>
          <w:jc w:val="center"/>
        </w:trPr>
        <w:tc>
          <w:tcPr>
            <w:tcW w:w="8280" w:type="dxa"/>
            <w:gridSpan w:val="14"/>
            <w:vAlign w:val="center"/>
          </w:tcPr>
          <w:p w14:paraId="5BD2C888">
            <w:pPr>
              <w:ind w:firstLine="422" w:firstLineChars="200"/>
              <w:jc w:val="center"/>
              <w:rPr>
                <w:rFonts w:hint="eastAsia" w:ascii="仿宋_GB2312" w:eastAsia="仿宋_GB2312"/>
                <w:b/>
              </w:rPr>
            </w:pPr>
            <w:r>
              <w:rPr>
                <w:rFonts w:hint="eastAsia" w:ascii="仿宋_GB2312" w:eastAsia="仿宋_GB2312"/>
                <w:b/>
              </w:rPr>
              <w:t>企业核心人员情况</w:t>
            </w:r>
          </w:p>
        </w:tc>
      </w:tr>
      <w:tr w14:paraId="65D94C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4" w:hRule="atLeast"/>
          <w:jc w:val="center"/>
        </w:trPr>
        <w:tc>
          <w:tcPr>
            <w:tcW w:w="1510" w:type="dxa"/>
            <w:gridSpan w:val="2"/>
            <w:vAlign w:val="center"/>
          </w:tcPr>
          <w:p w14:paraId="46EC8ABD">
            <w:pPr>
              <w:jc w:val="center"/>
              <w:rPr>
                <w:rFonts w:hint="eastAsia" w:ascii="仿宋_GB2312" w:eastAsia="仿宋_GB2312"/>
                <w:b/>
              </w:rPr>
            </w:pPr>
            <w:r>
              <w:rPr>
                <w:rFonts w:hint="eastAsia" w:ascii="仿宋_GB2312" w:eastAsia="仿宋_GB2312"/>
              </w:rPr>
              <w:t>企业法人</w:t>
            </w:r>
          </w:p>
        </w:tc>
        <w:tc>
          <w:tcPr>
            <w:tcW w:w="660" w:type="dxa"/>
            <w:vAlign w:val="center"/>
          </w:tcPr>
          <w:p w14:paraId="72FBE844">
            <w:pPr>
              <w:jc w:val="center"/>
            </w:pPr>
            <w:r>
              <w:rPr>
                <w:rFonts w:hint="eastAsia" w:ascii="仿宋_GB2312" w:eastAsia="仿宋_GB2312"/>
              </w:rPr>
              <w:t>年龄</w:t>
            </w:r>
          </w:p>
        </w:tc>
        <w:tc>
          <w:tcPr>
            <w:tcW w:w="1200" w:type="dxa"/>
            <w:gridSpan w:val="2"/>
            <w:vAlign w:val="center"/>
          </w:tcPr>
          <w:p w14:paraId="3713D582">
            <w:pPr>
              <w:jc w:val="center"/>
            </w:pPr>
            <w:r>
              <w:rPr>
                <w:rFonts w:hint="eastAsia" w:ascii="仿宋_GB2312" w:eastAsia="仿宋_GB2312"/>
              </w:rPr>
              <w:t>职务、职称</w:t>
            </w:r>
          </w:p>
        </w:tc>
        <w:tc>
          <w:tcPr>
            <w:tcW w:w="1320" w:type="dxa"/>
            <w:gridSpan w:val="3"/>
            <w:vAlign w:val="center"/>
          </w:tcPr>
          <w:p w14:paraId="0EB97830">
            <w:r>
              <w:rPr>
                <w:rFonts w:hint="eastAsia" w:ascii="仿宋_GB2312" w:eastAsia="仿宋_GB2312"/>
              </w:rPr>
              <w:t>学历及专业</w:t>
            </w:r>
          </w:p>
        </w:tc>
        <w:tc>
          <w:tcPr>
            <w:tcW w:w="2435" w:type="dxa"/>
            <w:gridSpan w:val="4"/>
            <w:vAlign w:val="center"/>
          </w:tcPr>
          <w:p w14:paraId="387D1D9B">
            <w:pPr>
              <w:jc w:val="center"/>
            </w:pPr>
            <w:r>
              <w:rPr>
                <w:rFonts w:hint="eastAsia" w:ascii="仿宋_GB2312" w:eastAsia="仿宋_GB2312"/>
              </w:rPr>
              <w:t>毕业院校</w:t>
            </w:r>
          </w:p>
        </w:tc>
        <w:tc>
          <w:tcPr>
            <w:tcW w:w="1155" w:type="dxa"/>
            <w:gridSpan w:val="2"/>
            <w:vAlign w:val="center"/>
          </w:tcPr>
          <w:p w14:paraId="0DCBBF13">
            <w:pPr>
              <w:jc w:val="center"/>
            </w:pPr>
            <w:r>
              <w:rPr>
                <w:rFonts w:hint="eastAsia" w:ascii="仿宋_GB2312" w:eastAsia="仿宋_GB2312"/>
                <w:szCs w:val="21"/>
              </w:rPr>
              <w:t>备注</w:t>
            </w:r>
          </w:p>
        </w:tc>
      </w:tr>
      <w:tr w14:paraId="5E67A3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1" w:hRule="atLeast"/>
          <w:jc w:val="center"/>
        </w:trPr>
        <w:tc>
          <w:tcPr>
            <w:tcW w:w="1510" w:type="dxa"/>
            <w:gridSpan w:val="2"/>
            <w:vAlign w:val="center"/>
          </w:tcPr>
          <w:p w14:paraId="609B6682">
            <w:pPr>
              <w:jc w:val="center"/>
              <w:rPr>
                <w:rFonts w:hint="default" w:ascii="仿宋_GB2312" w:eastAsia="仿宋_GB2312"/>
                <w:lang w:val="en-US" w:eastAsia="zh-CN"/>
              </w:rPr>
            </w:pPr>
            <w:r>
              <w:rPr>
                <w:rFonts w:hint="eastAsia" w:ascii="仿宋_GB2312" w:eastAsia="仿宋_GB2312"/>
                <w:lang w:val="en-US" w:eastAsia="zh-CN"/>
              </w:rPr>
              <w:t>周志强</w:t>
            </w:r>
          </w:p>
        </w:tc>
        <w:tc>
          <w:tcPr>
            <w:tcW w:w="660" w:type="dxa"/>
            <w:vAlign w:val="center"/>
          </w:tcPr>
          <w:p w14:paraId="139E13E9">
            <w:pPr>
              <w:jc w:val="center"/>
              <w:rPr>
                <w:rFonts w:hint="default" w:ascii="仿宋_GB2312" w:eastAsia="仿宋_GB2312"/>
                <w:lang w:val="en-US" w:eastAsia="zh-CN"/>
              </w:rPr>
            </w:pPr>
            <w:r>
              <w:rPr>
                <w:rFonts w:hint="eastAsia" w:ascii="仿宋_GB2312" w:eastAsia="仿宋_GB2312"/>
                <w:lang w:val="en-US" w:eastAsia="zh-CN"/>
              </w:rPr>
              <w:t>25</w:t>
            </w:r>
          </w:p>
        </w:tc>
        <w:tc>
          <w:tcPr>
            <w:tcW w:w="1200" w:type="dxa"/>
            <w:gridSpan w:val="2"/>
            <w:vAlign w:val="center"/>
          </w:tcPr>
          <w:p w14:paraId="73A51C0F">
            <w:pPr>
              <w:jc w:val="center"/>
              <w:rPr>
                <w:rFonts w:hint="default" w:ascii="仿宋_GB2312" w:eastAsia="仿宋_GB2312"/>
                <w:lang w:val="en-US" w:eastAsia="zh-CN"/>
              </w:rPr>
            </w:pPr>
            <w:r>
              <w:rPr>
                <w:rFonts w:hint="eastAsia" w:ascii="仿宋_GB2312" w:eastAsia="仿宋_GB2312"/>
                <w:lang w:val="en-US" w:eastAsia="zh-CN"/>
              </w:rPr>
              <w:t>战略投资人</w:t>
            </w:r>
          </w:p>
        </w:tc>
        <w:tc>
          <w:tcPr>
            <w:tcW w:w="1320" w:type="dxa"/>
            <w:gridSpan w:val="3"/>
            <w:vAlign w:val="center"/>
          </w:tcPr>
          <w:p w14:paraId="16206BFA">
            <w:pPr>
              <w:jc w:val="center"/>
              <w:rPr>
                <w:rFonts w:hint="default" w:ascii="仿宋_GB2312" w:eastAsia="仿宋_GB2312"/>
                <w:lang w:val="en-US" w:eastAsia="zh-CN"/>
              </w:rPr>
            </w:pPr>
            <w:r>
              <w:rPr>
                <w:rFonts w:hint="eastAsia" w:ascii="仿宋_GB2312" w:eastAsia="仿宋_GB2312"/>
                <w:lang w:val="en-US" w:eastAsia="zh-CN"/>
              </w:rPr>
              <w:t>本科、经济金融</w:t>
            </w:r>
          </w:p>
        </w:tc>
        <w:tc>
          <w:tcPr>
            <w:tcW w:w="2435" w:type="dxa"/>
            <w:gridSpan w:val="4"/>
            <w:vAlign w:val="center"/>
          </w:tcPr>
          <w:p w14:paraId="4B46C635">
            <w:pPr>
              <w:jc w:val="center"/>
              <w:rPr>
                <w:rFonts w:hint="default" w:ascii="仿宋_GB2312" w:eastAsia="仿宋_GB2312"/>
                <w:lang w:val="en-US" w:eastAsia="zh-CN"/>
              </w:rPr>
            </w:pPr>
            <w:r>
              <w:rPr>
                <w:rFonts w:hint="eastAsia" w:ascii="仿宋_GB2312" w:eastAsia="仿宋_GB2312"/>
                <w:lang w:val="en-US" w:eastAsia="zh-CN"/>
              </w:rPr>
              <w:t>武汉理工华夏学院</w:t>
            </w:r>
          </w:p>
        </w:tc>
        <w:tc>
          <w:tcPr>
            <w:tcW w:w="1155" w:type="dxa"/>
            <w:gridSpan w:val="2"/>
            <w:vAlign w:val="center"/>
          </w:tcPr>
          <w:p w14:paraId="454C360F">
            <w:pPr>
              <w:jc w:val="center"/>
              <w:rPr>
                <w:rFonts w:hint="default" w:ascii="仿宋_GB2312" w:eastAsia="仿宋_GB2312"/>
                <w:szCs w:val="21"/>
                <w:lang w:val="en-US" w:eastAsia="zh-CN"/>
              </w:rPr>
            </w:pPr>
          </w:p>
        </w:tc>
      </w:tr>
      <w:tr w14:paraId="5F12EA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22" w:hRule="exact"/>
          <w:jc w:val="center"/>
        </w:trPr>
        <w:tc>
          <w:tcPr>
            <w:tcW w:w="1510" w:type="dxa"/>
            <w:gridSpan w:val="2"/>
            <w:vAlign w:val="center"/>
          </w:tcPr>
          <w:p w14:paraId="32825638">
            <w:pPr>
              <w:jc w:val="center"/>
              <w:rPr>
                <w:rFonts w:hint="eastAsia" w:ascii="仿宋_GB2312" w:eastAsia="仿宋_GB2312"/>
              </w:rPr>
            </w:pPr>
            <w:r>
              <w:rPr>
                <w:rFonts w:hint="eastAsia" w:ascii="仿宋_GB2312" w:eastAsia="仿宋_GB2312"/>
              </w:rPr>
              <w:t>核心团队成员</w:t>
            </w:r>
          </w:p>
        </w:tc>
        <w:tc>
          <w:tcPr>
            <w:tcW w:w="660" w:type="dxa"/>
            <w:vAlign w:val="center"/>
          </w:tcPr>
          <w:p w14:paraId="6F435218">
            <w:pPr>
              <w:jc w:val="center"/>
              <w:rPr>
                <w:rFonts w:hint="eastAsia" w:ascii="仿宋_GB2312" w:eastAsia="仿宋_GB2312"/>
              </w:rPr>
            </w:pPr>
            <w:r>
              <w:rPr>
                <w:rFonts w:hint="eastAsia" w:ascii="仿宋_GB2312" w:eastAsia="仿宋_GB2312"/>
              </w:rPr>
              <w:t>年龄</w:t>
            </w:r>
          </w:p>
        </w:tc>
        <w:tc>
          <w:tcPr>
            <w:tcW w:w="1200" w:type="dxa"/>
            <w:gridSpan w:val="2"/>
            <w:vAlign w:val="center"/>
          </w:tcPr>
          <w:p w14:paraId="759C9B5B">
            <w:pPr>
              <w:jc w:val="center"/>
              <w:rPr>
                <w:rFonts w:hint="eastAsia" w:ascii="仿宋_GB2312" w:eastAsia="仿宋_GB2312"/>
              </w:rPr>
            </w:pPr>
            <w:r>
              <w:rPr>
                <w:rFonts w:hint="eastAsia" w:ascii="仿宋_GB2312" w:eastAsia="仿宋_GB2312"/>
              </w:rPr>
              <w:t>职务、职称</w:t>
            </w:r>
          </w:p>
        </w:tc>
        <w:tc>
          <w:tcPr>
            <w:tcW w:w="1320" w:type="dxa"/>
            <w:gridSpan w:val="3"/>
            <w:vAlign w:val="center"/>
          </w:tcPr>
          <w:p w14:paraId="4A91B149">
            <w:pPr>
              <w:jc w:val="center"/>
              <w:rPr>
                <w:rFonts w:hint="eastAsia" w:ascii="仿宋_GB2312" w:eastAsia="仿宋_GB2312"/>
              </w:rPr>
            </w:pPr>
            <w:r>
              <w:rPr>
                <w:rFonts w:hint="eastAsia" w:ascii="仿宋_GB2312" w:eastAsia="仿宋_GB2312"/>
              </w:rPr>
              <w:t>学历及专业</w:t>
            </w:r>
          </w:p>
        </w:tc>
        <w:tc>
          <w:tcPr>
            <w:tcW w:w="2435" w:type="dxa"/>
            <w:gridSpan w:val="4"/>
            <w:vAlign w:val="center"/>
          </w:tcPr>
          <w:p w14:paraId="3E88EC32">
            <w:pPr>
              <w:jc w:val="center"/>
              <w:rPr>
                <w:rFonts w:hint="eastAsia" w:ascii="仿宋_GB2312" w:eastAsia="仿宋_GB2312"/>
              </w:rPr>
            </w:pPr>
            <w:r>
              <w:rPr>
                <w:rFonts w:hint="eastAsia" w:ascii="仿宋_GB2312" w:eastAsia="仿宋_GB2312"/>
              </w:rPr>
              <w:t>毕业院校</w:t>
            </w:r>
          </w:p>
        </w:tc>
        <w:tc>
          <w:tcPr>
            <w:tcW w:w="1155" w:type="dxa"/>
            <w:gridSpan w:val="2"/>
            <w:vAlign w:val="center"/>
          </w:tcPr>
          <w:p w14:paraId="609EB622">
            <w:pPr>
              <w:jc w:val="center"/>
              <w:rPr>
                <w:rFonts w:hint="eastAsia" w:ascii="仿宋_GB2312" w:eastAsia="仿宋_GB2312"/>
                <w:szCs w:val="21"/>
              </w:rPr>
            </w:pPr>
            <w:r>
              <w:rPr>
                <w:rFonts w:hint="eastAsia" w:ascii="仿宋_GB2312" w:eastAsia="仿宋_GB2312"/>
                <w:szCs w:val="21"/>
              </w:rPr>
              <w:t>备注</w:t>
            </w:r>
          </w:p>
        </w:tc>
      </w:tr>
      <w:tr w14:paraId="7F7FD9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10" w:type="dxa"/>
            <w:gridSpan w:val="2"/>
            <w:vAlign w:val="center"/>
          </w:tcPr>
          <w:p w14:paraId="65A05FFE">
            <w:pPr>
              <w:jc w:val="center"/>
              <w:rPr>
                <w:rFonts w:hint="default" w:ascii="仿宋_GB2312" w:eastAsia="仿宋_GB2312"/>
                <w:lang w:val="en-US" w:eastAsia="zh-CN"/>
              </w:rPr>
            </w:pPr>
            <w:r>
              <w:rPr>
                <w:rFonts w:hint="eastAsia" w:ascii="仿宋_GB2312" w:eastAsia="仿宋_GB2312"/>
                <w:lang w:val="en-US" w:eastAsia="zh-CN"/>
              </w:rPr>
              <w:t>周智强</w:t>
            </w:r>
          </w:p>
        </w:tc>
        <w:tc>
          <w:tcPr>
            <w:tcW w:w="660" w:type="dxa"/>
            <w:vAlign w:val="center"/>
          </w:tcPr>
          <w:p w14:paraId="06BFB7A2">
            <w:pPr>
              <w:jc w:val="center"/>
              <w:rPr>
                <w:rFonts w:hint="default" w:ascii="仿宋_GB2312" w:eastAsia="仿宋_GB2312"/>
                <w:lang w:val="en-US" w:eastAsia="zh-CN"/>
              </w:rPr>
            </w:pPr>
            <w:r>
              <w:rPr>
                <w:rFonts w:hint="eastAsia" w:ascii="仿宋_GB2312" w:eastAsia="仿宋_GB2312"/>
                <w:lang w:val="en-US" w:eastAsia="zh-CN"/>
              </w:rPr>
              <w:t>25</w:t>
            </w:r>
          </w:p>
        </w:tc>
        <w:tc>
          <w:tcPr>
            <w:tcW w:w="1200" w:type="dxa"/>
            <w:gridSpan w:val="2"/>
            <w:vAlign w:val="center"/>
          </w:tcPr>
          <w:p w14:paraId="74D32A17">
            <w:pPr>
              <w:jc w:val="center"/>
              <w:rPr>
                <w:rFonts w:hint="default" w:ascii="仿宋_GB2312" w:eastAsia="仿宋_GB2312"/>
                <w:lang w:val="en-US" w:eastAsia="zh-CN"/>
              </w:rPr>
            </w:pPr>
            <w:r>
              <w:rPr>
                <w:rFonts w:hint="eastAsia" w:ascii="仿宋_GB2312" w:eastAsia="仿宋_GB2312"/>
                <w:lang w:val="en-US" w:eastAsia="zh-CN"/>
              </w:rPr>
              <w:t>联合创始人、CEO</w:t>
            </w:r>
          </w:p>
        </w:tc>
        <w:tc>
          <w:tcPr>
            <w:tcW w:w="1320" w:type="dxa"/>
            <w:gridSpan w:val="3"/>
            <w:vAlign w:val="center"/>
          </w:tcPr>
          <w:p w14:paraId="31B88BBC">
            <w:pPr>
              <w:jc w:val="center"/>
              <w:rPr>
                <w:rFonts w:hint="default" w:ascii="仿宋_GB2312" w:eastAsia="仿宋_GB2312"/>
                <w:strike/>
                <w:lang w:val="en-US" w:eastAsia="zh-CN"/>
              </w:rPr>
            </w:pPr>
            <w:r>
              <w:rPr>
                <w:rFonts w:hint="eastAsia" w:ascii="仿宋_GB2312" w:eastAsia="仿宋_GB2312"/>
                <w:lang w:val="en-US" w:eastAsia="zh-CN"/>
              </w:rPr>
              <w:t>本科、经济与金融</w:t>
            </w:r>
          </w:p>
        </w:tc>
        <w:tc>
          <w:tcPr>
            <w:tcW w:w="2435" w:type="dxa"/>
            <w:gridSpan w:val="4"/>
            <w:vAlign w:val="center"/>
          </w:tcPr>
          <w:p w14:paraId="032F39FA">
            <w:pPr>
              <w:ind w:firstLine="420" w:firstLineChars="200"/>
              <w:jc w:val="center"/>
              <w:rPr>
                <w:rFonts w:hint="default" w:ascii="仿宋_GB2312" w:eastAsia="仿宋_GB2312"/>
                <w:lang w:val="en-US" w:eastAsia="zh-CN"/>
              </w:rPr>
            </w:pPr>
            <w:r>
              <w:rPr>
                <w:rFonts w:hint="eastAsia" w:ascii="仿宋_GB2312" w:eastAsia="仿宋_GB2312"/>
                <w:lang w:val="en-US" w:eastAsia="zh-CN"/>
              </w:rPr>
              <w:t>武汉理工华夏学院</w:t>
            </w:r>
          </w:p>
        </w:tc>
        <w:tc>
          <w:tcPr>
            <w:tcW w:w="1155" w:type="dxa"/>
            <w:gridSpan w:val="2"/>
            <w:vAlign w:val="center"/>
          </w:tcPr>
          <w:p w14:paraId="0F1B0B0E">
            <w:pPr>
              <w:jc w:val="center"/>
              <w:rPr>
                <w:rFonts w:hint="default" w:ascii="仿宋_GB2312" w:eastAsia="仿宋_GB2312"/>
                <w:szCs w:val="21"/>
                <w:lang w:val="en-US" w:eastAsia="zh-CN"/>
              </w:rPr>
            </w:pPr>
          </w:p>
        </w:tc>
      </w:tr>
      <w:tr w14:paraId="7468DC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10" w:type="dxa"/>
            <w:gridSpan w:val="2"/>
            <w:vAlign w:val="center"/>
          </w:tcPr>
          <w:p w14:paraId="75A78AE6">
            <w:pPr>
              <w:jc w:val="center"/>
              <w:rPr>
                <w:rFonts w:hint="default" w:ascii="仿宋_GB2312" w:eastAsia="仿宋_GB2312"/>
                <w:lang w:val="en-US" w:eastAsia="zh-CN"/>
              </w:rPr>
            </w:pPr>
            <w:r>
              <w:rPr>
                <w:rFonts w:hint="eastAsia" w:ascii="仿宋_GB2312" w:eastAsia="仿宋_GB2312"/>
                <w:lang w:val="en-US" w:eastAsia="zh-CN"/>
              </w:rPr>
              <w:t>汤卓群</w:t>
            </w:r>
          </w:p>
        </w:tc>
        <w:tc>
          <w:tcPr>
            <w:tcW w:w="660" w:type="dxa"/>
            <w:vAlign w:val="center"/>
          </w:tcPr>
          <w:p w14:paraId="56D0BE97">
            <w:pPr>
              <w:jc w:val="center"/>
              <w:rPr>
                <w:rFonts w:hint="default" w:ascii="仿宋_GB2312" w:eastAsia="仿宋_GB2312"/>
                <w:lang w:val="en-US" w:eastAsia="zh-CN"/>
              </w:rPr>
            </w:pPr>
            <w:r>
              <w:rPr>
                <w:rFonts w:hint="eastAsia" w:ascii="仿宋_GB2312" w:eastAsia="仿宋_GB2312"/>
                <w:lang w:val="en-US" w:eastAsia="zh-CN"/>
              </w:rPr>
              <w:t>35</w:t>
            </w:r>
          </w:p>
        </w:tc>
        <w:tc>
          <w:tcPr>
            <w:tcW w:w="1200" w:type="dxa"/>
            <w:gridSpan w:val="2"/>
            <w:vAlign w:val="center"/>
          </w:tcPr>
          <w:p w14:paraId="6CA83E09">
            <w:pPr>
              <w:jc w:val="center"/>
              <w:rPr>
                <w:rFonts w:hint="default" w:ascii="仿宋_GB2312" w:eastAsia="仿宋_GB2312"/>
                <w:lang w:val="en-US" w:eastAsia="zh-CN"/>
              </w:rPr>
            </w:pPr>
            <w:r>
              <w:rPr>
                <w:rFonts w:hint="eastAsia" w:ascii="仿宋_GB2312" w:eastAsia="仿宋_GB2312"/>
                <w:lang w:val="en-US" w:eastAsia="zh-CN"/>
              </w:rPr>
              <w:t>COO</w:t>
            </w:r>
          </w:p>
        </w:tc>
        <w:tc>
          <w:tcPr>
            <w:tcW w:w="1320" w:type="dxa"/>
            <w:gridSpan w:val="3"/>
            <w:vAlign w:val="center"/>
          </w:tcPr>
          <w:p w14:paraId="52E0B922">
            <w:pPr>
              <w:jc w:val="center"/>
              <w:rPr>
                <w:rFonts w:hint="default" w:ascii="仿宋_GB2312" w:eastAsia="仿宋_GB2312"/>
                <w:strike/>
                <w:lang w:val="en-US" w:eastAsia="zh-CN"/>
              </w:rPr>
            </w:pPr>
            <w:r>
              <w:rPr>
                <w:rFonts w:hint="eastAsia" w:ascii="仿宋_GB2312" w:eastAsia="仿宋_GB2312"/>
                <w:lang w:val="en-US" w:eastAsia="zh-CN"/>
              </w:rPr>
              <w:t>本科、机械电子</w:t>
            </w:r>
          </w:p>
        </w:tc>
        <w:tc>
          <w:tcPr>
            <w:tcW w:w="2435" w:type="dxa"/>
            <w:gridSpan w:val="4"/>
            <w:vAlign w:val="center"/>
          </w:tcPr>
          <w:p w14:paraId="0BAEABDF">
            <w:pPr>
              <w:ind w:firstLine="420" w:firstLineChars="200"/>
              <w:jc w:val="center"/>
              <w:rPr>
                <w:rFonts w:hint="default" w:ascii="仿宋_GB2312" w:eastAsia="仿宋_GB2312"/>
                <w:lang w:val="en-US" w:eastAsia="zh-CN"/>
              </w:rPr>
            </w:pPr>
            <w:r>
              <w:rPr>
                <w:rFonts w:hint="eastAsia" w:ascii="仿宋_GB2312" w:eastAsia="仿宋_GB2312"/>
                <w:lang w:val="en-US" w:eastAsia="zh-CN"/>
              </w:rPr>
              <w:t>浙江大学城市学院</w:t>
            </w:r>
          </w:p>
        </w:tc>
        <w:tc>
          <w:tcPr>
            <w:tcW w:w="1155" w:type="dxa"/>
            <w:gridSpan w:val="2"/>
            <w:vAlign w:val="center"/>
          </w:tcPr>
          <w:p w14:paraId="5D84EB3A">
            <w:pPr>
              <w:jc w:val="center"/>
              <w:rPr>
                <w:rFonts w:hint="default" w:ascii="仿宋_GB2312" w:eastAsia="仿宋_GB2312"/>
                <w:szCs w:val="21"/>
                <w:lang w:val="en-US" w:eastAsia="zh-CN"/>
              </w:rPr>
            </w:pPr>
          </w:p>
        </w:tc>
      </w:tr>
      <w:tr w14:paraId="69C8D5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510" w:type="dxa"/>
            <w:gridSpan w:val="2"/>
            <w:vAlign w:val="center"/>
          </w:tcPr>
          <w:p w14:paraId="1FA1D811">
            <w:pPr>
              <w:jc w:val="center"/>
              <w:rPr>
                <w:rFonts w:hint="default" w:ascii="仿宋_GB2312" w:eastAsia="仿宋_GB2312"/>
                <w:lang w:val="en-US" w:eastAsia="zh-CN"/>
              </w:rPr>
            </w:pPr>
            <w:r>
              <w:rPr>
                <w:rFonts w:hint="eastAsia" w:ascii="仿宋_GB2312" w:eastAsia="仿宋_GB2312"/>
                <w:lang w:val="en-US" w:eastAsia="zh-CN"/>
              </w:rPr>
              <w:t>李甲龙</w:t>
            </w:r>
          </w:p>
        </w:tc>
        <w:tc>
          <w:tcPr>
            <w:tcW w:w="660" w:type="dxa"/>
            <w:vAlign w:val="center"/>
          </w:tcPr>
          <w:p w14:paraId="57B80255">
            <w:pPr>
              <w:jc w:val="center"/>
              <w:rPr>
                <w:rFonts w:hint="default" w:ascii="仿宋_GB2312" w:eastAsia="仿宋_GB2312"/>
                <w:lang w:val="en-US" w:eastAsia="zh-CN"/>
              </w:rPr>
            </w:pPr>
            <w:r>
              <w:rPr>
                <w:rFonts w:hint="eastAsia" w:ascii="仿宋_GB2312" w:eastAsia="仿宋_GB2312"/>
                <w:lang w:val="en-US" w:eastAsia="zh-CN"/>
              </w:rPr>
              <w:t>26</w:t>
            </w:r>
          </w:p>
        </w:tc>
        <w:tc>
          <w:tcPr>
            <w:tcW w:w="1200" w:type="dxa"/>
            <w:gridSpan w:val="2"/>
            <w:vAlign w:val="center"/>
          </w:tcPr>
          <w:p w14:paraId="6621137B">
            <w:pPr>
              <w:jc w:val="center"/>
              <w:rPr>
                <w:rFonts w:hint="default" w:ascii="仿宋_GB2312" w:eastAsia="仿宋_GB2312"/>
                <w:lang w:val="en-US" w:eastAsia="zh-CN"/>
              </w:rPr>
            </w:pPr>
            <w:r>
              <w:rPr>
                <w:rFonts w:hint="eastAsia" w:ascii="仿宋_GB2312" w:eastAsia="仿宋_GB2312"/>
                <w:lang w:val="en-US" w:eastAsia="zh-CN"/>
              </w:rPr>
              <w:t>公司CHO</w:t>
            </w:r>
          </w:p>
        </w:tc>
        <w:tc>
          <w:tcPr>
            <w:tcW w:w="1320" w:type="dxa"/>
            <w:gridSpan w:val="3"/>
            <w:vAlign w:val="center"/>
          </w:tcPr>
          <w:p w14:paraId="68B1D8EA">
            <w:pPr>
              <w:jc w:val="center"/>
              <w:rPr>
                <w:rFonts w:hint="default" w:ascii="仿宋_GB2312" w:eastAsia="仿宋_GB2312"/>
                <w:strike/>
                <w:lang w:val="en-US" w:eastAsia="zh-CN"/>
              </w:rPr>
            </w:pPr>
            <w:r>
              <w:rPr>
                <w:rFonts w:hint="eastAsia" w:ascii="仿宋_GB2312" w:eastAsia="仿宋_GB2312"/>
                <w:lang w:val="en-US" w:eastAsia="zh-CN"/>
              </w:rPr>
              <w:t>人力资源管理本科</w:t>
            </w:r>
          </w:p>
        </w:tc>
        <w:tc>
          <w:tcPr>
            <w:tcW w:w="2435" w:type="dxa"/>
            <w:gridSpan w:val="4"/>
            <w:vAlign w:val="center"/>
          </w:tcPr>
          <w:p w14:paraId="119B1B49">
            <w:pPr>
              <w:ind w:firstLine="420" w:firstLineChars="200"/>
              <w:jc w:val="center"/>
              <w:rPr>
                <w:rFonts w:hint="default" w:ascii="仿宋_GB2312" w:eastAsia="仿宋_GB2312"/>
                <w:lang w:val="en-US" w:eastAsia="zh-CN"/>
              </w:rPr>
            </w:pPr>
            <w:r>
              <w:rPr>
                <w:rFonts w:hint="eastAsia" w:ascii="仿宋_GB2312" w:eastAsia="仿宋_GB2312"/>
                <w:lang w:val="en-US" w:eastAsia="zh-CN"/>
              </w:rPr>
              <w:t>银川能源学院</w:t>
            </w:r>
          </w:p>
        </w:tc>
        <w:tc>
          <w:tcPr>
            <w:tcW w:w="1155" w:type="dxa"/>
            <w:gridSpan w:val="2"/>
            <w:vAlign w:val="center"/>
          </w:tcPr>
          <w:p w14:paraId="2E98DA38">
            <w:pPr>
              <w:jc w:val="center"/>
              <w:rPr>
                <w:rFonts w:hint="default" w:ascii="仿宋_GB2312" w:eastAsia="仿宋_GB2312"/>
                <w:szCs w:val="21"/>
                <w:lang w:val="en-US" w:eastAsia="zh-CN"/>
              </w:rPr>
            </w:pPr>
          </w:p>
        </w:tc>
      </w:tr>
    </w:tbl>
    <w:p w14:paraId="0A4D4DAD">
      <w:pPr>
        <w:spacing w:before="100" w:line="240" w:lineRule="exact"/>
        <w:rPr>
          <w:rFonts w:hint="eastAsia" w:ascii="仿宋_GB2312" w:eastAsia="仿宋_GB2312"/>
          <w:szCs w:val="21"/>
        </w:rPr>
      </w:pPr>
    </w:p>
    <w:p w14:paraId="2FDE4671">
      <w:pPr>
        <w:spacing w:before="100" w:line="240" w:lineRule="exact"/>
        <w:rPr>
          <w:rFonts w:hint="eastAsia" w:ascii="仿宋_GB2312" w:eastAsia="仿宋_GB2312"/>
          <w:szCs w:val="21"/>
        </w:rPr>
        <w:sectPr>
          <w:headerReference r:id="rId9" w:type="first"/>
          <w:footerReference r:id="rId11" w:type="first"/>
          <w:headerReference r:id="rId8" w:type="default"/>
          <w:footerReference r:id="rId10" w:type="default"/>
          <w:pgSz w:w="11906" w:h="16838"/>
          <w:pgMar w:top="2098" w:right="1474" w:bottom="1984" w:left="1587" w:header="708" w:footer="708" w:gutter="0"/>
          <w:pgBorders>
            <w:top w:val="none" w:sz="0" w:space="0"/>
            <w:left w:val="none" w:sz="0" w:space="0"/>
            <w:bottom w:val="none" w:sz="0" w:space="0"/>
            <w:right w:val="none" w:sz="0" w:space="0"/>
          </w:pgBorders>
          <w:pgNumType w:fmt="numberInDash"/>
          <w:cols w:space="720" w:num="1"/>
          <w:titlePg/>
          <w:docGrid w:linePitch="360" w:charSpace="0"/>
        </w:sectPr>
      </w:pPr>
      <w:r>
        <w:rPr>
          <w:rFonts w:hint="eastAsia" w:ascii="仿宋_GB2312" w:eastAsia="仿宋_GB2312"/>
          <w:szCs w:val="21"/>
        </w:rPr>
        <w:t>*注：备注栏填写市级及以上领军人才</w:t>
      </w:r>
    </w:p>
    <w:p w14:paraId="7DF2F642">
      <w:pPr>
        <w:rPr>
          <w:rFonts w:ascii="黑体" w:hAnsi="黑体" w:eastAsia="黑体" w:cs="黑体"/>
          <w:sz w:val="32"/>
          <w:szCs w:val="32"/>
        </w:rPr>
      </w:pPr>
      <w:r>
        <w:rPr>
          <w:rFonts w:hint="eastAsia" w:ascii="黑体" w:hAnsi="黑体" w:eastAsia="黑体" w:cs="黑体"/>
          <w:sz w:val="32"/>
          <w:szCs w:val="32"/>
        </w:rPr>
        <w:t>四、项目情况</w:t>
      </w:r>
    </w:p>
    <w:p w14:paraId="2BEDB571">
      <w:pPr>
        <w:rPr>
          <w:rFonts w:hint="eastAsia" w:ascii="黑体" w:hAnsi="黑体" w:eastAsia="黑体" w:cs="黑体"/>
          <w:sz w:val="32"/>
          <w:szCs w:val="32"/>
        </w:rPr>
      </w:pPr>
    </w:p>
    <w:tbl>
      <w:tblPr>
        <w:tblStyle w:val="5"/>
        <w:tblW w:w="8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4"/>
      </w:tblGrid>
      <w:tr w14:paraId="60DC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394" w:type="dxa"/>
            <w:tcBorders>
              <w:bottom w:val="single" w:color="auto" w:sz="6" w:space="0"/>
            </w:tcBorders>
            <w:vAlign w:val="center"/>
          </w:tcPr>
          <w:p w14:paraId="11AE7078">
            <w:pPr>
              <w:jc w:val="center"/>
              <w:rPr>
                <w:rFonts w:hint="eastAsia" w:ascii="仿宋_GB2312" w:eastAsia="仿宋_GB2312"/>
                <w:b/>
                <w:sz w:val="24"/>
              </w:rPr>
            </w:pPr>
            <w:r>
              <w:rPr>
                <w:rFonts w:hint="eastAsia" w:ascii="仿宋_GB2312" w:eastAsia="仿宋_GB2312"/>
                <w:b/>
                <w:sz w:val="28"/>
                <w:szCs w:val="28"/>
              </w:rPr>
              <w:t>项目介绍</w:t>
            </w:r>
            <w:r>
              <w:rPr>
                <w:rFonts w:hint="eastAsia" w:ascii="仿宋_GB2312" w:eastAsia="仿宋_GB2312"/>
                <w:sz w:val="28"/>
                <w:szCs w:val="28"/>
              </w:rPr>
              <w:t xml:space="preserve">   </w:t>
            </w:r>
          </w:p>
        </w:tc>
      </w:tr>
      <w:tr w14:paraId="0BAB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atLeast"/>
        </w:trPr>
        <w:tc>
          <w:tcPr>
            <w:tcW w:w="8394" w:type="dxa"/>
            <w:tcBorders>
              <w:bottom w:val="single" w:color="auto" w:sz="6" w:space="0"/>
            </w:tcBorders>
            <w:vAlign w:val="top"/>
          </w:tcPr>
          <w:p w14:paraId="0649B809">
            <w:pPr>
              <w:jc w:val="left"/>
              <w:rPr>
                <w:rFonts w:hint="eastAsia" w:ascii="仿宋_GB2312" w:eastAsia="仿宋_GB2312"/>
                <w:sz w:val="24"/>
              </w:rPr>
            </w:pPr>
            <w:r>
              <w:rPr>
                <w:rFonts w:hint="eastAsia" w:ascii="仿宋_GB2312" w:eastAsia="仿宋_GB2312"/>
                <w:sz w:val="24"/>
              </w:rPr>
              <w:t>（项目概述、产品与研发、产业化程度等）</w:t>
            </w:r>
          </w:p>
          <w:p w14:paraId="037690E4">
            <w:pPr>
              <w:jc w:val="left"/>
              <w:rPr>
                <w:rFonts w:hint="default" w:ascii="微软雅黑" w:hAnsi="微软雅黑" w:eastAsia="微软雅黑" w:cs="微软雅黑"/>
                <w:b/>
                <w:bCs/>
                <w:i w:val="0"/>
                <w:iCs w:val="0"/>
                <w:caps w:val="0"/>
                <w:color w:val="333333"/>
                <w:spacing w:val="0"/>
                <w:sz w:val="27"/>
                <w:szCs w:val="27"/>
                <w:shd w:val="clear" w:fill="FFFFFF"/>
                <w:lang w:val="en-US" w:eastAsia="zh-CN"/>
              </w:rPr>
            </w:pPr>
            <w:r>
              <w:rPr>
                <w:rFonts w:hint="eastAsia" w:ascii="微软雅黑" w:hAnsi="微软雅黑" w:eastAsia="微软雅黑" w:cs="微软雅黑"/>
                <w:b/>
                <w:bCs/>
                <w:i w:val="0"/>
                <w:iCs w:val="0"/>
                <w:caps w:val="0"/>
                <w:color w:val="333333"/>
                <w:spacing w:val="0"/>
                <w:sz w:val="27"/>
                <w:szCs w:val="27"/>
                <w:shd w:val="clear" w:fill="FFFFFF"/>
                <w:lang w:val="en-US" w:eastAsia="zh-CN"/>
              </w:rPr>
              <w:t>项目概述:</w:t>
            </w:r>
          </w:p>
          <w:p w14:paraId="19210B42">
            <w:pPr>
              <w:jc w:val="left"/>
              <w:rPr>
                <w:rFonts w:hint="eastAsia" w:ascii="仿宋_GB2312" w:eastAsia="仿宋_GB2312"/>
                <w:sz w:val="24"/>
                <w:lang w:val="en-US" w:eastAsia="zh-CN"/>
              </w:rPr>
            </w:pPr>
            <w:r>
              <w:rPr>
                <w:rFonts w:hint="eastAsia" w:ascii="仿宋_GB2312" w:eastAsia="仿宋_GB2312"/>
                <w:sz w:val="24"/>
                <w:lang w:val="en-US" w:eastAsia="zh-CN"/>
              </w:rPr>
              <w:t>在全球航空与国防认证领域，一场深刻的范式转移正在发生。波音、空客、NASA及美国空军已达成共识：不确定性量化（UQ）是实现“分析认证”不可替代的核心技术，是飞行器从“试飞验证”迈向“仿真背书”的关键。然而，该技术在工程化落地方面面临思维、工具、数据与流程四大障碍，尤其在国内，从学术理论到工业应用的转化尚属空白。</w:t>
            </w:r>
            <w:r>
              <w:rPr>
                <w:rFonts w:hint="eastAsia" w:ascii="仿宋_GB2312" w:eastAsia="仿宋_GB2312"/>
                <w:sz w:val="24"/>
                <w:lang w:val="en-US" w:eastAsia="zh-CN"/>
              </w:rPr>
              <w:br w:type="textWrapping"/>
            </w:r>
            <w:r>
              <w:rPr>
                <w:rFonts w:hint="eastAsia" w:ascii="仿宋_GB2312" w:eastAsia="仿宋_GB2312"/>
                <w:sz w:val="24"/>
                <w:lang w:val="en-US" w:eastAsia="zh-CN"/>
              </w:rPr>
              <w:t>本项目由杨星辰博士领衔，依托杭州紫深智测技术有限公司，聚焦将UQ理论转化为可交付、可复算、可指导优化的工业级产品，为无人机、eVTOL等低空经济领域提供全新的适航检测解决方案。杨星辰博士先后在宾夕法尼亚州立大学、迈阿密大学取得硕士、博士学位，系统深耕不确定性量化与概率建模。博士期间主导基于EOF降维与PCE的高效代理模型构建，以49次运行替代传统方法所需十万次计算，效率提升超2000倍，成果发表于JCR Q1期刊。博士后期间深度参与浙江省“领雁”研发攻关计划，申请国家发明专利3项，入选人社部“博士后海外引才专项”，获杭州市D类人才认定及自然科学副研究员（副高）职称。</w:t>
            </w:r>
            <w:r>
              <w:rPr>
                <w:rFonts w:hint="eastAsia" w:ascii="仿宋_GB2312" w:eastAsia="仿宋_GB2312"/>
                <w:sz w:val="24"/>
                <w:lang w:val="en-US" w:eastAsia="zh-CN"/>
              </w:rPr>
              <w:br w:type="textWrapping"/>
            </w:r>
            <w:r>
              <w:rPr>
                <w:rFonts w:hint="eastAsia" w:ascii="仿宋_GB2312" w:eastAsia="仿宋_GB2312"/>
                <w:sz w:val="24"/>
                <w:lang w:val="en-US" w:eastAsia="zh-CN"/>
              </w:rPr>
              <w:t>项目的核心创新，是颠覆传统“通过/不通过”的二元判定，构建覆盖“检测参数”与“检测过程”两个维度的完整UQ分析体系。在检测参数UQ维度，对温度、湿度、振动等输入参数的不确定性进行概率分布建模，通过仿真将不确定性传播至系统输出，得到失效概率与置信区间。例如，无人机环境适应性测试中，传统结论仅为“失效”，而本技术可输出“失效概率92%，置信区间95%，温度贡献度50%，湿度贡献度42%，误差8%”。在检测过程误差UQ维度，将随机误差建模为零均值概率分布，系统偏差表现为方向性偏移，二者统一纳入UQ框架，为设备选型与校准周期制定提供依据。两大维度通过耦合分析形成闭环：灵敏度分析可量化设备误差相对于参数不确定性的贡献，判断提升设备精度是否具有边际效益，从而指导检测资源优化配置，直接为客户创造可量化的经济价值。</w:t>
            </w:r>
            <w:r>
              <w:rPr>
                <w:rFonts w:hint="eastAsia" w:ascii="仿宋_GB2312" w:eastAsia="仿宋_GB2312"/>
                <w:sz w:val="24"/>
                <w:lang w:val="en-US" w:eastAsia="zh-CN"/>
              </w:rPr>
              <w:br w:type="textWrapping"/>
            </w:r>
            <w:r>
              <w:rPr>
                <w:rFonts w:hint="eastAsia" w:ascii="仿宋_GB2312" w:eastAsia="仿宋_GB2312"/>
                <w:sz w:val="24"/>
                <w:lang w:val="en-US" w:eastAsia="zh-CN"/>
              </w:rPr>
              <w:t>项目战略价值已获国家政策强力支撑。新修订的《民用航空法》强调加强适航审定能力建设，低空经济位列“十五五”新兴支柱产业之首。然而国内量化置信度评估体系近乎空白。我们的目标是以“参数UQ+误差UQ+耦合分析”方法体系为核心，构建从数据底座到决策转化的完整技术服务平台，为适航审定从“行政依赖”转向“技术依赖”提供核心支撑，抢占万亿级低空经济市场的质量基础设施制高点。</w:t>
            </w:r>
          </w:p>
          <w:p w14:paraId="14CBD33F">
            <w:pPr>
              <w:jc w:val="left"/>
              <w:rPr>
                <w:rFonts w:hint="eastAsia" w:ascii="仿宋_GB2312" w:eastAsia="仿宋_GB2312"/>
                <w:sz w:val="24"/>
                <w:lang w:val="en-US" w:eastAsia="zh-CN"/>
              </w:rPr>
            </w:pPr>
          </w:p>
          <w:p w14:paraId="0C5DC2D8">
            <w:pPr>
              <w:jc w:val="left"/>
              <w:rPr>
                <w:rFonts w:hint="default" w:ascii="微软雅黑" w:hAnsi="微软雅黑" w:eastAsia="微软雅黑" w:cs="微软雅黑"/>
                <w:b/>
                <w:bCs/>
                <w:i w:val="0"/>
                <w:iCs w:val="0"/>
                <w:caps w:val="0"/>
                <w:color w:val="333333"/>
                <w:spacing w:val="0"/>
                <w:sz w:val="27"/>
                <w:szCs w:val="27"/>
                <w:shd w:val="clear" w:fill="FFFFFF"/>
                <w:lang w:val="en-US" w:eastAsia="zh-CN"/>
              </w:rPr>
            </w:pPr>
            <w:r>
              <w:rPr>
                <w:rFonts w:hint="eastAsia" w:ascii="微软雅黑" w:hAnsi="微软雅黑" w:eastAsia="微软雅黑" w:cs="微软雅黑"/>
                <w:b/>
                <w:bCs/>
                <w:i w:val="0"/>
                <w:iCs w:val="0"/>
                <w:caps w:val="0"/>
                <w:color w:val="333333"/>
                <w:spacing w:val="0"/>
                <w:sz w:val="27"/>
                <w:szCs w:val="27"/>
                <w:shd w:val="clear" w:fill="FFFFFF"/>
                <w:lang w:val="en-US" w:eastAsia="zh-CN"/>
              </w:rPr>
              <w:t>产品与研发:</w:t>
            </w:r>
          </w:p>
          <w:p w14:paraId="14AF3D98">
            <w:pPr>
              <w:jc w:val="left"/>
              <w:rPr>
                <w:rFonts w:hint="eastAsia" w:ascii="仿宋_GB2312" w:eastAsia="仿宋_GB2312"/>
                <w:sz w:val="24"/>
                <w:lang w:val="en-US" w:eastAsia="zh-CN"/>
              </w:rPr>
            </w:pPr>
            <w:r>
              <w:rPr>
                <w:rFonts w:hint="eastAsia" w:ascii="仿宋_GB2312" w:eastAsia="仿宋_GB2312"/>
                <w:sz w:val="24"/>
                <w:lang w:val="en-US" w:eastAsia="zh-CN"/>
              </w:rPr>
              <w:t>一、本项目致力于打造分层解耦、可扩展的UQ适航检测产品体系，构建从数据采集到价值交付的全链路技术闭环。产品架构分为五层：</w:t>
            </w:r>
            <w:r>
              <w:rPr>
                <w:rFonts w:hint="eastAsia" w:ascii="仿宋_GB2312" w:eastAsia="仿宋_GB2312"/>
                <w:sz w:val="24"/>
                <w:lang w:val="en-US" w:eastAsia="zh-CN"/>
              </w:rPr>
              <w:br w:type="textWrapping"/>
            </w:r>
            <w:r>
              <w:rPr>
                <w:rFonts w:hint="eastAsia" w:ascii="仿宋_GB2312" w:eastAsia="仿宋_GB2312"/>
                <w:sz w:val="24"/>
                <w:lang w:val="en-US" w:eastAsia="zh-CN"/>
              </w:rPr>
              <w:t>1.采集接入层实现检测数据源头标准化，针对不同型号无人机与检测设备，开发统一的数据输入标准、字段映射规则及元数据模板配置，解决多源异构数据融合难题。</w:t>
            </w:r>
            <w:r>
              <w:rPr>
                <w:rFonts w:hint="eastAsia" w:ascii="仿宋_GB2312" w:eastAsia="仿宋_GB2312"/>
                <w:sz w:val="24"/>
                <w:lang w:val="en-US" w:eastAsia="zh-CN"/>
              </w:rPr>
              <w:br w:type="textWrapping"/>
            </w:r>
            <w:r>
              <w:rPr>
                <w:rFonts w:hint="eastAsia" w:ascii="仿宋_GB2312" w:eastAsia="仿宋_GB2312"/>
                <w:sz w:val="24"/>
                <w:lang w:val="en-US" w:eastAsia="zh-CN"/>
              </w:rPr>
              <w:t>2.数据底座层确保结果可复现，包含自动化数据质检、数据字典与版本治理及强制性复现规范，确保每次UQ分析的原始数据和清洗过程清晰可追溯，经得起适航审定审计要求。</w:t>
            </w:r>
            <w:r>
              <w:rPr>
                <w:rFonts w:hint="eastAsia" w:ascii="仿宋_GB2312" w:eastAsia="仿宋_GB2312"/>
                <w:sz w:val="24"/>
                <w:lang w:val="en-US" w:eastAsia="zh-CN"/>
              </w:rPr>
              <w:br w:type="textWrapping"/>
            </w:r>
            <w:r>
              <w:rPr>
                <w:rFonts w:hint="eastAsia" w:ascii="仿宋_GB2312" w:eastAsia="仿宋_GB2312"/>
                <w:sz w:val="24"/>
                <w:lang w:val="en-US" w:eastAsia="zh-CN"/>
              </w:rPr>
              <w:t>3.UQ核心引擎是杨星辰博士主导构建的技术壁垒，具备三大核心功能：不确定性来源参数化，全面量化测量误差、模型近似、认知缺失等所有来源，支持至少5种典型概率分布类型；蒙特卡洛不确定性传播，通过数百万次模拟将输入不确定性精确传导至最终结论，生成概率分布；概率化结论生成，输出失效概率与置信区间在内的完整风险画像。针对高维仿真模型计算成本过高问题，引擎集成杨博士在NSF项目中验证的EOF降维与PCE代理模型加速算法，在保证R²大于0.95近似精度前提下将计算量降低一个数量级以上。</w:t>
            </w:r>
            <w:r>
              <w:rPr>
                <w:rFonts w:hint="eastAsia" w:ascii="仿宋_GB2312" w:eastAsia="仿宋_GB2312"/>
                <w:sz w:val="24"/>
                <w:lang w:val="en-US" w:eastAsia="zh-CN"/>
              </w:rPr>
              <w:br w:type="textWrapping"/>
            </w:r>
            <w:r>
              <w:rPr>
                <w:rFonts w:hint="eastAsia" w:ascii="仿宋_GB2312" w:eastAsia="仿宋_GB2312"/>
                <w:sz w:val="24"/>
                <w:lang w:val="en-US" w:eastAsia="zh-CN"/>
              </w:rPr>
              <w:t>4.分析推理层运用Sobol方法提供全局敏感性分析，量化各参数对失效风险的贡献比例，Top3关键影响因素识别准确率目标达90%以上，通过交互效应分析揭示参数间耦合风险，最终生成最小补测路线图，计算出达到目标置信度所需的最少、最省钱的补测方案。</w:t>
            </w:r>
            <w:r>
              <w:rPr>
                <w:rFonts w:hint="eastAsia" w:ascii="仿宋_GB2312" w:eastAsia="仿宋_GB2312"/>
                <w:sz w:val="24"/>
                <w:lang w:val="en-US" w:eastAsia="zh-CN"/>
              </w:rPr>
              <w:br w:type="textWrapping"/>
            </w:r>
            <w:r>
              <w:rPr>
                <w:rFonts w:hint="eastAsia" w:ascii="仿宋_GB2312" w:eastAsia="仿宋_GB2312"/>
                <w:sz w:val="24"/>
                <w:lang w:val="en-US" w:eastAsia="zh-CN"/>
              </w:rPr>
              <w:t>5.对外交付层封装输出UQ风险画像报告、最小补测路线图、可复算交付包及配套解决方案，从原始数据导入到完整报告生成总耗时不超过2小时。</w:t>
            </w:r>
            <w:r>
              <w:rPr>
                <w:rFonts w:hint="eastAsia" w:ascii="仿宋_GB2312" w:eastAsia="仿宋_GB2312"/>
                <w:sz w:val="24"/>
                <w:lang w:val="en-US" w:eastAsia="zh-CN"/>
              </w:rPr>
              <w:br w:type="textWrapping"/>
            </w:r>
            <w:r>
              <w:rPr>
                <w:rFonts w:hint="eastAsia" w:ascii="仿宋_GB2312" w:eastAsia="仿宋_GB2312"/>
                <w:sz w:val="24"/>
                <w:lang w:val="en-US" w:eastAsia="zh-CN"/>
              </w:rPr>
              <w:t>二、公司已形成结构化的产品与服务矩阵，处于小试阶段。无人机检测UQ分析报告作为核心产品，将传统“通过/不通过”定性结论升级为概率化置信区间与风险排序。研发规划分三个阶段推进：</w:t>
            </w:r>
            <w:r>
              <w:rPr>
                <w:rFonts w:hint="eastAsia" w:ascii="仿宋_GB2312" w:eastAsia="仿宋_GB2312"/>
                <w:sz w:val="24"/>
                <w:lang w:val="en-US" w:eastAsia="zh-CN"/>
              </w:rPr>
              <w:br w:type="textWrapping"/>
            </w:r>
            <w:r>
              <w:rPr>
                <w:rFonts w:hint="eastAsia" w:ascii="仿宋_GB2312" w:eastAsia="仿宋_GB2312"/>
                <w:sz w:val="24"/>
                <w:lang w:val="en-US" w:eastAsia="zh-CN"/>
              </w:rPr>
              <w:t>第一阶段（2026年）完成UQ核心引擎V1.0开发，打通从数据采集到敏感性分析全流程，依托杭州中国飞谷2100平方米实验室及一期500万元设备投入，开发至少2个深度适配的UQ专用分析模块，构建首个标准化数据底座与可复现规范体系。</w:t>
            </w:r>
            <w:r>
              <w:rPr>
                <w:rFonts w:hint="eastAsia" w:ascii="仿宋_GB2312" w:eastAsia="仿宋_GB2312"/>
                <w:sz w:val="24"/>
                <w:lang w:val="en-US" w:eastAsia="zh-CN"/>
              </w:rPr>
              <w:br w:type="textWrapping"/>
            </w:r>
            <w:r>
              <w:rPr>
                <w:rFonts w:hint="eastAsia" w:ascii="仿宋_GB2312" w:eastAsia="仿宋_GB2312"/>
                <w:sz w:val="24"/>
                <w:lang w:val="en-US" w:eastAsia="zh-CN"/>
              </w:rPr>
              <w:t>第二阶段（2027年）引擎升级至V2.0，引入代理模型加速技术提升大规模计算效率，扩展分系统专用UQ分析模块矩阵。</w:t>
            </w:r>
            <w:r>
              <w:rPr>
                <w:rFonts w:hint="eastAsia" w:ascii="仿宋_GB2312" w:eastAsia="仿宋_GB2312"/>
                <w:sz w:val="24"/>
                <w:lang w:val="en-US" w:eastAsia="zh-CN"/>
              </w:rPr>
              <w:br w:type="textWrapping"/>
            </w:r>
            <w:r>
              <w:rPr>
                <w:rFonts w:hint="eastAsia" w:ascii="仿宋_GB2312" w:eastAsia="仿宋_GB2312"/>
                <w:sz w:val="24"/>
                <w:lang w:val="en-US" w:eastAsia="zh-CN"/>
              </w:rPr>
              <w:t>第三阶段（2028年）探索研发基于AI的UQ智能分析助手Beta版，实现归因分析与补测建议自动化生成，构建跨行业UQ方法论迁移能力，在新能源电池、半导体材料等新领域完成初步验证。</w:t>
            </w:r>
          </w:p>
          <w:p w14:paraId="6EFE76B0">
            <w:pPr>
              <w:jc w:val="left"/>
              <w:rPr>
                <w:rFonts w:hint="eastAsia" w:ascii="仿宋_GB2312" w:eastAsia="仿宋_GB2312"/>
                <w:sz w:val="24"/>
                <w:lang w:val="en-US" w:eastAsia="zh-CN"/>
              </w:rPr>
            </w:pPr>
          </w:p>
          <w:p w14:paraId="37FEF860">
            <w:pPr>
              <w:jc w:val="left"/>
              <w:rPr>
                <w:rFonts w:hint="eastAsia" w:ascii="仿宋_GB2312" w:eastAsia="仿宋_GB2312"/>
                <w:sz w:val="24"/>
                <w:lang w:val="en-US" w:eastAsia="zh-CN"/>
              </w:rPr>
            </w:pPr>
          </w:p>
          <w:p w14:paraId="4FE28DFD">
            <w:pPr>
              <w:jc w:val="left"/>
              <w:rPr>
                <w:rFonts w:hint="default" w:ascii="微软雅黑" w:hAnsi="微软雅黑" w:eastAsia="微软雅黑" w:cs="微软雅黑"/>
                <w:b/>
                <w:bCs/>
                <w:i w:val="0"/>
                <w:iCs w:val="0"/>
                <w:caps w:val="0"/>
                <w:color w:val="333333"/>
                <w:spacing w:val="0"/>
                <w:sz w:val="27"/>
                <w:szCs w:val="27"/>
                <w:shd w:val="clear" w:fill="FFFFFF"/>
                <w:lang w:val="en-US" w:eastAsia="zh-CN"/>
              </w:rPr>
            </w:pPr>
            <w:r>
              <w:rPr>
                <w:rFonts w:hint="eastAsia" w:ascii="微软雅黑" w:hAnsi="微软雅黑" w:eastAsia="微软雅黑" w:cs="微软雅黑"/>
                <w:b/>
                <w:bCs/>
                <w:i w:val="0"/>
                <w:iCs w:val="0"/>
                <w:caps w:val="0"/>
                <w:color w:val="333333"/>
                <w:spacing w:val="0"/>
                <w:sz w:val="27"/>
                <w:szCs w:val="27"/>
                <w:shd w:val="clear" w:fill="FFFFFF"/>
                <w:lang w:val="en-US" w:eastAsia="zh-CN"/>
              </w:rPr>
              <w:t>产业化程度:</w:t>
            </w:r>
          </w:p>
          <w:p w14:paraId="13A008E4">
            <w:pPr>
              <w:jc w:val="left"/>
              <w:rPr>
                <w:rFonts w:hint="eastAsia" w:ascii="仿宋_GB2312" w:eastAsia="仿宋_GB2312"/>
                <w:sz w:val="24"/>
                <w:lang w:val="en-US" w:eastAsia="zh-CN"/>
              </w:rPr>
            </w:pPr>
            <w:r>
              <w:rPr>
                <w:rFonts w:hint="eastAsia" w:ascii="仿宋_GB2312" w:eastAsia="仿宋_GB2312"/>
                <w:sz w:val="24"/>
                <w:lang w:val="en-US" w:eastAsia="zh-CN"/>
              </w:rPr>
              <w:t>本项目已越过纯理论研究阶段，进入工程化落地与初期市场验证的关键时期，具备清晰的产业化基础。</w:t>
            </w:r>
            <w:r>
              <w:rPr>
                <w:rFonts w:hint="eastAsia" w:ascii="仿宋_GB2312" w:eastAsia="仿宋_GB2312"/>
                <w:sz w:val="24"/>
                <w:lang w:val="en-US" w:eastAsia="zh-CN"/>
              </w:rPr>
              <w:br w:type="textWrapping"/>
            </w:r>
            <w:r>
              <w:rPr>
                <w:rFonts w:hint="eastAsia" w:ascii="仿宋_GB2312" w:eastAsia="仿宋_GB2312"/>
                <w:sz w:val="24"/>
                <w:lang w:val="en-US" w:eastAsia="zh-CN"/>
              </w:rPr>
              <w:t>场地与硬件基础：公司已在杭州余杭区“中国飞谷”建立占地2100㎡的专业检测场地，规划打造“无人机智验实验室”。种子轮融资中，设备商以价值500万元定制检测设备增资。此外，已签署合作协议，独家锁定宁波（海洋）与甘肃（高原）两大极端环境测试场。硬件方面，已签约采购20台套高端定制化环境试验设备，涵盖循环腐蚀、防爆温循、高低温冲击等核心装备。</w:t>
            </w:r>
            <w:r>
              <w:rPr>
                <w:rFonts w:hint="eastAsia" w:ascii="仿宋_GB2312" w:eastAsia="仿宋_GB2312"/>
                <w:sz w:val="24"/>
                <w:lang w:val="en-US" w:eastAsia="zh-CN"/>
              </w:rPr>
              <w:br w:type="textWrapping"/>
            </w:r>
            <w:r>
              <w:rPr>
                <w:rFonts w:hint="eastAsia" w:ascii="仿宋_GB2312" w:eastAsia="仿宋_GB2312"/>
                <w:sz w:val="24"/>
                <w:lang w:val="en-US" w:eastAsia="zh-CN"/>
              </w:rPr>
              <w:t>市场与产业合作网络：已与航空工业集团301所、江淮前沿技术协同创新中心、清华大学、浙江大学、天目山实验室等顶尖机构建立产学研合作。在产业端，已与3家国内头部eVTOL主机厂达成研发验证服务合作意向，与适航审定机构、中国民航大学等保持技术对接。</w:t>
            </w:r>
            <w:r>
              <w:rPr>
                <w:rFonts w:hint="eastAsia" w:ascii="仿宋_GB2312" w:eastAsia="仿宋_GB2312"/>
                <w:sz w:val="24"/>
                <w:lang w:val="en-US" w:eastAsia="zh-CN"/>
              </w:rPr>
              <w:br w:type="textWrapping"/>
            </w:r>
            <w:r>
              <w:rPr>
                <w:rFonts w:hint="eastAsia" w:ascii="仿宋_GB2312" w:eastAsia="仿宋_GB2312"/>
                <w:sz w:val="24"/>
                <w:lang w:val="en-US" w:eastAsia="zh-CN"/>
              </w:rPr>
              <w:t>产品与服务基础：公司已形成“无人机检测UQ分析报告”核心产品，处于小试阶段。UQ分析平台正在开发测试中，实现实验室数字化管理及与数字风墙系统的数据对接。公司正在牵头制定《eVTOL飞行器不确定性量化风险评估方法》团体标准，并获得浙江文创奖“最具投资价值奖”。目前正在申请CNAS认可及CMA认证。</w:t>
            </w:r>
          </w:p>
          <w:p w14:paraId="464F566F">
            <w:pPr>
              <w:jc w:val="left"/>
              <w:rPr>
                <w:rFonts w:hint="eastAsia" w:ascii="仿宋_GB2312" w:eastAsia="仿宋_GB2312"/>
                <w:sz w:val="24"/>
                <w:lang w:val="en-US" w:eastAsia="zh-CN"/>
              </w:rPr>
            </w:pPr>
          </w:p>
          <w:p w14:paraId="51661D34">
            <w:pPr>
              <w:jc w:val="left"/>
              <w:rPr>
                <w:rFonts w:ascii="微软雅黑" w:hAnsi="微软雅黑" w:eastAsia="微软雅黑" w:cs="微软雅黑"/>
                <w:b/>
                <w:bCs/>
                <w:i w:val="0"/>
                <w:iCs w:val="0"/>
                <w:caps w:val="0"/>
                <w:color w:val="333333"/>
                <w:spacing w:val="0"/>
                <w:sz w:val="27"/>
                <w:szCs w:val="27"/>
                <w:shd w:val="clear" w:fill="FFFFFF"/>
              </w:rPr>
            </w:pPr>
            <w:r>
              <w:rPr>
                <w:rFonts w:ascii="微软雅黑" w:hAnsi="微软雅黑" w:eastAsia="微软雅黑" w:cs="微软雅黑"/>
                <w:b/>
                <w:bCs/>
                <w:i w:val="0"/>
                <w:iCs w:val="0"/>
                <w:caps w:val="0"/>
                <w:color w:val="333333"/>
                <w:spacing w:val="0"/>
                <w:sz w:val="27"/>
                <w:szCs w:val="27"/>
                <w:shd w:val="clear" w:fill="FFFFFF"/>
              </w:rPr>
              <w:t>其他:</w:t>
            </w:r>
          </w:p>
          <w:p w14:paraId="3FCF301B">
            <w:pPr>
              <w:jc w:val="left"/>
              <w:rPr>
                <w:rFonts w:hint="default" w:ascii="微软雅黑" w:hAnsi="微软雅黑" w:eastAsia="微软雅黑" w:cs="微软雅黑"/>
                <w:b/>
                <w:bCs/>
                <w:i w:val="0"/>
                <w:iCs w:val="0"/>
                <w:caps w:val="0"/>
                <w:color w:val="333333"/>
                <w:spacing w:val="0"/>
                <w:sz w:val="27"/>
                <w:szCs w:val="27"/>
                <w:shd w:val="clear" w:fill="FFFFFF"/>
                <w:lang w:val="en-US" w:eastAsia="zh-CN"/>
              </w:rPr>
            </w:pPr>
            <w:r>
              <w:rPr>
                <w:rFonts w:hint="eastAsia" w:ascii="仿宋_GB2312" w:eastAsia="仿宋_GB2312"/>
                <w:sz w:val="24"/>
                <w:lang w:val="en-US" w:eastAsia="zh-CN"/>
              </w:rPr>
              <w:t>荣誉资质与研发平台：公司已获2025年浙江省文创奖“最具投资价值奖”。建有“杭州紫深智测智慧实验室”，拥有智慧实验室管理平台；与之江实验室、天目山实验室等科研机构保持技术交流。</w:t>
            </w:r>
            <w:r>
              <w:rPr>
                <w:rFonts w:hint="eastAsia" w:ascii="仿宋_GB2312" w:eastAsia="仿宋_GB2312"/>
                <w:sz w:val="24"/>
                <w:lang w:val="en-US" w:eastAsia="zh-CN"/>
              </w:rPr>
              <w:br w:type="textWrapping"/>
            </w:r>
            <w:r>
              <w:rPr>
                <w:rFonts w:hint="eastAsia" w:ascii="仿宋_GB2312" w:eastAsia="仿宋_GB2312"/>
                <w:sz w:val="24"/>
                <w:lang w:val="en-US" w:eastAsia="zh-CN"/>
              </w:rPr>
              <w:t>政策支持：公司落户杭州余杭区“中国飞谷”，可享受余杭区“低空经济18条”专项扶持政策，包括3年免租空间、最高1200万元研发补助等政策红利。余杭区南湖未来科学园已吸引30余家低空经济企业落户，形成涵盖基础设施、飞行器制造、运营服务、飞行保障等全链条的产业体系。2026年3月，紫深智测作为“硬核”科技企业代表，在余杭区中泰街道经济高质量发展大会上完成高质量发展重点项目签约。</w:t>
            </w:r>
          </w:p>
        </w:tc>
      </w:tr>
      <w:tr w14:paraId="56BB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8394" w:type="dxa"/>
            <w:tcBorders>
              <w:top w:val="single" w:color="auto" w:sz="6" w:space="0"/>
              <w:bottom w:val="single" w:color="auto" w:sz="6" w:space="0"/>
            </w:tcBorders>
            <w:vAlign w:val="center"/>
          </w:tcPr>
          <w:p w14:paraId="5913A7F1">
            <w:pPr>
              <w:jc w:val="center"/>
              <w:rPr>
                <w:rFonts w:hint="eastAsia" w:ascii="仿宋_GB2312" w:eastAsia="仿宋_GB2312"/>
                <w:sz w:val="28"/>
                <w:szCs w:val="28"/>
              </w:rPr>
            </w:pPr>
            <w:r>
              <w:rPr>
                <w:rFonts w:hint="eastAsia" w:ascii="仿宋_GB2312" w:eastAsia="仿宋_GB2312"/>
                <w:b/>
                <w:sz w:val="28"/>
                <w:szCs w:val="28"/>
              </w:rPr>
              <w:t>市场与规划</w:t>
            </w:r>
          </w:p>
        </w:tc>
      </w:tr>
      <w:tr w14:paraId="30F15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atLeast"/>
        </w:trPr>
        <w:tc>
          <w:tcPr>
            <w:tcW w:w="8394" w:type="dxa"/>
            <w:tcBorders>
              <w:top w:val="single" w:color="auto" w:sz="6" w:space="0"/>
              <w:bottom w:val="single" w:color="auto" w:sz="6" w:space="0"/>
            </w:tcBorders>
            <w:vAlign w:val="top"/>
          </w:tcPr>
          <w:p w14:paraId="51E056AD">
            <w:pPr>
              <w:rPr>
                <w:rFonts w:hint="eastAsia" w:ascii="仿宋_GB2312" w:eastAsia="仿宋_GB2312"/>
                <w:sz w:val="24"/>
              </w:rPr>
            </w:pPr>
            <w:r>
              <w:rPr>
                <w:rFonts w:hint="eastAsia" w:ascii="仿宋_GB2312" w:eastAsia="仿宋_GB2312"/>
                <w:sz w:val="24"/>
              </w:rPr>
              <w:t xml:space="preserve">（市场分析与定位、竞争力分析、市场营销、财务分析、发展计划等） </w:t>
            </w:r>
          </w:p>
          <w:p w14:paraId="69221CBB">
            <w:pPr>
              <w:rPr>
                <w:rFonts w:hint="eastAsia" w:ascii="仿宋_GB2312" w:eastAsia="仿宋_GB2312"/>
                <w:sz w:val="24"/>
                <w:lang w:val="en-US" w:eastAsia="zh-CN"/>
              </w:rPr>
            </w:pPr>
            <w:r>
              <w:rPr>
                <w:rFonts w:ascii="微软雅黑" w:hAnsi="微软雅黑" w:eastAsia="微软雅黑" w:cs="微软雅黑"/>
                <w:b/>
                <w:bCs/>
                <w:i w:val="0"/>
                <w:iCs w:val="0"/>
                <w:caps w:val="0"/>
                <w:color w:val="333333"/>
                <w:spacing w:val="0"/>
                <w:sz w:val="27"/>
                <w:szCs w:val="27"/>
                <w:shd w:val="clear" w:fill="FFFFFF"/>
              </w:rPr>
              <w:t>市场分析与定位:</w:t>
            </w:r>
          </w:p>
          <w:p w14:paraId="37436F5A">
            <w:pPr>
              <w:rPr>
                <w:rFonts w:hint="eastAsia" w:ascii="仿宋_GB2312" w:eastAsia="仿宋_GB2312"/>
                <w:sz w:val="24"/>
                <w:lang w:val="en-US" w:eastAsia="zh-CN"/>
              </w:rPr>
            </w:pPr>
            <w:r>
              <w:rPr>
                <w:rFonts w:hint="eastAsia" w:ascii="仿宋_GB2312" w:eastAsia="仿宋_GB2312"/>
                <w:sz w:val="24"/>
                <w:lang w:val="en-US" w:eastAsia="zh-CN"/>
              </w:rPr>
              <w:t>我们面对的是一个由政策强制、市场焦虑和竞争空白叠加形成的蓝海市场。中国检验检测认证市场规模已超4000亿人民币，但整个行业正面临从“定性判定”向“精准量化”转型的巨大压力，传统“通过/不通过”模式已无法满足高端制造对可信度验证与成本精细化控制的深层需求。</w:t>
            </w:r>
            <w:r>
              <w:rPr>
                <w:rFonts w:hint="eastAsia" w:ascii="仿宋_GB2312" w:eastAsia="仿宋_GB2312"/>
                <w:sz w:val="24"/>
                <w:lang w:val="en-US" w:eastAsia="zh-CN"/>
              </w:rPr>
              <w:br w:type="textWrapping"/>
            </w:r>
            <w:r>
              <w:rPr>
                <w:rFonts w:hint="eastAsia" w:ascii="仿宋_GB2312" w:eastAsia="仿宋_GB2312"/>
                <w:sz w:val="24"/>
                <w:lang w:val="en-US" w:eastAsia="zh-CN"/>
              </w:rPr>
              <w:t>三大客户群体的核心痛点明确。检测机构同质化竞争严重，迫切需要从“给结论”升级为“给风险判断”，开拓高利润增值服务。受检主机厂在盲目重复检测与冒险放行间两难抉择，亟需科学工具在保证合规前提下用最少测试证明安全性，显著降低成本。监管与认证方在“加强适航审定能力”的法律要求下，缺乏支撑审定决策的量化置信度工具，急需建立可审计、可复算的科学透明体系。</w:t>
            </w:r>
            <w:r>
              <w:rPr>
                <w:rFonts w:hint="eastAsia" w:ascii="仿宋_GB2312" w:eastAsia="仿宋_GB2312"/>
                <w:sz w:val="24"/>
                <w:lang w:val="en-US" w:eastAsia="zh-CN"/>
              </w:rPr>
              <w:br w:type="textWrapping"/>
            </w:r>
            <w:r>
              <w:rPr>
                <w:rFonts w:hint="eastAsia" w:ascii="仿宋_GB2312" w:eastAsia="仿宋_GB2312"/>
                <w:sz w:val="24"/>
                <w:lang w:val="en-US" w:eastAsia="zh-CN"/>
              </w:rPr>
              <w:t>政策驱动形成刚性需求。低空经济位列国家“十五五”四大新兴支柱产业之首，《中华人民共和国民用航空法》（2025年修订）首次以法律形式明确“加强适航审定能力建设”，适航审定从“行政依赖”转向“技术依赖”。然而eVTOL、无人机等新型飞行器缺乏历史飞行测试数据，必须依靠“分析认证+UQ”来证明安全性。国内尚无相关标准或工具链，形成了政策强制、市场焦虑、竞争空白的黄金窗口。</w:t>
            </w:r>
            <w:r>
              <w:rPr>
                <w:rFonts w:hint="eastAsia" w:ascii="仿宋_GB2312" w:eastAsia="仿宋_GB2312"/>
                <w:sz w:val="24"/>
                <w:lang w:val="en-US" w:eastAsia="zh-CN"/>
              </w:rPr>
              <w:br w:type="textWrapping"/>
            </w:r>
            <w:r>
              <w:rPr>
                <w:rFonts w:hint="eastAsia" w:ascii="仿宋_GB2312" w:eastAsia="仿宋_GB2312"/>
                <w:sz w:val="24"/>
                <w:lang w:val="en-US" w:eastAsia="zh-CN"/>
              </w:rPr>
              <w:t>我们采取“高举高打、垂直深耕”的进入策略，早期聚焦低空经济、航空航天、新能源等国家战略级高价值领域。选择逻辑有三：对政策最敏感，对分析认证需求最刚性；产品价值高、安全风险大，误判代价极其高昂，付费意愿和能力最强。UQ技术作为检测市场的精度革命，可渗透增值空间在40至120亿人民币级别。随着低空经济爆发式增长，数百种eVTOL和新型无人机进入适航审定，每个型号都是百万至千万级的UQ服务订单机会。公司早期营收目标是三年内突破8000万元，占据市场先发优势。</w:t>
            </w:r>
            <w:r>
              <w:rPr>
                <w:rFonts w:hint="eastAsia" w:ascii="仿宋_GB2312" w:eastAsia="仿宋_GB2312"/>
                <w:sz w:val="24"/>
                <w:lang w:val="en-US" w:eastAsia="zh-CN"/>
              </w:rPr>
              <w:br w:type="textWrapping"/>
            </w:r>
            <w:r>
              <w:rPr>
                <w:rFonts w:hint="eastAsia" w:ascii="仿宋_GB2312" w:eastAsia="仿宋_GB2312"/>
                <w:sz w:val="24"/>
                <w:lang w:val="en-US" w:eastAsia="zh-CN"/>
              </w:rPr>
              <w:t>市场进入分三阶段推进。2026年为标杆打磨期，锁定1至2家战略级客户共同打磨产品，产出标杆级UQ分析报告，在行业会议发布白皮书建立思想领导力。2027年为复制验证期，将样板经验沉淀为标准作业程序，扩展至3至5个新项目，以量化降本收益案例精准获客。2028年起进入规模推广期，发布标准化产品方案包，启动渠道合作，推动UQ方法论成为行业推荐最佳实践。</w:t>
            </w:r>
          </w:p>
          <w:p w14:paraId="799CF22C">
            <w:pPr>
              <w:rPr>
                <w:rFonts w:hint="eastAsia" w:ascii="仿宋_GB2312" w:eastAsia="仿宋_GB2312"/>
                <w:sz w:val="24"/>
                <w:lang w:val="en-US" w:eastAsia="zh-CN"/>
              </w:rPr>
            </w:pPr>
          </w:p>
          <w:p w14:paraId="3D5C6239">
            <w:pPr>
              <w:rPr>
                <w:rFonts w:hint="eastAsia" w:ascii="仿宋_GB2312" w:eastAsia="仿宋_GB2312"/>
                <w:sz w:val="24"/>
                <w:lang w:val="en-US" w:eastAsia="zh-CN"/>
              </w:rPr>
            </w:pPr>
            <w:r>
              <w:rPr>
                <w:rFonts w:ascii="微软雅黑" w:hAnsi="微软雅黑" w:eastAsia="微软雅黑" w:cs="微软雅黑"/>
                <w:b/>
                <w:bCs/>
                <w:i w:val="0"/>
                <w:iCs w:val="0"/>
                <w:caps w:val="0"/>
                <w:color w:val="333333"/>
                <w:spacing w:val="0"/>
                <w:sz w:val="27"/>
                <w:szCs w:val="27"/>
                <w:shd w:val="clear" w:fill="FFFFFF"/>
              </w:rPr>
              <w:t>竞争力分析:</w:t>
            </w:r>
          </w:p>
          <w:p w14:paraId="1105C479">
            <w:pPr>
              <w:rPr>
                <w:rFonts w:hint="eastAsia" w:ascii="仿宋_GB2312" w:eastAsia="仿宋_GB2312"/>
                <w:sz w:val="24"/>
                <w:lang w:val="en-US" w:eastAsia="zh-CN"/>
              </w:rPr>
            </w:pPr>
            <w:r>
              <w:rPr>
                <w:rFonts w:hint="eastAsia" w:ascii="仿宋_GB2312" w:eastAsia="仿宋_GB2312"/>
                <w:sz w:val="24"/>
                <w:lang w:val="en-US" w:eastAsia="zh-CN"/>
              </w:rPr>
              <w:t>我们的核心竞争力源于“学术理论工程化”的深厚壁垒，形成了短期内难以被复制的多维竞争优势。</w:t>
            </w:r>
            <w:r>
              <w:rPr>
                <w:rFonts w:hint="eastAsia" w:ascii="仿宋_GB2312" w:eastAsia="仿宋_GB2312"/>
                <w:sz w:val="24"/>
                <w:lang w:val="en-US" w:eastAsia="zh-CN"/>
              </w:rPr>
              <w:br w:type="textWrapping"/>
            </w:r>
            <w:r>
              <w:rPr>
                <w:rFonts w:hint="eastAsia" w:ascii="仿宋_GB2312" w:eastAsia="仿宋_GB2312"/>
                <w:sz w:val="24"/>
                <w:lang w:val="en-US" w:eastAsia="zh-CN"/>
              </w:rPr>
              <w:t>1. 技术壁垒：从学术到工程的不可逾越鸿沟</w:t>
            </w:r>
            <w:r>
              <w:rPr>
                <w:rFonts w:hint="eastAsia" w:ascii="仿宋_GB2312" w:eastAsia="仿宋_GB2312"/>
                <w:sz w:val="24"/>
                <w:lang w:val="en-US" w:eastAsia="zh-CN"/>
              </w:rPr>
              <w:br w:type="textWrapping"/>
            </w:r>
            <w:r>
              <w:rPr>
                <w:rFonts w:hint="eastAsia" w:ascii="仿宋_GB2312" w:eastAsia="仿宋_GB2312"/>
                <w:sz w:val="24"/>
                <w:lang w:val="en-US" w:eastAsia="zh-CN"/>
              </w:rPr>
              <w:t>混合不确定性处理能力：能同时处理设备的随机误差和模型的认知误差，这是工业级UQ的核心难题。杨星辰博士在NSF和NWS项目中积累的“代理模型+不确定性传播+重要性排序”完整方法论，可直接迁移至无人机检测场景。</w:t>
            </w:r>
            <w:r>
              <w:rPr>
                <w:rFonts w:hint="eastAsia" w:ascii="仿宋_GB2312" w:eastAsia="仿宋_GB2312"/>
                <w:sz w:val="24"/>
                <w:lang w:val="en-US" w:eastAsia="zh-CN"/>
              </w:rPr>
              <w:br w:type="textWrapping"/>
            </w:r>
            <w:r>
              <w:rPr>
                <w:rFonts w:hint="eastAsia" w:ascii="仿宋_GB2312" w:eastAsia="仿宋_GB2312"/>
                <w:sz w:val="24"/>
                <w:lang w:val="en-US" w:eastAsia="zh-CN"/>
              </w:rPr>
              <w:t>知识图谱驱动的不确定性参数化：团队拥有无人机检测场景的物理先验知识，能精准定义和建模不确定性来源，这是纯软件公司做不到的。</w:t>
            </w:r>
            <w:r>
              <w:rPr>
                <w:rFonts w:hint="eastAsia" w:ascii="仿宋_GB2312" w:eastAsia="仿宋_GB2312"/>
                <w:sz w:val="24"/>
                <w:lang w:val="en-US" w:eastAsia="zh-CN"/>
              </w:rPr>
              <w:br w:type="textWrapping"/>
            </w:r>
            <w:r>
              <w:rPr>
                <w:rFonts w:hint="eastAsia" w:ascii="仿宋_GB2312" w:eastAsia="仿宋_GB2312"/>
                <w:sz w:val="24"/>
                <w:lang w:val="en-US" w:eastAsia="zh-CN"/>
              </w:rPr>
              <w:t>可复现、可交付的工程体系：构建的Processing Log、数据版本治理等整套规范，确保分析结果可审计、可复算，这是适航认证的门槛性要求。</w:t>
            </w:r>
            <w:r>
              <w:rPr>
                <w:rFonts w:hint="eastAsia" w:ascii="仿宋_GB2312" w:eastAsia="仿宋_GB2312"/>
                <w:sz w:val="24"/>
                <w:lang w:val="en-US" w:eastAsia="zh-CN"/>
              </w:rPr>
              <w:br w:type="textWrapping"/>
            </w:r>
            <w:r>
              <w:rPr>
                <w:rFonts w:hint="eastAsia" w:ascii="仿宋_GB2312" w:eastAsia="仿宋_GB2312"/>
                <w:sz w:val="24"/>
                <w:lang w:val="en-US" w:eastAsia="zh-CN"/>
              </w:rPr>
              <w:t>2. 先发优势与时间窗口</w:t>
            </w:r>
            <w:r>
              <w:rPr>
                <w:rFonts w:hint="eastAsia" w:ascii="仿宋_GB2312" w:eastAsia="仿宋_GB2312"/>
                <w:sz w:val="24"/>
                <w:lang w:val="en-US" w:eastAsia="zh-CN"/>
              </w:rPr>
              <w:br w:type="textWrapping"/>
            </w:r>
            <w:r>
              <w:rPr>
                <w:rFonts w:hint="eastAsia" w:ascii="仿宋_GB2312" w:eastAsia="仿宋_GB2312"/>
                <w:sz w:val="24"/>
                <w:lang w:val="en-US" w:eastAsia="zh-CN"/>
              </w:rPr>
              <w:t>全球首个工业级UQ挑战问题计划在2027年才揭晓，国内适航UQ领域尚无人系统布局。公司已拥有至少2-3年的战略窗口期。一旦产品成为头部客户内部流程的一部分，高转换成本将构成强大的客户粘性护城河。</w:t>
            </w:r>
            <w:r>
              <w:rPr>
                <w:rFonts w:hint="eastAsia" w:ascii="仿宋_GB2312" w:eastAsia="仿宋_GB2312"/>
                <w:sz w:val="24"/>
                <w:lang w:val="en-US" w:eastAsia="zh-CN"/>
              </w:rPr>
              <w:br w:type="textWrapping"/>
            </w:r>
            <w:r>
              <w:rPr>
                <w:rFonts w:hint="eastAsia" w:ascii="仿宋_GB2312" w:eastAsia="仿宋_GB2312"/>
                <w:sz w:val="24"/>
                <w:lang w:val="en-US" w:eastAsia="zh-CN"/>
              </w:rPr>
              <w:t>3. 团队与资源禀赋</w:t>
            </w:r>
            <w:r>
              <w:rPr>
                <w:rFonts w:hint="eastAsia" w:ascii="仿宋_GB2312" w:eastAsia="仿宋_GB2312"/>
                <w:sz w:val="24"/>
                <w:lang w:val="en-US" w:eastAsia="zh-CN"/>
              </w:rPr>
              <w:br w:type="textWrapping"/>
            </w:r>
            <w:r>
              <w:rPr>
                <w:rFonts w:hint="eastAsia" w:ascii="仿宋_GB2312" w:eastAsia="仿宋_GB2312"/>
                <w:sz w:val="24"/>
                <w:lang w:val="en-US" w:eastAsia="zh-CN"/>
              </w:rPr>
              <w:t>团队是“科学家+产业资本+商业化推手”的复合型组合。杨星辰博士作为科学奠基人，背后有KAUST副校长Omar Knio教授等国际顶尖顾问团，代表全球技术视野。产业合伙人周智强先生控股年营收过亿汽车零部件企业，链接广泛产业与资本资源。COO汤卓群先生累计服务孵化3000余家生产型企业，具备强大的精益运营能力。公司还独家锁定了宁波象山和甘肃两大极端环境测试场，构成了稀缺的硬件资源壁垒。</w:t>
            </w:r>
            <w:r>
              <w:rPr>
                <w:rFonts w:hint="eastAsia" w:ascii="仿宋_GB2312" w:eastAsia="仿宋_GB2312"/>
                <w:sz w:val="24"/>
                <w:lang w:val="en-US" w:eastAsia="zh-CN"/>
              </w:rPr>
              <w:br w:type="textWrapping"/>
            </w:r>
            <w:r>
              <w:rPr>
                <w:rFonts w:hint="eastAsia" w:ascii="仿宋_GB2312" w:eastAsia="仿宋_GB2312"/>
                <w:sz w:val="24"/>
                <w:lang w:val="en-US" w:eastAsia="zh-CN"/>
              </w:rPr>
              <w:t>4. 竞争格局</w:t>
            </w:r>
            <w:r>
              <w:rPr>
                <w:rFonts w:hint="eastAsia" w:ascii="仿宋_GB2312" w:eastAsia="仿宋_GB2312"/>
                <w:sz w:val="24"/>
                <w:lang w:val="en-US" w:eastAsia="zh-CN"/>
              </w:rPr>
              <w:br w:type="textWrapping"/>
            </w:r>
            <w:r>
              <w:rPr>
                <w:rFonts w:hint="eastAsia" w:ascii="仿宋_GB2312" w:eastAsia="仿宋_GB2312"/>
                <w:sz w:val="24"/>
                <w:lang w:val="en-US" w:eastAsia="zh-CN"/>
              </w:rPr>
              <w:t>目前，国内检测赛道竞争者均集中于传统测试服务或流程数字化，并未涉足基于概率的不确定性量化决策。直接竞争对手是潜在可能进入的国外工业软件巨头，但我们针对国内低空经济场景的适配度、响应速度、数据安全合规性以及对适航标准的深度理解，构成了本土优势。</w:t>
            </w:r>
            <w:r>
              <w:rPr>
                <w:rFonts w:hint="eastAsia" w:ascii="仿宋_GB2312" w:eastAsia="仿宋_GB2312"/>
                <w:sz w:val="24"/>
                <w:lang w:val="en-US" w:eastAsia="zh-CN"/>
              </w:rPr>
              <w:br w:type="textWrapping"/>
            </w:r>
            <w:r>
              <w:rPr>
                <w:rFonts w:hint="eastAsia" w:ascii="仿宋_GB2312" w:eastAsia="仿宋_GB2312"/>
                <w:sz w:val="24"/>
                <w:lang w:val="en-US" w:eastAsia="zh-CN"/>
              </w:rPr>
              <w:t>5. 国内外对比分析</w:t>
            </w:r>
            <w:r>
              <w:rPr>
                <w:rFonts w:hint="eastAsia" w:ascii="仿宋_GB2312" w:eastAsia="仿宋_GB2312"/>
                <w:sz w:val="24"/>
                <w:lang w:val="en-US" w:eastAsia="zh-CN"/>
              </w:rPr>
              <w:br w:type="textWrapping"/>
            </w:r>
            <w:r>
              <w:rPr>
                <w:rFonts w:hint="eastAsia" w:ascii="仿宋_GB2312" w:eastAsia="仿宋_GB2312"/>
                <w:sz w:val="24"/>
                <w:lang w:val="en-US" w:eastAsia="zh-CN"/>
              </w:rPr>
              <w:t>在国外，NASA、波音、空客已将UQ内化为内部设计认证的必备工具链，形成高度集成但封闭的体系。在国内，UQ应用几乎空白，研究多停留在高校理论层面。紫深智测的核心创新在于：首次将UQ方法论封装为可对外独立交付、可审计复算、并能指导后续优化行动的标准化商业服务产品，填补了国内“无人为中小企业和检测机构提供UQ服务”的市场真空。</w:t>
            </w:r>
          </w:p>
          <w:p w14:paraId="507A4E23">
            <w:pPr>
              <w:rPr>
                <w:rFonts w:hint="eastAsia" w:ascii="仿宋_GB2312" w:eastAsia="仿宋_GB2312"/>
                <w:sz w:val="24"/>
                <w:lang w:val="en-US" w:eastAsia="zh-CN"/>
              </w:rPr>
            </w:pPr>
          </w:p>
          <w:p w14:paraId="5C55F58F">
            <w:pPr>
              <w:rPr>
                <w:rFonts w:hint="eastAsia" w:ascii="仿宋_GB2312" w:eastAsia="仿宋_GB2312"/>
                <w:sz w:val="24"/>
                <w:lang w:val="en-US" w:eastAsia="zh-CN"/>
              </w:rPr>
            </w:pPr>
            <w:r>
              <w:rPr>
                <w:rFonts w:ascii="微软雅黑" w:hAnsi="微软雅黑" w:eastAsia="微软雅黑" w:cs="微软雅黑"/>
                <w:b/>
                <w:bCs/>
                <w:i w:val="0"/>
                <w:iCs w:val="0"/>
                <w:caps w:val="0"/>
                <w:color w:val="333333"/>
                <w:spacing w:val="0"/>
                <w:sz w:val="27"/>
                <w:szCs w:val="27"/>
                <w:shd w:val="clear" w:fill="FFFFFF"/>
              </w:rPr>
              <w:t>市场营销:</w:t>
            </w:r>
          </w:p>
          <w:p w14:paraId="75EA6207">
            <w:pPr>
              <w:rPr>
                <w:rFonts w:hint="eastAsia" w:ascii="仿宋_GB2312" w:eastAsia="仿宋_GB2312"/>
                <w:sz w:val="24"/>
                <w:lang w:val="en-US" w:eastAsia="zh-CN"/>
              </w:rPr>
            </w:pPr>
            <w:r>
              <w:rPr>
                <w:rFonts w:hint="eastAsia" w:ascii="仿宋_GB2312" w:eastAsia="仿宋_GB2312"/>
                <w:sz w:val="24"/>
                <w:lang w:val="en-US" w:eastAsia="zh-CN"/>
              </w:rPr>
              <w:t>我们的市场营销不走“铺货”模式，而是采用“灯塔扩散”的精准营销策略，通过打造标杆、定义标准来驱动市场增长。</w:t>
            </w:r>
            <w:r>
              <w:rPr>
                <w:rFonts w:hint="eastAsia" w:ascii="仿宋_GB2312" w:eastAsia="仿宋_GB2312"/>
                <w:sz w:val="24"/>
                <w:lang w:val="en-US" w:eastAsia="zh-CN"/>
              </w:rPr>
              <w:br w:type="textWrapping"/>
            </w:r>
            <w:r>
              <w:rPr>
                <w:rFonts w:hint="eastAsia" w:ascii="仿宋_GB2312" w:eastAsia="仿宋_GB2312"/>
                <w:sz w:val="24"/>
                <w:lang w:val="en-US" w:eastAsia="zh-CN"/>
              </w:rPr>
              <w:t>核心策略：“头部标杆辐射、行业会议教育、白皮书引领认知”三位一体。</w:t>
            </w:r>
            <w:r>
              <w:rPr>
                <w:rFonts w:hint="eastAsia" w:ascii="仿宋_GB2312" w:eastAsia="仿宋_GB2312"/>
                <w:sz w:val="24"/>
                <w:lang w:val="en-US" w:eastAsia="zh-CN"/>
              </w:rPr>
              <w:br w:type="textWrapping"/>
            </w:r>
            <w:r>
              <w:rPr>
                <w:rFonts w:hint="eastAsia" w:ascii="仿宋_GB2312" w:eastAsia="仿宋_GB2312"/>
                <w:sz w:val="24"/>
                <w:lang w:val="en-US" w:eastAsia="zh-CN"/>
              </w:rPr>
              <w:t>阶段一（2026年）· 标杆打磨期</w:t>
            </w:r>
            <w:r>
              <w:rPr>
                <w:rFonts w:hint="eastAsia" w:ascii="仿宋_GB2312" w:eastAsia="仿宋_GB2312"/>
                <w:sz w:val="24"/>
                <w:lang w:val="en-US" w:eastAsia="zh-CN"/>
              </w:rPr>
              <w:br w:type="textWrapping"/>
            </w:r>
            <w:r>
              <w:rPr>
                <w:rFonts w:hint="eastAsia" w:ascii="仿宋_GB2312" w:eastAsia="仿宋_GB2312"/>
                <w:sz w:val="24"/>
                <w:lang w:val="en-US" w:eastAsia="zh-CN"/>
              </w:rPr>
              <w:t>锁定1-2家战略级客户（如航空工业集团301所、头部eVTOL主机厂），共同打磨产品。目标不是盈利，而是产出一份“教科书级”的UQ分析报告，成为行业内的“传闻”。营销活动集中于：在高规格学术/行业会议上发表联合演讲、发布《无人机环境适应性检测UQ分析标准白皮书（草案）》，建立思想领导力。</w:t>
            </w:r>
            <w:r>
              <w:rPr>
                <w:rFonts w:hint="eastAsia" w:ascii="仿宋_GB2312" w:eastAsia="仿宋_GB2312"/>
                <w:sz w:val="24"/>
                <w:lang w:val="en-US" w:eastAsia="zh-CN"/>
              </w:rPr>
              <w:br w:type="textWrapping"/>
            </w:r>
            <w:r>
              <w:rPr>
                <w:rFonts w:hint="eastAsia" w:ascii="仿宋_GB2312" w:eastAsia="仿宋_GB2312"/>
                <w:sz w:val="24"/>
                <w:lang w:val="en-US" w:eastAsia="zh-CN"/>
              </w:rPr>
              <w:t>阶段二（2027年）· 复制验证期</w:t>
            </w:r>
            <w:r>
              <w:rPr>
                <w:rFonts w:hint="eastAsia" w:ascii="仿宋_GB2312" w:eastAsia="仿宋_GB2312"/>
                <w:sz w:val="24"/>
                <w:lang w:val="en-US" w:eastAsia="zh-CN"/>
              </w:rPr>
              <w:br w:type="textWrapping"/>
            </w:r>
            <w:r>
              <w:rPr>
                <w:rFonts w:hint="eastAsia" w:ascii="仿宋_GB2312" w:eastAsia="仿宋_GB2312"/>
                <w:sz w:val="24"/>
                <w:lang w:val="en-US" w:eastAsia="zh-CN"/>
              </w:rPr>
              <w:t>将样板项目经验沉淀为标准作业程序（SOP）和工具包。扩展至3-5个新项目，涵盖不同无人机型号。营销转为“案例营销”，通过已服务客户的量化降本收益（如“通过UQ分析，某型号节省了40%的极端工况测试成本”）来精准打击潜在客户痛点。预计客户数扩展至30家以上。</w:t>
            </w:r>
            <w:r>
              <w:rPr>
                <w:rFonts w:hint="eastAsia" w:ascii="仿宋_GB2312" w:eastAsia="仿宋_GB2312"/>
                <w:sz w:val="24"/>
                <w:lang w:val="en-US" w:eastAsia="zh-CN"/>
              </w:rPr>
              <w:br w:type="textWrapping"/>
            </w:r>
            <w:r>
              <w:rPr>
                <w:rFonts w:hint="eastAsia" w:ascii="仿宋_GB2312" w:eastAsia="仿宋_GB2312"/>
                <w:sz w:val="24"/>
                <w:lang w:val="en-US" w:eastAsia="zh-CN"/>
              </w:rPr>
              <w:t>阶段三（2028年起）· 规模推广期</w:t>
            </w:r>
            <w:r>
              <w:rPr>
                <w:rFonts w:hint="eastAsia" w:ascii="仿宋_GB2312" w:eastAsia="仿宋_GB2312"/>
                <w:sz w:val="24"/>
                <w:lang w:val="en-US" w:eastAsia="zh-CN"/>
              </w:rPr>
              <w:br w:type="textWrapping"/>
            </w:r>
            <w:r>
              <w:rPr>
                <w:rFonts w:hint="eastAsia" w:ascii="仿宋_GB2312" w:eastAsia="仿宋_GB2312"/>
                <w:sz w:val="24"/>
                <w:lang w:val="en-US" w:eastAsia="zh-CN"/>
              </w:rPr>
              <w:t>发布标准化产品方案包V1.0，启动与行业协会、认证机构的深度合作，推动UQ方法论成为行业推荐的“最佳实践”甚至标准的一部分。销售模式从直营转为“直营+渠道”并行，渠道伙伴主要为深耕行业的检测认证咨询机构。深度参与至少1项UQ相关的行业或团体标准制定。</w:t>
            </w:r>
            <w:r>
              <w:rPr>
                <w:rFonts w:hint="eastAsia" w:ascii="仿宋_GB2312" w:eastAsia="仿宋_GB2312"/>
                <w:sz w:val="24"/>
                <w:lang w:val="en-US" w:eastAsia="zh-CN"/>
              </w:rPr>
              <w:br w:type="textWrapping"/>
            </w:r>
            <w:r>
              <w:rPr>
                <w:rFonts w:hint="eastAsia" w:ascii="仿宋_GB2312" w:eastAsia="仿宋_GB2312"/>
                <w:sz w:val="24"/>
                <w:lang w:val="en-US" w:eastAsia="zh-CN"/>
              </w:rPr>
              <w:t>价值主张与定价：</w:t>
            </w:r>
            <w:r>
              <w:rPr>
                <w:rFonts w:hint="eastAsia" w:ascii="仿宋_GB2312" w:eastAsia="仿宋_GB2312"/>
                <w:sz w:val="24"/>
                <w:lang w:val="en-US" w:eastAsia="zh-CN"/>
              </w:rPr>
              <w:br w:type="textWrapping"/>
            </w:r>
            <w:r>
              <w:rPr>
                <w:rFonts w:hint="eastAsia" w:ascii="仿宋_GB2312" w:eastAsia="仿宋_GB2312"/>
                <w:sz w:val="24"/>
                <w:lang w:val="en-US" w:eastAsia="zh-CN"/>
              </w:rPr>
              <w:t>核心销售话术：“我们不创造新的测试，我们让您的每一次测试价值最大化，并告诉您如何最省钱地做到合规。”定价模式基于价值而非成本。例如，一个“最小补测路线图”如果为客户节省了千万级试验费用，百万级别的服务费对客户而言是极具吸引力的投资回报率。初期客户提供联合研发费用或首付型合同，验证商业价值。</w:t>
            </w:r>
            <w:r>
              <w:rPr>
                <w:rFonts w:hint="eastAsia" w:ascii="仿宋_GB2312" w:eastAsia="仿宋_GB2312"/>
                <w:sz w:val="24"/>
                <w:lang w:val="en-US" w:eastAsia="zh-CN"/>
              </w:rPr>
              <w:br w:type="textWrapping"/>
            </w:r>
            <w:r>
              <w:rPr>
                <w:rFonts w:hint="eastAsia" w:ascii="仿宋_GB2312" w:eastAsia="仿宋_GB2312"/>
                <w:sz w:val="24"/>
                <w:lang w:val="en-US" w:eastAsia="zh-CN"/>
              </w:rPr>
              <w:t>客户群体现状：</w:t>
            </w:r>
            <w:r>
              <w:rPr>
                <w:rFonts w:hint="eastAsia" w:ascii="仿宋_GB2312" w:eastAsia="仿宋_GB2312"/>
                <w:sz w:val="24"/>
                <w:lang w:val="en-US" w:eastAsia="zh-CN"/>
              </w:rPr>
              <w:br w:type="textWrapping"/>
            </w:r>
            <w:r>
              <w:rPr>
                <w:rFonts w:hint="eastAsia" w:ascii="仿宋_GB2312" w:eastAsia="仿宋_GB2312"/>
                <w:sz w:val="24"/>
                <w:lang w:val="en-US" w:eastAsia="zh-CN"/>
              </w:rPr>
              <w:t>已与3家国内eVTOL主机厂达成研发验证服务合作意向，与适航审定机构、中国民航大学等保持技术对接，并服务于关键部件供应商及运营企业。</w:t>
            </w:r>
          </w:p>
          <w:p w14:paraId="0B6870A5">
            <w:pPr>
              <w:rPr>
                <w:rFonts w:hint="eastAsia" w:ascii="仿宋_GB2312" w:eastAsia="仿宋_GB2312"/>
                <w:sz w:val="24"/>
                <w:lang w:val="en-US" w:eastAsia="zh-CN"/>
              </w:rPr>
            </w:pPr>
          </w:p>
          <w:p w14:paraId="0420C5D3">
            <w:pPr>
              <w:rPr>
                <w:rFonts w:hint="eastAsia" w:ascii="仿宋_GB2312" w:eastAsia="仿宋_GB2312"/>
                <w:sz w:val="24"/>
                <w:lang w:val="en-US" w:eastAsia="zh-CN"/>
              </w:rPr>
            </w:pPr>
            <w:r>
              <w:rPr>
                <w:rFonts w:ascii="微软雅黑" w:hAnsi="微软雅黑" w:eastAsia="微软雅黑" w:cs="微软雅黑"/>
                <w:b/>
                <w:bCs/>
                <w:i w:val="0"/>
                <w:iCs w:val="0"/>
                <w:caps w:val="0"/>
                <w:color w:val="333333"/>
                <w:spacing w:val="0"/>
                <w:sz w:val="27"/>
                <w:szCs w:val="27"/>
                <w:shd w:val="clear" w:fill="FFFFFF"/>
              </w:rPr>
              <w:t>财务分析:</w:t>
            </w:r>
          </w:p>
          <w:p w14:paraId="06181C24">
            <w:pPr>
              <w:rPr>
                <w:rFonts w:hint="eastAsia" w:ascii="仿宋_GB2312" w:eastAsia="仿宋_GB2312"/>
                <w:sz w:val="24"/>
                <w:lang w:val="en-US" w:eastAsia="zh-CN"/>
              </w:rPr>
            </w:pPr>
            <w:r>
              <w:rPr>
                <w:rFonts w:hint="eastAsia" w:ascii="仿宋_GB2312" w:eastAsia="仿宋_GB2312"/>
                <w:sz w:val="24"/>
                <w:lang w:val="en-US" w:eastAsia="zh-CN"/>
              </w:rPr>
              <w:t>未来三年营收预测（2026-2028年）</w:t>
            </w:r>
            <w:r>
              <w:rPr>
                <w:rFonts w:hint="eastAsia" w:ascii="仿宋_GB2312" w:eastAsia="仿宋_GB2312"/>
                <w:sz w:val="24"/>
                <w:lang w:val="en-US" w:eastAsia="zh-CN"/>
              </w:rPr>
              <w:br w:type="textWrapping"/>
            </w:r>
            <w:r>
              <w:rPr>
                <w:rFonts w:hint="eastAsia" w:ascii="仿宋_GB2312" w:eastAsia="仿宋_GB2312"/>
                <w:sz w:val="24"/>
                <w:lang w:val="en-US" w:eastAsia="zh-CN"/>
              </w:rPr>
              <w:t>基于“三步走”市场策略与分阶段产品交付规划，公司未来三年财务预测如下：</w:t>
            </w:r>
            <w:r>
              <w:rPr>
                <w:rFonts w:hint="eastAsia" w:ascii="仿宋_GB2312" w:eastAsia="仿宋_GB2312"/>
                <w:sz w:val="24"/>
                <w:lang w:val="en-US" w:eastAsia="zh-CN"/>
              </w:rPr>
              <w:br w:type="textWrapping"/>
            </w:r>
            <w:r>
              <w:rPr>
                <w:rFonts w:hint="eastAsia" w:ascii="仿宋_GB2312" w:eastAsia="仿宋_GB2312"/>
                <w:sz w:val="24"/>
                <w:lang w:val="en-US" w:eastAsia="zh-CN"/>
              </w:rPr>
              <w:t>2026年（标杆验证期）：</w:t>
            </w:r>
            <w:r>
              <w:rPr>
                <w:rFonts w:hint="eastAsia" w:ascii="仿宋_GB2312" w:eastAsia="仿宋_GB2312"/>
                <w:sz w:val="24"/>
                <w:lang w:val="en-US" w:eastAsia="zh-CN"/>
              </w:rPr>
              <w:br w:type="textWrapping"/>
            </w:r>
            <w:r>
              <w:rPr>
                <w:rFonts w:hint="eastAsia" w:ascii="仿宋_GB2312" w:eastAsia="仿宋_GB2312"/>
                <w:sz w:val="24"/>
                <w:lang w:val="en-US" w:eastAsia="zh-CN"/>
              </w:rPr>
              <w:t>本年度核心任务为完成2-3个标杆样板项目交付，发布产品V1.0并实现首笔商业化收入。预计服务客户8家，以研究院、头部eVTOL主机厂和权威检测机构为主，客单价50-200万元/年。预计营业收入1000万元。</w:t>
            </w:r>
            <w:r>
              <w:rPr>
                <w:rFonts w:hint="eastAsia" w:ascii="仿宋_GB2312" w:eastAsia="仿宋_GB2312"/>
                <w:sz w:val="24"/>
                <w:lang w:val="en-US" w:eastAsia="zh-CN"/>
              </w:rPr>
              <w:br w:type="textWrapping"/>
            </w:r>
            <w:r>
              <w:rPr>
                <w:rFonts w:hint="eastAsia" w:ascii="仿宋_GB2312" w:eastAsia="仿宋_GB2312"/>
                <w:sz w:val="24"/>
                <w:lang w:val="en-US" w:eastAsia="zh-CN"/>
              </w:rPr>
              <w:t>2027年（产品化推广期）：</w:t>
            </w:r>
            <w:r>
              <w:rPr>
                <w:rFonts w:hint="eastAsia" w:ascii="仿宋_GB2312" w:eastAsia="仿宋_GB2312"/>
                <w:sz w:val="24"/>
                <w:lang w:val="en-US" w:eastAsia="zh-CN"/>
              </w:rPr>
              <w:br w:type="textWrapping"/>
            </w:r>
            <w:r>
              <w:rPr>
                <w:rFonts w:hint="eastAsia" w:ascii="仿宋_GB2312" w:eastAsia="仿宋_GB2312"/>
                <w:sz w:val="24"/>
                <w:lang w:val="en-US" w:eastAsia="zh-CN"/>
              </w:rPr>
              <w:t>产品从定制化服务向标准化产品包转型，客户从8家扩展至30家。标准化产品包V1.0发布带动客单价提升至30-100万元/年，预计营业收入3000万元。毛利随标准化程度提升而改善，但公司仍将投入UQ引擎V2.0升级、销售团队建设及行业会议参展费用，预计年度盈利约100-200万元或接近盈亏平衡。</w:t>
            </w:r>
            <w:r>
              <w:rPr>
                <w:rFonts w:hint="eastAsia" w:ascii="仿宋_GB2312" w:eastAsia="仿宋_GB2312"/>
                <w:sz w:val="24"/>
                <w:lang w:val="en-US" w:eastAsia="zh-CN"/>
              </w:rPr>
              <w:br w:type="textWrapping"/>
            </w:r>
            <w:r>
              <w:rPr>
                <w:rFonts w:hint="eastAsia" w:ascii="仿宋_GB2312" w:eastAsia="仿宋_GB2312"/>
                <w:sz w:val="24"/>
                <w:lang w:val="en-US" w:eastAsia="zh-CN"/>
              </w:rPr>
              <w:t>2028年（规模化发展期）：</w:t>
            </w:r>
            <w:r>
              <w:rPr>
                <w:rFonts w:hint="eastAsia" w:ascii="仿宋_GB2312" w:eastAsia="仿宋_GB2312"/>
                <w:sz w:val="24"/>
                <w:lang w:val="en-US" w:eastAsia="zh-CN"/>
              </w:rPr>
              <w:br w:type="textWrapping"/>
            </w:r>
            <w:r>
              <w:rPr>
                <w:rFonts w:hint="eastAsia" w:ascii="仿宋_GB2312" w:eastAsia="仿宋_GB2312"/>
                <w:sz w:val="24"/>
                <w:lang w:val="en-US" w:eastAsia="zh-CN"/>
              </w:rPr>
              <w:t>客户规模突破50家，实现对低空经济、航空航天、新能源领域主要头部企业广泛覆盖。标准化产品边际交付成本显著下降，预计营业收入6000万元，净利润约900万元，实现盈利。高毛利标准化产品占比超过60%，规模效应显现。三年累计营业收入预计突破10000万元。</w:t>
            </w:r>
            <w:r>
              <w:rPr>
                <w:rFonts w:hint="eastAsia" w:ascii="仿宋_GB2312" w:eastAsia="仿宋_GB2312"/>
                <w:sz w:val="24"/>
                <w:lang w:val="en-US" w:eastAsia="zh-CN"/>
              </w:rPr>
              <w:br w:type="textWrapping"/>
            </w:r>
            <w:r>
              <w:rPr>
                <w:rFonts w:hint="eastAsia" w:ascii="仿宋_GB2312" w:eastAsia="仿宋_GB2312"/>
                <w:sz w:val="24"/>
                <w:lang w:val="en-US" w:eastAsia="zh-CN"/>
              </w:rPr>
              <w:t>融资需求与资金规划</w:t>
            </w:r>
            <w:r>
              <w:rPr>
                <w:rFonts w:hint="eastAsia" w:ascii="仿宋_GB2312" w:eastAsia="仿宋_GB2312"/>
                <w:sz w:val="24"/>
                <w:lang w:val="en-US" w:eastAsia="zh-CN"/>
              </w:rPr>
              <w:br w:type="textWrapping"/>
            </w:r>
            <w:r>
              <w:rPr>
                <w:rFonts w:hint="eastAsia" w:ascii="仿宋_GB2312" w:eastAsia="仿宋_GB2312"/>
                <w:sz w:val="24"/>
                <w:lang w:val="en-US" w:eastAsia="zh-CN"/>
              </w:rPr>
              <w:t>当前融资阶段：公司已完成种子轮融资，由安徽省恒稳智能科技有限公司以价值500万元定制检测设备增资，投后估值1亿元，出让5%股权。正在推进天使轮融资，与硕禾等投资机构达成初步意向。</w:t>
            </w:r>
            <w:r>
              <w:rPr>
                <w:rFonts w:hint="eastAsia" w:ascii="仿宋_GB2312" w:eastAsia="仿宋_GB2312"/>
                <w:sz w:val="24"/>
                <w:lang w:val="en-US" w:eastAsia="zh-CN"/>
              </w:rPr>
              <w:br w:type="textWrapping"/>
            </w:r>
            <w:r>
              <w:rPr>
                <w:rFonts w:hint="eastAsia" w:ascii="仿宋_GB2312" w:eastAsia="仿宋_GB2312"/>
                <w:sz w:val="24"/>
                <w:lang w:val="en-US" w:eastAsia="zh-CN"/>
              </w:rPr>
              <w:t>本次（天使轮）融资需求：计划融资1500万元人民币，出让股权10%，投后估值约2亿元。资金用途分配如下：</w:t>
            </w:r>
            <w:r>
              <w:rPr>
                <w:rFonts w:hint="eastAsia" w:ascii="仿宋_GB2312" w:eastAsia="仿宋_GB2312"/>
                <w:sz w:val="24"/>
                <w:lang w:val="en-US" w:eastAsia="zh-CN"/>
              </w:rPr>
              <w:br w:type="textWrapping"/>
            </w:r>
            <w:r>
              <w:rPr>
                <w:rFonts w:hint="eastAsia" w:ascii="仿宋_GB2312" w:eastAsia="仿宋_GB2312"/>
                <w:sz w:val="24"/>
                <w:lang w:val="en-US" w:eastAsia="zh-CN"/>
              </w:rPr>
              <w:t>核心技术研发（40%，400万元）：UQ核心引擎V1.0迭代优化，开发无人机环境适应性、动力系统等专用UQ分析模块，构建标准化数据底座与可复现规范体系。</w:t>
            </w:r>
            <w:r>
              <w:rPr>
                <w:rFonts w:hint="eastAsia" w:ascii="仿宋_GB2312" w:eastAsia="仿宋_GB2312"/>
                <w:sz w:val="24"/>
                <w:lang w:val="en-US" w:eastAsia="zh-CN"/>
              </w:rPr>
              <w:br w:type="textWrapping"/>
            </w:r>
            <w:r>
              <w:rPr>
                <w:rFonts w:hint="eastAsia" w:ascii="仿宋_GB2312" w:eastAsia="仿宋_GB2312"/>
                <w:sz w:val="24"/>
                <w:lang w:val="en-US" w:eastAsia="zh-CN"/>
              </w:rPr>
              <w:t>核心团队建设（30%，300万元）：引进高级算法工程师、软件架构师及初期市场骨干，完善“算法+工程+应用”团队架构。</w:t>
            </w:r>
            <w:r>
              <w:rPr>
                <w:rFonts w:hint="eastAsia" w:ascii="仿宋_GB2312" w:eastAsia="仿宋_GB2312"/>
                <w:sz w:val="24"/>
                <w:lang w:val="en-US" w:eastAsia="zh-CN"/>
              </w:rPr>
              <w:br w:type="textWrapping"/>
            </w:r>
            <w:r>
              <w:rPr>
                <w:rFonts w:hint="eastAsia" w:ascii="仿宋_GB2312" w:eastAsia="仿宋_GB2312"/>
                <w:sz w:val="24"/>
                <w:lang w:val="en-US" w:eastAsia="zh-CN"/>
              </w:rPr>
              <w:t>市场验证与推广（20%，200万元）：打造2-3个标杆样板项目，参与航空航天、低空经济领域顶级行业会议，发布技术白皮书。</w:t>
            </w:r>
            <w:r>
              <w:rPr>
                <w:rFonts w:hint="eastAsia" w:ascii="仿宋_GB2312" w:eastAsia="仿宋_GB2312"/>
                <w:sz w:val="24"/>
                <w:lang w:val="en-US" w:eastAsia="zh-CN"/>
              </w:rPr>
              <w:br w:type="textWrapping"/>
            </w:r>
            <w:r>
              <w:rPr>
                <w:rFonts w:hint="eastAsia" w:ascii="仿宋_GB2312" w:eastAsia="仿宋_GB2312"/>
                <w:sz w:val="24"/>
                <w:lang w:val="en-US" w:eastAsia="zh-CN"/>
              </w:rPr>
              <w:t>运营与风险储备（10%，100万元）：覆盖实验室日常运营、算力租赁等基础设施及应急支出。</w:t>
            </w:r>
            <w:r>
              <w:rPr>
                <w:rFonts w:hint="eastAsia" w:ascii="仿宋_GB2312" w:eastAsia="仿宋_GB2312"/>
                <w:sz w:val="24"/>
                <w:lang w:val="en-US" w:eastAsia="zh-CN"/>
              </w:rPr>
              <w:br w:type="textWrapping"/>
            </w:r>
            <w:r>
              <w:rPr>
                <w:rFonts w:hint="eastAsia" w:ascii="仿宋_GB2312" w:eastAsia="仿宋_GB2312"/>
                <w:sz w:val="24"/>
                <w:lang w:val="en-US" w:eastAsia="zh-CN"/>
              </w:rPr>
              <w:t>下一轮融资规划：预计2027年启动Pre-A轮融资，目标金额5000-8000万元，投后估值6-8亿元。触发条件：完成2-3个样板项目交付，客户满意度≥80%，年化ARR达1000万元。</w:t>
            </w:r>
          </w:p>
          <w:p w14:paraId="560F7BEC">
            <w:pPr>
              <w:rPr>
                <w:rFonts w:hint="eastAsia" w:ascii="仿宋_GB2312" w:eastAsia="仿宋_GB2312"/>
                <w:sz w:val="24"/>
                <w:lang w:val="en-US" w:eastAsia="zh-CN"/>
              </w:rPr>
            </w:pPr>
          </w:p>
          <w:p w14:paraId="361944B3">
            <w:pPr>
              <w:rPr>
                <w:rFonts w:hint="eastAsia" w:ascii="仿宋_GB2312" w:eastAsia="仿宋_GB2312"/>
                <w:sz w:val="24"/>
                <w:lang w:val="en-US" w:eastAsia="zh-CN"/>
              </w:rPr>
            </w:pPr>
            <w:r>
              <w:rPr>
                <w:rFonts w:ascii="微软雅黑" w:hAnsi="微软雅黑" w:eastAsia="微软雅黑" w:cs="微软雅黑"/>
                <w:b/>
                <w:bCs/>
                <w:i w:val="0"/>
                <w:iCs w:val="0"/>
                <w:caps w:val="0"/>
                <w:color w:val="333333"/>
                <w:spacing w:val="0"/>
                <w:sz w:val="27"/>
                <w:szCs w:val="27"/>
                <w:shd w:val="clear" w:fill="FFFFFF"/>
              </w:rPr>
              <w:t>发展计划:</w:t>
            </w:r>
          </w:p>
          <w:p w14:paraId="186BD81E">
            <w:pPr>
              <w:rPr>
                <w:rFonts w:hint="default" w:ascii="仿宋_GB2312" w:eastAsia="仿宋_GB2312"/>
                <w:sz w:val="24"/>
                <w:lang w:val="en-US" w:eastAsia="zh-CN"/>
              </w:rPr>
            </w:pPr>
            <w:r>
              <w:rPr>
                <w:rFonts w:hint="eastAsia" w:ascii="仿宋_GB2312" w:eastAsia="仿宋_GB2312"/>
                <w:sz w:val="24"/>
                <w:lang w:val="en-US" w:eastAsia="zh-CN"/>
              </w:rPr>
              <w:t>我们制定了以“节点驱动、价值交付”为核心的三年分步发展计划，确保每一步都具备明确的商业价值与里程碑。</w:t>
            </w:r>
            <w:r>
              <w:rPr>
                <w:rFonts w:hint="eastAsia" w:ascii="仿宋_GB2312" w:eastAsia="仿宋_GB2312"/>
                <w:sz w:val="24"/>
                <w:lang w:val="en-US" w:eastAsia="zh-CN"/>
              </w:rPr>
              <w:br w:type="textWrapping"/>
            </w:r>
            <w:r>
              <w:rPr>
                <w:rFonts w:hint="eastAsia" w:ascii="仿宋_GB2312" w:eastAsia="仿宋_GB2312"/>
                <w:sz w:val="24"/>
                <w:lang w:val="en-US" w:eastAsia="zh-CN"/>
              </w:rPr>
              <w:t>工作目标制定依据：项目诞生于全球航空认证范式转移与国内低空经济战略崛起的双重历史机遇交汇点。适航新规强制要求与技术工具空白之间的矛盾，构成了项目立项的根本逻辑。旨在为国内制造业提供“概率化风险归因”决策基石，填补UQ工程化服务空白。</w:t>
            </w:r>
            <w:r>
              <w:rPr>
                <w:rFonts w:hint="eastAsia" w:ascii="仿宋_GB2312" w:eastAsia="仿宋_GB2312"/>
                <w:sz w:val="24"/>
                <w:lang w:val="en-US" w:eastAsia="zh-CN"/>
              </w:rPr>
              <w:br w:type="textWrapping"/>
            </w:r>
            <w:r>
              <w:rPr>
                <w:rFonts w:hint="eastAsia" w:ascii="仿宋_GB2312" w:eastAsia="仿宋_GB2312"/>
                <w:sz w:val="24"/>
                <w:lang w:val="en-US" w:eastAsia="zh-CN"/>
              </w:rPr>
              <w:t>第一阶段：标杆验证期（2026年4月至2027年3月）</w:t>
            </w:r>
            <w:r>
              <w:rPr>
                <w:rFonts w:hint="eastAsia" w:ascii="仿宋_GB2312" w:eastAsia="仿宋_GB2312"/>
                <w:sz w:val="24"/>
                <w:lang w:val="en-US" w:eastAsia="zh-CN"/>
              </w:rPr>
              <w:br w:type="textWrapping"/>
            </w:r>
            <w:r>
              <w:rPr>
                <w:rFonts w:hint="eastAsia" w:ascii="仿宋_GB2312" w:eastAsia="仿宋_GB2312"/>
                <w:sz w:val="24"/>
                <w:lang w:val="en-US" w:eastAsia="zh-CN"/>
              </w:rPr>
              <w:t>研发目标：完成UQ核心引擎V1.0开发，打通从数据采集、蒙特卡洛传播到敏感性分析的全流程。依托2100平方米自建实验室及500万元设备投入，开发至少2个深度适配的UQ专用分析模块，构建首个标准化数据底座与可复现规范体系。</w:t>
            </w:r>
            <w:r>
              <w:rPr>
                <w:rFonts w:hint="eastAsia" w:ascii="仿宋_GB2312" w:eastAsia="仿宋_GB2312"/>
                <w:sz w:val="24"/>
                <w:lang w:val="en-US" w:eastAsia="zh-CN"/>
              </w:rPr>
              <w:br w:type="textWrapping"/>
            </w:r>
            <w:r>
              <w:rPr>
                <w:rFonts w:hint="eastAsia" w:ascii="仿宋_GB2312" w:eastAsia="仿宋_GB2312"/>
                <w:sz w:val="24"/>
                <w:lang w:val="en-US" w:eastAsia="zh-CN"/>
              </w:rPr>
              <w:t>产业化目标：紧密依托天目山实验室、江淮中心、301所等合作机构，完成3个以上标杆样板项目交付。发布《无人机环境适应性检测UQ分析标准白皮书（草案）》，完成首个标准化产品方案包V1.0封装，确认首笔商业化收入。</w:t>
            </w:r>
            <w:r>
              <w:rPr>
                <w:rFonts w:hint="eastAsia" w:ascii="仿宋_GB2312" w:eastAsia="仿宋_GB2312"/>
                <w:sz w:val="24"/>
                <w:lang w:val="en-US" w:eastAsia="zh-CN"/>
              </w:rPr>
              <w:br w:type="textWrapping"/>
            </w:r>
            <w:r>
              <w:rPr>
                <w:rFonts w:hint="eastAsia" w:ascii="仿宋_GB2312" w:eastAsia="仿宋_GB2312"/>
                <w:sz w:val="24"/>
                <w:lang w:val="en-US" w:eastAsia="zh-CN"/>
              </w:rPr>
              <w:t>预期成果：申请发明专利不少于3项，软件著作权不少于5项。</w:t>
            </w:r>
            <w:r>
              <w:rPr>
                <w:rFonts w:hint="eastAsia" w:ascii="仿宋_GB2312" w:eastAsia="仿宋_GB2312"/>
                <w:sz w:val="24"/>
                <w:lang w:val="en-US" w:eastAsia="zh-CN"/>
              </w:rPr>
              <w:br w:type="textWrapping"/>
            </w:r>
            <w:r>
              <w:rPr>
                <w:rFonts w:hint="eastAsia" w:ascii="仿宋_GB2312" w:eastAsia="仿宋_GB2312"/>
                <w:sz w:val="24"/>
                <w:lang w:val="en-US" w:eastAsia="zh-CN"/>
              </w:rPr>
              <w:t>第二阶段：产品化推广期（2027年4月至2028年3月）</w:t>
            </w:r>
            <w:r>
              <w:rPr>
                <w:rFonts w:hint="eastAsia" w:ascii="仿宋_GB2312" w:eastAsia="仿宋_GB2312"/>
                <w:sz w:val="24"/>
                <w:lang w:val="en-US" w:eastAsia="zh-CN"/>
              </w:rPr>
              <w:br w:type="textWrapping"/>
            </w:r>
            <w:r>
              <w:rPr>
                <w:rFonts w:hint="eastAsia" w:ascii="仿宋_GB2312" w:eastAsia="仿宋_GB2312"/>
                <w:sz w:val="24"/>
                <w:lang w:val="en-US" w:eastAsia="zh-CN"/>
              </w:rPr>
              <w:t>研发目标：UQ核心引擎升级至V2.0，重点引入针对飞控、流体、结构等复杂仿真模型的代理模型加速技术。扩展面向动力系统、通信链路、飞控系统等分系统的专用UQ分析模块。启动“智慧实验室管理平台”与UQ分析平台前后端集成开发。</w:t>
            </w:r>
            <w:r>
              <w:rPr>
                <w:rFonts w:hint="eastAsia" w:ascii="仿宋_GB2312" w:eastAsia="仿宋_GB2312"/>
                <w:sz w:val="24"/>
                <w:lang w:val="en-US" w:eastAsia="zh-CN"/>
              </w:rPr>
              <w:br w:type="textWrapping"/>
            </w:r>
            <w:r>
              <w:rPr>
                <w:rFonts w:hint="eastAsia" w:ascii="仿宋_GB2312" w:eastAsia="仿宋_GB2312"/>
                <w:sz w:val="24"/>
                <w:lang w:val="en-US" w:eastAsia="zh-CN"/>
              </w:rPr>
              <w:t>产业化目标：标准化产品包覆盖至3个以上细分领域，客户总数扩展至30家以上。与至少1家国内头部检测认证机构或适航审定部门建立官方合作试点。年化经常性收入达1000万元，触发Pre-A轮融资。</w:t>
            </w:r>
            <w:r>
              <w:rPr>
                <w:rFonts w:hint="eastAsia" w:ascii="仿宋_GB2312" w:eastAsia="仿宋_GB2312"/>
                <w:sz w:val="24"/>
                <w:lang w:val="en-US" w:eastAsia="zh-CN"/>
              </w:rPr>
              <w:br w:type="textWrapping"/>
            </w:r>
            <w:r>
              <w:rPr>
                <w:rFonts w:hint="eastAsia" w:ascii="仿宋_GB2312" w:eastAsia="仿宋_GB2312"/>
                <w:sz w:val="24"/>
                <w:lang w:val="en-US" w:eastAsia="zh-CN"/>
              </w:rPr>
              <w:t>预期成果：累计申请发明专利不少于7项，软件著作权不少于10项。发表高水平论文1-2篇。</w:t>
            </w:r>
            <w:r>
              <w:rPr>
                <w:rFonts w:hint="eastAsia" w:ascii="仿宋_GB2312" w:eastAsia="仿宋_GB2312"/>
                <w:sz w:val="24"/>
                <w:lang w:val="en-US" w:eastAsia="zh-CN"/>
              </w:rPr>
              <w:br w:type="textWrapping"/>
            </w:r>
            <w:r>
              <w:rPr>
                <w:rFonts w:hint="eastAsia" w:ascii="仿宋_GB2312" w:eastAsia="仿宋_GB2312"/>
                <w:sz w:val="24"/>
                <w:lang w:val="en-US" w:eastAsia="zh-CN"/>
              </w:rPr>
              <w:t>第三阶段：规模化发展期（2028年4月至2029年3月）</w:t>
            </w:r>
            <w:r>
              <w:rPr>
                <w:rFonts w:hint="eastAsia" w:ascii="仿宋_GB2312" w:eastAsia="仿宋_GB2312"/>
                <w:sz w:val="24"/>
                <w:lang w:val="en-US" w:eastAsia="zh-CN"/>
              </w:rPr>
              <w:br w:type="textWrapping"/>
            </w:r>
            <w:r>
              <w:rPr>
                <w:rFonts w:hint="eastAsia" w:ascii="仿宋_GB2312" w:eastAsia="仿宋_GB2312"/>
                <w:sz w:val="24"/>
                <w:lang w:val="en-US" w:eastAsia="zh-CN"/>
              </w:rPr>
              <w:t>研发目标：研发基于AI的UQ智能分析助手Beta版，实现部分归因分析与补测建议的自动化生成。构建跨行业UQ方法论迁移能力，在新能源电池、半导体材料等至少2个新领域完成初步验证。形成一套完整的《工业级不确定性量化工程实施指南》。</w:t>
            </w:r>
            <w:r>
              <w:rPr>
                <w:rFonts w:hint="eastAsia" w:ascii="仿宋_GB2312" w:eastAsia="仿宋_GB2312"/>
                <w:sz w:val="24"/>
                <w:lang w:val="en-US" w:eastAsia="zh-CN"/>
              </w:rPr>
              <w:br w:type="textWrapping"/>
            </w:r>
            <w:r>
              <w:rPr>
                <w:rFonts w:hint="eastAsia" w:ascii="仿宋_GB2312" w:eastAsia="仿宋_GB2312"/>
                <w:sz w:val="24"/>
                <w:lang w:val="en-US" w:eastAsia="zh-CN"/>
              </w:rPr>
              <w:t>产业化目标：服务客户突破50家，实现年度盈利。深度参与至少1项UQ相关行业或团体标准制定。销售收入快速增长，累计营业收入预计突破8000万元。</w:t>
            </w:r>
            <w:r>
              <w:rPr>
                <w:rFonts w:hint="eastAsia" w:ascii="仿宋_GB2312" w:eastAsia="仿宋_GB2312"/>
                <w:sz w:val="24"/>
                <w:lang w:val="en-US" w:eastAsia="zh-CN"/>
              </w:rPr>
              <w:br w:type="textWrapping"/>
            </w:r>
            <w:r>
              <w:rPr>
                <w:rFonts w:hint="eastAsia" w:ascii="仿宋_GB2312" w:eastAsia="仿宋_GB2312"/>
                <w:sz w:val="24"/>
                <w:lang w:val="en-US" w:eastAsia="zh-CN"/>
              </w:rPr>
              <w:t>预期成果：累计申请发明专利不少于10项，软件著作权不少于15项。发表高水平论文3-5篇。</w:t>
            </w:r>
          </w:p>
          <w:p w14:paraId="3E1FD777">
            <w:pPr>
              <w:rPr>
                <w:rFonts w:hint="eastAsia" w:ascii="仿宋_GB2312" w:eastAsia="仿宋_GB2312"/>
                <w:sz w:val="24"/>
                <w:lang w:val="en-US" w:eastAsia="zh-CN"/>
              </w:rPr>
            </w:pPr>
          </w:p>
          <w:p w14:paraId="1ADC9606">
            <w:pPr>
              <w:rPr>
                <w:rFonts w:ascii="微软雅黑" w:hAnsi="微软雅黑" w:eastAsia="微软雅黑" w:cs="微软雅黑"/>
                <w:b/>
                <w:bCs/>
                <w:i w:val="0"/>
                <w:iCs w:val="0"/>
                <w:caps w:val="0"/>
                <w:color w:val="333333"/>
                <w:spacing w:val="0"/>
                <w:sz w:val="27"/>
                <w:szCs w:val="27"/>
                <w:shd w:val="clear" w:fill="FFFFFF"/>
              </w:rPr>
            </w:pPr>
            <w:r>
              <w:rPr>
                <w:rFonts w:ascii="微软雅黑" w:hAnsi="微软雅黑" w:eastAsia="微软雅黑" w:cs="微软雅黑"/>
                <w:b/>
                <w:bCs/>
                <w:i w:val="0"/>
                <w:iCs w:val="0"/>
                <w:caps w:val="0"/>
                <w:color w:val="333333"/>
                <w:spacing w:val="0"/>
                <w:sz w:val="27"/>
                <w:szCs w:val="27"/>
                <w:shd w:val="clear" w:fill="FFFFFF"/>
              </w:rPr>
              <w:t>其他:</w:t>
            </w:r>
          </w:p>
          <w:p w14:paraId="2A87BCC7">
            <w:pPr>
              <w:rPr>
                <w:rFonts w:hint="default" w:ascii="微软雅黑" w:hAnsi="微软雅黑" w:eastAsia="微软雅黑" w:cs="微软雅黑"/>
                <w:b/>
                <w:bCs/>
                <w:i w:val="0"/>
                <w:iCs w:val="0"/>
                <w:caps w:val="0"/>
                <w:color w:val="333333"/>
                <w:spacing w:val="0"/>
                <w:sz w:val="27"/>
                <w:szCs w:val="27"/>
                <w:shd w:val="clear" w:fill="FFFFFF"/>
                <w:lang w:val="en-US" w:eastAsia="zh-CN"/>
              </w:rPr>
            </w:pPr>
            <w:r>
              <w:rPr>
                <w:rFonts w:hint="eastAsia" w:ascii="仿宋_GB2312" w:eastAsia="仿宋_GB2312"/>
                <w:sz w:val="24"/>
                <w:lang w:val="en-US" w:eastAsia="zh-CN"/>
              </w:rPr>
              <w:t>风险评估与应对策略：</w:t>
            </w:r>
            <w:r>
              <w:rPr>
                <w:rFonts w:hint="eastAsia" w:ascii="仿宋_GB2312" w:eastAsia="仿宋_GB2312"/>
                <w:sz w:val="24"/>
                <w:lang w:val="en-US" w:eastAsia="zh-CN"/>
              </w:rPr>
              <w:br w:type="textWrapping"/>
            </w:r>
            <w:r>
              <w:rPr>
                <w:rFonts w:hint="eastAsia" w:ascii="仿宋_GB2312" w:eastAsia="仿宋_GB2312"/>
                <w:sz w:val="24"/>
                <w:lang w:val="en-US" w:eastAsia="zh-CN"/>
              </w:rPr>
              <w:t>公司以积极主动的姿态识别并管理各类风险。</w:t>
            </w:r>
            <w:r>
              <w:rPr>
                <w:rFonts w:hint="eastAsia" w:ascii="仿宋_GB2312" w:eastAsia="仿宋_GB2312"/>
                <w:sz w:val="24"/>
                <w:lang w:val="en-US" w:eastAsia="zh-CN"/>
              </w:rPr>
              <w:br w:type="textWrapping"/>
            </w:r>
            <w:r>
              <w:rPr>
                <w:rFonts w:hint="eastAsia" w:ascii="仿宋_GB2312" w:eastAsia="仿宋_GB2312"/>
                <w:sz w:val="24"/>
                <w:lang w:val="en-US" w:eastAsia="zh-CN"/>
              </w:rPr>
              <w:t>技术风险：UQ算法可能在某些边缘场景下不收敛或结果不可复现。对策：采用多元方法论的“交叉验证”机制，通过强制规范（Processing Log）确保全过程可追溯。杨星辰博士在NSF、NWS及领雁计划中积累的多场景工程化经验，为技术风险控制提供了坚实保障。</w:t>
            </w:r>
            <w:r>
              <w:rPr>
                <w:rFonts w:hint="eastAsia" w:ascii="仿宋_GB2312" w:eastAsia="仿宋_GB2312"/>
                <w:sz w:val="24"/>
                <w:lang w:val="en-US" w:eastAsia="zh-CN"/>
              </w:rPr>
              <w:br w:type="textWrapping"/>
            </w:r>
            <w:r>
              <w:rPr>
                <w:rFonts w:hint="eastAsia" w:ascii="仿宋_GB2312" w:eastAsia="仿宋_GB2312"/>
                <w:sz w:val="24"/>
                <w:lang w:val="en-US" w:eastAsia="zh-CN"/>
              </w:rPr>
              <w:t>市场风险：客户对UQ价值认知模糊，决策周期长。对策：采用“灯塔”策略，用不可辩驳的定量降本结果进行案例穿透，避免空谈技术理念。</w:t>
            </w:r>
            <w:r>
              <w:rPr>
                <w:rFonts w:hint="eastAsia" w:ascii="仿宋_GB2312" w:eastAsia="仿宋_GB2312"/>
                <w:sz w:val="24"/>
                <w:lang w:val="en-US" w:eastAsia="zh-CN"/>
              </w:rPr>
              <w:br w:type="textWrapping"/>
            </w:r>
            <w:r>
              <w:rPr>
                <w:rFonts w:hint="eastAsia" w:ascii="仿宋_GB2312" w:eastAsia="仿宋_GB2312"/>
                <w:sz w:val="24"/>
                <w:lang w:val="en-US" w:eastAsia="zh-CN"/>
              </w:rPr>
              <w:t>团队风险：核心技术与管理成员流失。对策：设计具有强吸引力的股权激励计划，搭建知识备份体系，避免技术锁在个别人手中。</w:t>
            </w:r>
            <w:r>
              <w:rPr>
                <w:rFonts w:hint="eastAsia" w:ascii="仿宋_GB2312" w:eastAsia="仿宋_GB2312"/>
                <w:sz w:val="24"/>
                <w:lang w:val="en-US" w:eastAsia="zh-CN"/>
              </w:rPr>
              <w:br w:type="textWrapping"/>
            </w:r>
            <w:r>
              <w:rPr>
                <w:rFonts w:hint="eastAsia" w:ascii="仿宋_GB2312" w:eastAsia="仿宋_GB2312"/>
                <w:sz w:val="24"/>
                <w:lang w:val="en-US" w:eastAsia="zh-CN"/>
              </w:rPr>
              <w:t>竞争与经营风险：面临开源社区或现金流压力。对策：维持至少18个月的现金跑道，构建开源代码无法替代的“场景化知识库+工业级稳定性+专家服务”的复合竞争壁垒。</w:t>
            </w:r>
            <w:r>
              <w:rPr>
                <w:rFonts w:hint="eastAsia" w:ascii="仿宋_GB2312" w:eastAsia="仿宋_GB2312"/>
                <w:sz w:val="24"/>
                <w:lang w:val="en-US" w:eastAsia="zh-CN"/>
              </w:rPr>
              <w:br w:type="textWrapping"/>
            </w:r>
            <w:r>
              <w:rPr>
                <w:rFonts w:hint="eastAsia" w:ascii="仿宋_GB2312" w:eastAsia="仿宋_GB2312"/>
                <w:sz w:val="24"/>
                <w:lang w:val="en-US" w:eastAsia="zh-CN"/>
              </w:rPr>
              <w:t>项目社会与产业价值：</w:t>
            </w:r>
            <w:r>
              <w:rPr>
                <w:rFonts w:hint="eastAsia" w:ascii="仿宋_GB2312" w:eastAsia="仿宋_GB2312"/>
                <w:sz w:val="24"/>
                <w:lang w:val="en-US" w:eastAsia="zh-CN"/>
              </w:rPr>
              <w:br w:type="textWrapping"/>
            </w:r>
            <w:r>
              <w:rPr>
                <w:rFonts w:hint="eastAsia" w:ascii="仿宋_GB2312" w:eastAsia="仿宋_GB2312"/>
                <w:sz w:val="24"/>
                <w:lang w:val="en-US" w:eastAsia="zh-CN"/>
              </w:rPr>
              <w:t>填补国家战略空白：为低空经济国家战略提供核心“质量基础设施”，助力解决适航审定的“卡脖子”问题。</w:t>
            </w:r>
            <w:r>
              <w:rPr>
                <w:rFonts w:hint="eastAsia" w:ascii="仿宋_GB2312" w:eastAsia="仿宋_GB2312"/>
                <w:sz w:val="24"/>
                <w:lang w:val="en-US" w:eastAsia="zh-CN"/>
              </w:rPr>
              <w:br w:type="textWrapping"/>
            </w:r>
            <w:r>
              <w:rPr>
                <w:rFonts w:hint="eastAsia" w:ascii="仿宋_GB2312" w:eastAsia="仿宋_GB2312"/>
                <w:sz w:val="24"/>
                <w:lang w:val="en-US" w:eastAsia="zh-CN"/>
              </w:rPr>
              <w:t>驱动产业升级：推动中国检测行业整体从劳动密集型的“测试执行”迈向智力密集型的“数据决策”，提升全球竞争力。</w:t>
            </w:r>
            <w:r>
              <w:rPr>
                <w:rFonts w:hint="eastAsia" w:ascii="仿宋_GB2312" w:eastAsia="仿宋_GB2312"/>
                <w:sz w:val="24"/>
                <w:lang w:val="en-US" w:eastAsia="zh-CN"/>
              </w:rPr>
              <w:br w:type="textWrapping"/>
            </w:r>
            <w:r>
              <w:rPr>
                <w:rFonts w:hint="eastAsia" w:ascii="仿宋_GB2312" w:eastAsia="仿宋_GB2312"/>
                <w:sz w:val="24"/>
                <w:lang w:val="en-US" w:eastAsia="zh-CN"/>
              </w:rPr>
              <w:t>构筑安全底线：通过更精确、更可信的安全性评估，为亿万民众未来日常乘坐的自动驾驶飞行器提供坚实的技术安全保障。</w:t>
            </w:r>
            <w:r>
              <w:rPr>
                <w:rFonts w:hint="eastAsia" w:ascii="仿宋_GB2312" w:eastAsia="仿宋_GB2312"/>
                <w:sz w:val="24"/>
                <w:lang w:val="en-US" w:eastAsia="zh-CN"/>
              </w:rPr>
              <w:br w:type="textWrapping"/>
            </w:r>
            <w:r>
              <w:rPr>
                <w:rFonts w:hint="eastAsia" w:ascii="仿宋_GB2312" w:eastAsia="仿宋_GB2312"/>
                <w:sz w:val="24"/>
                <w:lang w:val="en-US" w:eastAsia="zh-CN"/>
              </w:rPr>
              <w:t>培养高端人才：为我国培养出首批具备工程化UQ思维与实践能力的专业技术人才，填补该领域核心人才缺口。</w:t>
            </w:r>
            <w:r>
              <w:rPr>
                <w:rFonts w:hint="eastAsia" w:ascii="仿宋_GB2312" w:eastAsia="仿宋_GB2312"/>
                <w:sz w:val="24"/>
                <w:lang w:val="en-US" w:eastAsia="zh-CN"/>
              </w:rPr>
              <w:br w:type="textWrapping"/>
            </w:r>
            <w:r>
              <w:rPr>
                <w:rFonts w:hint="eastAsia" w:ascii="仿宋_GB2312" w:eastAsia="仿宋_GB2312"/>
                <w:sz w:val="24"/>
                <w:lang w:val="en-US" w:eastAsia="zh-CN"/>
              </w:rPr>
              <w:t>项目可行性论证总结：</w:t>
            </w:r>
            <w:r>
              <w:rPr>
                <w:rFonts w:hint="eastAsia" w:ascii="仿宋_GB2312" w:eastAsia="仿宋_GB2312"/>
                <w:sz w:val="24"/>
                <w:lang w:val="en-US" w:eastAsia="zh-CN"/>
              </w:rPr>
              <w:br w:type="textWrapping"/>
            </w:r>
            <w:r>
              <w:rPr>
                <w:rFonts w:hint="eastAsia" w:ascii="仿宋_GB2312" w:eastAsia="仿宋_GB2312"/>
                <w:sz w:val="24"/>
                <w:lang w:val="en-US" w:eastAsia="zh-CN"/>
              </w:rPr>
              <w:t>申报人杨星辰博士在不确定性量化、概率建模、代理模型加速、归因分析等方向，拥有从学术理论（NSF、NWS项目）到工程落地（领雁计划）的完整经验，其技术路线与紫深智测UQ产品体系的四层架构完全同构。用人单位已形成系统的研发投入与成果积累，拥有2100㎡自建实验室、16台套高端设备、智慧实验室管理平台及覆盖UQ全流程的专利集群。公司融资节奏稳健，从种子轮（500万元，投后估值1亿元）到天使轮（1000万元，推进中）的路径清晰。公司地处杭州余杭区“中国飞谷”，享有3年免租、最高1200万元研发补助等政策叠加红利。科研团队形成“算法+工程+应用”三位一体架构，杨博士处于“技术架构核心+产品转化桥梁”的不可替代位置。用人单位提供具有市场竞争力的薪酬、协助申请市区两级住房补贴及人才公寓、办理高层次人才认定等综合保障体系。项目整体可行性高，具备显著的先发优势与广阔的成长空间。</w:t>
            </w:r>
          </w:p>
        </w:tc>
      </w:tr>
    </w:tbl>
    <w:p w14:paraId="79099CB7">
      <w:pPr>
        <w:rPr>
          <w:rFonts w:hint="eastAsia" w:ascii="黑体" w:hAnsi="黑体" w:eastAsia="黑体" w:cs="黑体"/>
          <w:sz w:val="32"/>
          <w:szCs w:val="32"/>
        </w:rPr>
      </w:pPr>
    </w:p>
    <w:p w14:paraId="35092ACC">
      <w:pPr>
        <w:rPr>
          <w:rFonts w:eastAsia="黑体"/>
          <w:sz w:val="32"/>
          <w:szCs w:val="32"/>
        </w:rPr>
      </w:pPr>
    </w:p>
    <w:p w14:paraId="7F76F47C">
      <w:pPr>
        <w:rPr>
          <w:rFonts w:eastAsia="黑体"/>
          <w:sz w:val="32"/>
          <w:szCs w:val="32"/>
        </w:rPr>
      </w:pPr>
    </w:p>
    <w:p w14:paraId="002E9DEC">
      <w:pPr>
        <w:rPr>
          <w:rFonts w:eastAsia="黑体"/>
          <w:sz w:val="32"/>
          <w:szCs w:val="32"/>
        </w:rPr>
      </w:pPr>
    </w:p>
    <w:p w14:paraId="014271BC">
      <w:pPr>
        <w:rPr>
          <w:rFonts w:eastAsia="黑体"/>
          <w:sz w:val="32"/>
          <w:szCs w:val="32"/>
        </w:rPr>
      </w:pPr>
    </w:p>
    <w:p w14:paraId="28EBC7FC">
      <w:pPr>
        <w:rPr>
          <w:rFonts w:eastAsia="黑体"/>
          <w:sz w:val="32"/>
          <w:szCs w:val="32"/>
        </w:rPr>
      </w:pPr>
    </w:p>
    <w:p w14:paraId="4FBB7BD3">
      <w:pPr>
        <w:rPr>
          <w:rFonts w:eastAsia="黑体"/>
          <w:sz w:val="32"/>
          <w:szCs w:val="32"/>
        </w:rPr>
      </w:pPr>
    </w:p>
    <w:p w14:paraId="493538A9">
      <w:pPr>
        <w:rPr>
          <w:rFonts w:eastAsia="黑体"/>
          <w:sz w:val="32"/>
          <w:szCs w:val="32"/>
        </w:rPr>
      </w:pPr>
    </w:p>
    <w:p w14:paraId="260AA997">
      <w:pPr>
        <w:rPr>
          <w:rFonts w:eastAsia="黑体"/>
          <w:sz w:val="32"/>
          <w:szCs w:val="32"/>
        </w:rPr>
      </w:pPr>
    </w:p>
    <w:p w14:paraId="7A0BA6E7">
      <w:pPr>
        <w:rPr>
          <w:rFonts w:eastAsia="黑体"/>
          <w:sz w:val="32"/>
          <w:szCs w:val="32"/>
        </w:rPr>
      </w:pPr>
      <w:r>
        <w:rPr>
          <w:rFonts w:hint="eastAsia" w:ascii="黑体" w:hAnsi="黑体" w:eastAsia="黑体" w:cs="黑体"/>
          <w:sz w:val="32"/>
          <w:szCs w:val="32"/>
        </w:rPr>
        <w:drawing>
          <wp:anchor distT="0" distB="0" distL="114300" distR="114300" simplePos="0" relativeHeight="251664384" behindDoc="0" locked="0" layoutInCell="1" allowOverlap="1">
            <wp:simplePos x="0" y="0"/>
            <wp:positionH relativeFrom="column">
              <wp:posOffset>-199390</wp:posOffset>
            </wp:positionH>
            <wp:positionV relativeFrom="paragraph">
              <wp:posOffset>38100</wp:posOffset>
            </wp:positionV>
            <wp:extent cx="5695950" cy="8722360"/>
            <wp:effectExtent l="0" t="0" r="6350" b="2540"/>
            <wp:wrapSquare wrapText="bothSides"/>
            <wp:docPr id="5" name="图片 1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图片2"/>
                    <pic:cNvPicPr>
                      <a:picLocks noChangeAspect="1"/>
                    </pic:cNvPicPr>
                  </pic:nvPicPr>
                  <pic:blipFill>
                    <a:blip r:embed="rId16"/>
                    <a:stretch>
                      <a:fillRect/>
                    </a:stretch>
                  </pic:blipFill>
                  <pic:spPr>
                    <a:xfrm>
                      <a:off x="0" y="0"/>
                      <a:ext cx="5695950" cy="8722360"/>
                    </a:xfrm>
                    <a:prstGeom prst="rect">
                      <a:avLst/>
                    </a:prstGeom>
                    <a:noFill/>
                    <a:ln w="9525">
                      <a:noFill/>
                    </a:ln>
                  </pic:spPr>
                </pic:pic>
              </a:graphicData>
            </a:graphic>
          </wp:anchor>
        </w:drawing>
      </w:r>
      <w:r>
        <w:rPr>
          <w:rFonts w:eastAsia="黑体"/>
          <w:sz w:val="32"/>
          <w:szCs w:val="32"/>
        </w:rPr>
        <w:br w:type="column"/>
      </w:r>
      <w:r>
        <w:rPr>
          <w:rFonts w:eastAsia="仿宋_GB2312"/>
          <w:bCs/>
          <w:sz w:val="28"/>
          <w:szCs w:val="28"/>
        </w:rPr>
        <w:drawing>
          <wp:anchor distT="0" distB="0" distL="114300" distR="114300" simplePos="0" relativeHeight="251665408" behindDoc="0" locked="0" layoutInCell="1" allowOverlap="1">
            <wp:simplePos x="0" y="0"/>
            <wp:positionH relativeFrom="column">
              <wp:posOffset>-20320</wp:posOffset>
            </wp:positionH>
            <wp:positionV relativeFrom="page">
              <wp:posOffset>901700</wp:posOffset>
            </wp:positionV>
            <wp:extent cx="5212715" cy="8622665"/>
            <wp:effectExtent l="0" t="0" r="6985" b="635"/>
            <wp:wrapTopAndBottom/>
            <wp:docPr id="9" name="图片 1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图片3"/>
                    <pic:cNvPicPr>
                      <a:picLocks noChangeAspect="1"/>
                    </pic:cNvPicPr>
                  </pic:nvPicPr>
                  <pic:blipFill>
                    <a:blip r:embed="rId17"/>
                    <a:stretch>
                      <a:fillRect/>
                    </a:stretch>
                  </pic:blipFill>
                  <pic:spPr>
                    <a:xfrm>
                      <a:off x="0" y="0"/>
                      <a:ext cx="5212715" cy="8622665"/>
                    </a:xfrm>
                    <a:prstGeom prst="rect">
                      <a:avLst/>
                    </a:prstGeom>
                    <a:noFill/>
                    <a:ln w="9525">
                      <a:noFill/>
                    </a:ln>
                  </pic:spPr>
                </pic:pic>
              </a:graphicData>
            </a:graphic>
          </wp:anchor>
        </w:drawing>
      </w:r>
    </w:p>
    <w:p w14:paraId="1D37F0C9">
      <w:pPr>
        <w:spacing w:line="560" w:lineRule="exact"/>
        <w:rPr>
          <w:rFonts w:eastAsia="仿宋_GB2312"/>
          <w:bCs/>
          <w:sz w:val="28"/>
          <w:szCs w:val="28"/>
        </w:rPr>
      </w:pPr>
      <w:r>
        <w:rPr>
          <w:rFonts w:eastAsia="仿宋_GB2312"/>
          <w:bCs/>
          <w:sz w:val="28"/>
          <w:szCs w:val="28"/>
        </w:rPr>
        <w:t>协商决定是否解除任务书、或者部分免除履行任务书的责任，或者延期履行任务书等。</w:t>
      </w:r>
    </w:p>
    <w:p w14:paraId="536B36AB">
      <w:pPr>
        <w:spacing w:line="560" w:lineRule="exact"/>
        <w:ind w:firstLine="560" w:firstLineChars="200"/>
        <w:rPr>
          <w:rFonts w:eastAsia="仿宋_GB2312"/>
          <w:b/>
          <w:bCs/>
          <w:sz w:val="36"/>
          <w:szCs w:val="36"/>
        </w:rPr>
      </w:pPr>
      <w:r>
        <w:rPr>
          <w:rFonts w:hint="eastAsia" w:eastAsia="仿宋_GB2312"/>
          <w:bCs/>
          <w:sz w:val="28"/>
          <w:szCs w:val="28"/>
        </w:rPr>
        <w:t>（十一）</w:t>
      </w:r>
      <w:r>
        <w:rPr>
          <w:rFonts w:eastAsia="仿宋_GB2312"/>
          <w:sz w:val="28"/>
          <w:szCs w:val="28"/>
        </w:rPr>
        <w:t>本任务书一经签订，签订双方均应负相应法律责任。凡因本任务书引起的或与本任务书有关的任何争议，由双方友好协商解决。协商不成时，双方均同意向杭州仲裁委员会申请仲裁。</w:t>
      </w:r>
    </w:p>
    <w:p w14:paraId="683BE721">
      <w:pPr>
        <w:rPr>
          <w:rFonts w:eastAsia="黑体"/>
          <w:sz w:val="32"/>
          <w:szCs w:val="32"/>
        </w:rPr>
      </w:pPr>
    </w:p>
    <w:p w14:paraId="1A10DE94">
      <w:pPr>
        <w:rPr>
          <w:rFonts w:eastAsia="黑体"/>
          <w:b/>
          <w:bCs/>
          <w:sz w:val="32"/>
          <w:szCs w:val="32"/>
        </w:rPr>
      </w:pPr>
      <w:r>
        <w:rPr>
          <w:rFonts w:eastAsia="黑体"/>
          <w:sz w:val="32"/>
          <w:szCs w:val="32"/>
        </w:rPr>
        <w:t>六、签约双方</w:t>
      </w:r>
    </w:p>
    <w:p w14:paraId="62194728">
      <w:pPr>
        <w:spacing w:line="300" w:lineRule="exact"/>
        <w:rPr>
          <w:rFonts w:eastAsia="仿宋_GB2312"/>
          <w:sz w:val="30"/>
        </w:rPr>
      </w:pPr>
    </w:p>
    <w:p w14:paraId="47223471">
      <w:pPr>
        <w:spacing w:line="300" w:lineRule="exact"/>
        <w:rPr>
          <w:rFonts w:eastAsia="仿宋_GB2312"/>
          <w:sz w:val="30"/>
        </w:rPr>
      </w:pPr>
    </w:p>
    <w:p w14:paraId="34C79FF9">
      <w:pPr>
        <w:spacing w:line="300" w:lineRule="exact"/>
        <w:rPr>
          <w:rFonts w:eastAsia="仿宋_GB2312"/>
          <w:sz w:val="30"/>
        </w:rPr>
      </w:pPr>
      <w:r>
        <w:rPr>
          <w:rFonts w:eastAsia="仿宋_GB2312"/>
          <w:sz w:val="30"/>
        </w:rPr>
        <w:t xml:space="preserve">                              </w:t>
      </w:r>
    </w:p>
    <w:p w14:paraId="36E8B3A0">
      <w:pPr>
        <w:ind w:firstLine="560" w:firstLineChars="200"/>
        <w:rPr>
          <w:rFonts w:eastAsia="仿宋_GB2312"/>
          <w:sz w:val="28"/>
          <w:szCs w:val="28"/>
        </w:rPr>
      </w:pPr>
    </w:p>
    <w:p w14:paraId="30826DED">
      <w:pPr>
        <w:rPr>
          <w:rFonts w:eastAsia="仿宋_GB2312"/>
          <w:sz w:val="28"/>
          <w:szCs w:val="28"/>
        </w:rPr>
      </w:pPr>
    </w:p>
    <w:p w14:paraId="30050E30">
      <w:pPr>
        <w:rPr>
          <w:rFonts w:eastAsia="仿宋_GB2312"/>
          <w:sz w:val="32"/>
          <w:szCs w:val="32"/>
        </w:rPr>
      </w:pPr>
      <w:r>
        <w:rPr>
          <w:rFonts w:hint="eastAsia" w:eastAsia="仿宋_GB2312"/>
          <w:sz w:val="32"/>
          <w:szCs w:val="32"/>
        </w:rPr>
        <w:t xml:space="preserve">甲方：                            乙方： </w:t>
      </w:r>
    </w:p>
    <w:p w14:paraId="4A69BB92">
      <w:pPr>
        <w:rPr>
          <w:rFonts w:eastAsia="仿宋_GB2312"/>
          <w:sz w:val="32"/>
          <w:szCs w:val="32"/>
        </w:rPr>
      </w:pPr>
      <w:r>
        <w:rPr>
          <w:rFonts w:hint="eastAsia" w:eastAsia="仿宋_GB2312"/>
          <w:sz w:val="32"/>
          <w:szCs w:val="32"/>
        </w:rPr>
        <w:t>代表人（签字）:                   项目主领衔人（签字）:</w:t>
      </w:r>
    </w:p>
    <w:p w14:paraId="6840214F">
      <w:pPr>
        <w:rPr>
          <w:rFonts w:hint="eastAsia" w:eastAsia="仿宋_GB2312"/>
          <w:sz w:val="32"/>
          <w:szCs w:val="32"/>
        </w:rPr>
      </w:pPr>
      <w:r>
        <w:rPr>
          <w:rFonts w:hint="eastAsia" w:eastAsia="仿宋_GB2312"/>
          <w:sz w:val="32"/>
          <w:szCs w:val="32"/>
        </w:rPr>
        <w:t>产业平台/镇街（盖章）             公司（盖章）</w:t>
      </w:r>
    </w:p>
    <w:p w14:paraId="4257B9E7">
      <w:pPr>
        <w:rPr>
          <w:rFonts w:eastAsia="仿宋_GB2312"/>
          <w:sz w:val="32"/>
          <w:szCs w:val="32"/>
        </w:rPr>
      </w:pPr>
      <w:r>
        <w:rPr>
          <w:rFonts w:hint="eastAsia" w:eastAsia="仿宋_GB2312"/>
          <w:sz w:val="32"/>
          <w:szCs w:val="32"/>
        </w:rPr>
        <w:t xml:space="preserve">                        </w:t>
      </w:r>
    </w:p>
    <w:p w14:paraId="039E95C9">
      <w:pPr>
        <w:rPr>
          <w:rFonts w:hint="eastAsia" w:eastAsia="仿宋_GB2312"/>
          <w:sz w:val="32"/>
          <w:szCs w:val="32"/>
        </w:rPr>
      </w:pPr>
      <w:r>
        <w:rPr>
          <w:rFonts w:hint="eastAsia" w:ascii="黑体" w:hAnsi="黑体" w:eastAsia="黑体" w:cs="黑体"/>
          <w:sz w:val="32"/>
          <w:szCs w:val="32"/>
        </w:rPr>
        <w:t xml:space="preserve">    </w:t>
      </w:r>
      <w:r>
        <w:rPr>
          <w:rFonts w:hint="eastAsia" w:eastAsia="仿宋_GB2312"/>
          <w:sz w:val="32"/>
          <w:szCs w:val="32"/>
        </w:rPr>
        <w:t>年  月   日</w:t>
      </w:r>
      <w:r>
        <w:rPr>
          <w:rFonts w:hint="eastAsia" w:ascii="黑体" w:hAnsi="黑体" w:eastAsia="黑体" w:cs="黑体"/>
          <w:sz w:val="32"/>
          <w:szCs w:val="32"/>
        </w:rPr>
        <w:t xml:space="preserve">                        </w:t>
      </w:r>
      <w:r>
        <w:rPr>
          <w:rFonts w:hint="eastAsia" w:eastAsia="仿宋_GB2312"/>
          <w:sz w:val="32"/>
          <w:szCs w:val="32"/>
        </w:rPr>
        <w:t>年   月   日</w:t>
      </w:r>
    </w:p>
    <w:p w14:paraId="1CB39EEB"/>
    <w:sectPr>
      <w:footerReference r:id="rId1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Times New Roman"/>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altName w:val="方正黑体_GBK"/>
    <w:panose1 w:val="020B0503020204020204"/>
    <w:charset w:val="86"/>
    <w:family w:val="auto"/>
    <w:pitch w:val="default"/>
    <w:sig w:usb0="00000000" w:usb1="00000000" w:usb2="00000016" w:usb3="00000000" w:csb0="0004001F"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9EC0D">
    <w:pPr>
      <w:pStyle w:val="3"/>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EB175">
    <w:pPr>
      <w:pStyle w:val="3"/>
      <w:framePr w:wrap="around" w:vAnchor="text" w:hAnchor="margin" w:xAlign="center" w:y="1"/>
      <w:rPr>
        <w:rStyle w:val="8"/>
      </w:rPr>
    </w:pPr>
    <w:r>
      <w:fldChar w:fldCharType="begin"/>
    </w:r>
    <w:r>
      <w:rPr>
        <w:rStyle w:val="8"/>
      </w:rPr>
      <w:instrText xml:space="preserve">PAGE  </w:instrText>
    </w:r>
    <w:r>
      <w:fldChar w:fldCharType="end"/>
    </w:r>
  </w:p>
  <w:p w14:paraId="42C6EAFD">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63B92">
    <w:pPr>
      <w:pStyle w:val="3"/>
      <w:tabs>
        <w:tab w:val="clear" w:pos="8306"/>
      </w:tabs>
    </w:pPr>
    <w:r>
      <w:rPr>
        <w:rFonts w:hint="eastAsia"/>
      </w:rPr>
      <w:tab/>
    </w:r>
    <w:r>
      <w:rPr>
        <w:rFonts w:hint="eastAsia"/>
      </w:rPr>
      <w:tab/>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35C35">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BF876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- 3 -</w:t>
                          </w:r>
                          <w:r>
                            <w:rPr>
                              <w:rFonts w:hint="eastAsia"/>
                              <w:sz w:val="1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MOBTKyQEAAJsDAAAOAAAAAAAAAAEAIAAAAB4BAABkcnMvZTJvRG9j&#10;LnhtbFBLBQYAAAAABgAGAFkBAABZBQAAAAA=&#10;">
              <v:fill on="f" focussize="0,0"/>
              <v:stroke on="f"/>
              <v:imagedata o:title=""/>
              <o:lock v:ext="edit" aspectratio="f"/>
              <v:textbox inset="0mm,0mm,0mm,0mm" style="mso-fit-shape-to-text:t;">
                <w:txbxContent>
                  <w:p w14:paraId="29BF876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- 3 -</w:t>
                    </w:r>
                    <w:r>
                      <w:rPr>
                        <w:rFonts w:hint="eastAsia"/>
                        <w:sz w:val="18"/>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635</wp:posOffset>
              </wp:positionV>
              <wp:extent cx="1005205" cy="14795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005205" cy="147955"/>
                      </a:xfrm>
                      <a:prstGeom prst="rect">
                        <a:avLst/>
                      </a:prstGeom>
                      <a:noFill/>
                      <a:ln>
                        <a:noFill/>
                      </a:ln>
                    </wps:spPr>
                    <wps:txbx>
                      <w:txbxContent>
                        <w:p w14:paraId="11356707">
                          <w:pPr>
                            <w:snapToGrid w:val="0"/>
                            <w:jc w:val="center"/>
                            <w:rPr>
                              <w:rFonts w:hint="eastAsia"/>
                              <w:sz w:val="18"/>
                            </w:rPr>
                          </w:pPr>
                        </w:p>
                      </w:txbxContent>
                    </wps:txbx>
                    <wps:bodyPr lIns="0" tIns="0" rIns="0" bIns="0" upright="0"/>
                  </wps:wsp>
                </a:graphicData>
              </a:graphic>
            </wp:anchor>
          </w:drawing>
        </mc:Choice>
        <mc:Fallback>
          <w:pict>
            <v:shape id="_x0000_s1026" o:spid="_x0000_s1026" o:spt="202" type="#_x0000_t202" style="position:absolute;left:0pt;margin-top:0.05pt;height:11.65pt;width:79.15pt;mso-position-horizontal:center;mso-position-horizontal-relative:margin;z-index:251659264;mso-width-relative:page;mso-height-relative:page;" filled="f" stroked="f" coordsize="21600,21600" o:gfxdata="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741Hr1AAAAAQBAAAPAAAAAAAAAAEAIAAAACIAAABkcnMvZG93bnJldi54bWxQSwECFAAU&#10;AAAACACHTuJA+Tmr6rwBAAB0AwAADgAAAAAAAAABACAAAAAjAQAAZHJzL2Uyb0RvYy54bWxQSwUG&#10;AAAAAAYABgBZAQAAUQUAAAAA&#10;">
              <v:fill on="f" focussize="0,0"/>
              <v:stroke on="f"/>
              <v:imagedata o:title=""/>
              <o:lock v:ext="edit" aspectratio="f"/>
              <v:textbox inset="0mm,0mm,0mm,0mm">
                <w:txbxContent>
                  <w:p w14:paraId="11356707">
                    <w:pPr>
                      <w:snapToGrid w:val="0"/>
                      <w:jc w:val="center"/>
                      <w:rPr>
                        <w:rFonts w:hint="eastAsia"/>
                        <w:sz w:val="18"/>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8D554">
    <w:pPr>
      <w:pStyle w:val="3"/>
      <w:tabs>
        <w:tab w:val="left" w:pos="3106"/>
        <w:tab w:val="clear" w:pos="8306"/>
      </w:tabs>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E41BA3">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- 2 -</w:t>
                          </w:r>
                          <w:r>
                            <w:rPr>
                              <w:rFonts w:hint="eastAsia"/>
                              <w:sz w:val="1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ZoqY8kBAACbAwAADgAAAGRycy9lMm9Eb2MueG1srVPNjtMwEL6vxDtY&#10;vlNnK4G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1mipjyQEAAJsDAAAOAAAAAAAAAAEAIAAAAB4BAABkcnMvZTJvRG9j&#10;LnhtbFBLBQYAAAAABgAGAFkBAABZBQAAAAA=&#10;">
              <v:fill on="f" focussize="0,0"/>
              <v:stroke on="f"/>
              <v:imagedata o:title=""/>
              <o:lock v:ext="edit" aspectratio="f"/>
              <v:textbox inset="0mm,0mm,0mm,0mm" style="mso-fit-shape-to-text:t;">
                <w:txbxContent>
                  <w:p w14:paraId="6FE41BA3">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- 2 -</w:t>
                    </w:r>
                    <w:r>
                      <w:rPr>
                        <w:rFonts w:hint="eastAsia"/>
                        <w:sz w:val="18"/>
                      </w:rPr>
                      <w:fldChar w:fldCharType="end"/>
                    </w:r>
                  </w:p>
                </w:txbxContent>
              </v:textbox>
            </v:shape>
          </w:pict>
        </mc:Fallback>
      </mc:AlternateContent>
    </w:r>
    <w:r>
      <w:rPr>
        <w:rFonts w:hint="eastAsia"/>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99C62">
    <w:pPr>
      <w:pStyle w:val="3"/>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240984">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- 6 -</w:t>
                          </w:r>
                          <w:r>
                            <w:rPr>
                              <w:rFonts w:hint="eastAsia"/>
                              <w:sz w:val="1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39240984">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- 6 -</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1E3B">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08B65">
    <w:pPr>
      <w:pStyle w:val="4"/>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0C7E5">
    <w:pPr>
      <w:pStyle w:val="4"/>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AB12E">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5ZjM5ZTc4NzU5M2NiY2EwNWNjYzIyMGI3ZDgwZDQifQ=="/>
  </w:docVars>
  <w:rsids>
    <w:rsidRoot w:val="00000000"/>
    <w:rsid w:val="003166E3"/>
    <w:rsid w:val="00BC3A1F"/>
    <w:rsid w:val="00FC3E1B"/>
    <w:rsid w:val="011A74B4"/>
    <w:rsid w:val="013C06BC"/>
    <w:rsid w:val="01A9403D"/>
    <w:rsid w:val="01D92BC4"/>
    <w:rsid w:val="020411DA"/>
    <w:rsid w:val="02DB6ED7"/>
    <w:rsid w:val="02EB4148"/>
    <w:rsid w:val="02F56D74"/>
    <w:rsid w:val="059C797B"/>
    <w:rsid w:val="05A70E48"/>
    <w:rsid w:val="05AD6728"/>
    <w:rsid w:val="061E65E2"/>
    <w:rsid w:val="06537070"/>
    <w:rsid w:val="07027CB2"/>
    <w:rsid w:val="07664DF4"/>
    <w:rsid w:val="07AA45D1"/>
    <w:rsid w:val="084F6F27"/>
    <w:rsid w:val="08EF5560"/>
    <w:rsid w:val="096D1193"/>
    <w:rsid w:val="09D05E45"/>
    <w:rsid w:val="0A621A1B"/>
    <w:rsid w:val="0A870BFA"/>
    <w:rsid w:val="0AB47175"/>
    <w:rsid w:val="0BB93035"/>
    <w:rsid w:val="0CCE2B10"/>
    <w:rsid w:val="0D594442"/>
    <w:rsid w:val="10014FAA"/>
    <w:rsid w:val="10645539"/>
    <w:rsid w:val="11A40DA6"/>
    <w:rsid w:val="125B6C0C"/>
    <w:rsid w:val="12F9465F"/>
    <w:rsid w:val="13A24CF6"/>
    <w:rsid w:val="14421220"/>
    <w:rsid w:val="14691370"/>
    <w:rsid w:val="14A34882"/>
    <w:rsid w:val="152E40C2"/>
    <w:rsid w:val="153E27FD"/>
    <w:rsid w:val="159E329B"/>
    <w:rsid w:val="15DC45FD"/>
    <w:rsid w:val="15EE5FD1"/>
    <w:rsid w:val="1615355E"/>
    <w:rsid w:val="182A0E16"/>
    <w:rsid w:val="185F6D12"/>
    <w:rsid w:val="18AD1606"/>
    <w:rsid w:val="19D159ED"/>
    <w:rsid w:val="1A3B555D"/>
    <w:rsid w:val="1B34092A"/>
    <w:rsid w:val="1D523CB6"/>
    <w:rsid w:val="1E312EFF"/>
    <w:rsid w:val="1E766B63"/>
    <w:rsid w:val="1ECB5101"/>
    <w:rsid w:val="1F730CC1"/>
    <w:rsid w:val="204F1D62"/>
    <w:rsid w:val="20666AE8"/>
    <w:rsid w:val="21690C01"/>
    <w:rsid w:val="21840B15"/>
    <w:rsid w:val="22B66D05"/>
    <w:rsid w:val="22BD02F5"/>
    <w:rsid w:val="22D622C7"/>
    <w:rsid w:val="25494FD2"/>
    <w:rsid w:val="25C737B0"/>
    <w:rsid w:val="26CA3EF0"/>
    <w:rsid w:val="272722BF"/>
    <w:rsid w:val="27E87970"/>
    <w:rsid w:val="29A7676B"/>
    <w:rsid w:val="2A0D084E"/>
    <w:rsid w:val="2A657544"/>
    <w:rsid w:val="2A8E0967"/>
    <w:rsid w:val="2AD851D1"/>
    <w:rsid w:val="2C3A1B18"/>
    <w:rsid w:val="2CF762CA"/>
    <w:rsid w:val="2D71488D"/>
    <w:rsid w:val="2E717347"/>
    <w:rsid w:val="2EE77A12"/>
    <w:rsid w:val="2F1A79DF"/>
    <w:rsid w:val="2F5E167A"/>
    <w:rsid w:val="2FA95DF0"/>
    <w:rsid w:val="2FC5794B"/>
    <w:rsid w:val="316C2D23"/>
    <w:rsid w:val="318A2BFA"/>
    <w:rsid w:val="31C3610C"/>
    <w:rsid w:val="321C7DDC"/>
    <w:rsid w:val="32892EB1"/>
    <w:rsid w:val="32B819E9"/>
    <w:rsid w:val="356814A4"/>
    <w:rsid w:val="373329B9"/>
    <w:rsid w:val="37D23FDB"/>
    <w:rsid w:val="386A108F"/>
    <w:rsid w:val="3A184B1B"/>
    <w:rsid w:val="3A1F2379"/>
    <w:rsid w:val="3B984165"/>
    <w:rsid w:val="3BA9648C"/>
    <w:rsid w:val="3BDD46A2"/>
    <w:rsid w:val="3C073099"/>
    <w:rsid w:val="3C5E0F0B"/>
    <w:rsid w:val="3D015D3A"/>
    <w:rsid w:val="3D6A1B31"/>
    <w:rsid w:val="3E5D51F2"/>
    <w:rsid w:val="3EF31509"/>
    <w:rsid w:val="3EFB7363"/>
    <w:rsid w:val="3F392CE3"/>
    <w:rsid w:val="3FF83425"/>
    <w:rsid w:val="40601BD8"/>
    <w:rsid w:val="40B90E06"/>
    <w:rsid w:val="41F1637D"/>
    <w:rsid w:val="428D6ADE"/>
    <w:rsid w:val="430673EB"/>
    <w:rsid w:val="43D63A7D"/>
    <w:rsid w:val="4416031D"/>
    <w:rsid w:val="44401EAB"/>
    <w:rsid w:val="44FA19ED"/>
    <w:rsid w:val="466C06C8"/>
    <w:rsid w:val="47094169"/>
    <w:rsid w:val="47D71C0C"/>
    <w:rsid w:val="47E10C42"/>
    <w:rsid w:val="4865210C"/>
    <w:rsid w:val="49180694"/>
    <w:rsid w:val="49971F00"/>
    <w:rsid w:val="49F41101"/>
    <w:rsid w:val="4A235542"/>
    <w:rsid w:val="4A2843C2"/>
    <w:rsid w:val="4AF420C8"/>
    <w:rsid w:val="4C5F1B5A"/>
    <w:rsid w:val="4C6D519A"/>
    <w:rsid w:val="4C942727"/>
    <w:rsid w:val="4C9E5354"/>
    <w:rsid w:val="4D6C0FAE"/>
    <w:rsid w:val="4EB726FD"/>
    <w:rsid w:val="4F8B311B"/>
    <w:rsid w:val="4F8B789B"/>
    <w:rsid w:val="4FF53C48"/>
    <w:rsid w:val="4FF77255"/>
    <w:rsid w:val="50641A12"/>
    <w:rsid w:val="50B52C6C"/>
    <w:rsid w:val="56660C90"/>
    <w:rsid w:val="56BC17AC"/>
    <w:rsid w:val="59431BE8"/>
    <w:rsid w:val="599A736D"/>
    <w:rsid w:val="5AD240D0"/>
    <w:rsid w:val="5B435A44"/>
    <w:rsid w:val="5B9B5880"/>
    <w:rsid w:val="5C317F92"/>
    <w:rsid w:val="5CCB5CF1"/>
    <w:rsid w:val="5D927A9C"/>
    <w:rsid w:val="5DEF5A0F"/>
    <w:rsid w:val="5E0823B6"/>
    <w:rsid w:val="605D39D4"/>
    <w:rsid w:val="60A70D54"/>
    <w:rsid w:val="618B1EF3"/>
    <w:rsid w:val="62C51707"/>
    <w:rsid w:val="64AF414A"/>
    <w:rsid w:val="652266CA"/>
    <w:rsid w:val="65532D27"/>
    <w:rsid w:val="65827169"/>
    <w:rsid w:val="65B64922"/>
    <w:rsid w:val="65DA6FA5"/>
    <w:rsid w:val="66D6776C"/>
    <w:rsid w:val="69F543AD"/>
    <w:rsid w:val="6A284B7C"/>
    <w:rsid w:val="6C280AD5"/>
    <w:rsid w:val="6C3A66BC"/>
    <w:rsid w:val="6C823EF2"/>
    <w:rsid w:val="6CF7043C"/>
    <w:rsid w:val="6D0863BF"/>
    <w:rsid w:val="6D3276C6"/>
    <w:rsid w:val="6DC02F24"/>
    <w:rsid w:val="6ED94AF1"/>
    <w:rsid w:val="6F0155A2"/>
    <w:rsid w:val="6F307C36"/>
    <w:rsid w:val="6FBF7712"/>
    <w:rsid w:val="700510C2"/>
    <w:rsid w:val="7015282B"/>
    <w:rsid w:val="705678C8"/>
    <w:rsid w:val="705C33D8"/>
    <w:rsid w:val="70637DDB"/>
    <w:rsid w:val="70B30B1E"/>
    <w:rsid w:val="7123407B"/>
    <w:rsid w:val="71707E34"/>
    <w:rsid w:val="744F5002"/>
    <w:rsid w:val="74B6388F"/>
    <w:rsid w:val="74DC1C15"/>
    <w:rsid w:val="76EE0B02"/>
    <w:rsid w:val="77614F44"/>
    <w:rsid w:val="782A4F3F"/>
    <w:rsid w:val="78F9553C"/>
    <w:rsid w:val="79034ECC"/>
    <w:rsid w:val="7A1B61D7"/>
    <w:rsid w:val="7A232871"/>
    <w:rsid w:val="7BCE763D"/>
    <w:rsid w:val="7C1F175E"/>
    <w:rsid w:val="7C5225FD"/>
    <w:rsid w:val="7D5F040E"/>
    <w:rsid w:val="7D773567"/>
    <w:rsid w:val="7E9173A9"/>
    <w:rsid w:val="7F5645D2"/>
    <w:rsid w:val="7FF0795F"/>
    <w:rsid w:val="7FF77AC9"/>
    <w:rsid w:val="EDFF5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firstLine="600"/>
    </w:pPr>
    <w:rPr>
      <w:rFonts w:ascii="仿宋_GB2312" w:eastAsia="仿宋_GB2312"/>
      <w:sz w:val="30"/>
    </w:r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paragraph" w:customStyle="1" w:styleId="9">
    <w:name w:val="Table Text"/>
    <w:basedOn w:val="1"/>
    <w:semiHidden/>
    <w:qFormat/>
    <w:uiPriority w:val="0"/>
    <w:rPr>
      <w:rFonts w:ascii="宋体" w:hAnsi="宋体" w:cs="宋体"/>
      <w:sz w:val="27"/>
      <w:szCs w:val="27"/>
      <w:lang w:eastAsia="en-US"/>
    </w:rPr>
  </w:style>
  <w:style w:type="paragraph" w:customStyle="1" w:styleId="10">
    <w:name w:val="_Style 3"/>
    <w:basedOn w:val="1"/>
    <w:qFormat/>
    <w:uiPriority w:val="0"/>
    <w:rPr>
      <w:rFonts w:ascii="仿宋_GB2312" w:eastAsia="仿宋_GB2312"/>
      <w:b/>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1102</Words>
  <Characters>2190</Characters>
  <Lines>0</Lines>
  <Paragraphs>0</Paragraphs>
  <TotalTime>1</TotalTime>
  <ScaleCrop>false</ScaleCrop>
  <LinksUpToDate>false</LinksUpToDate>
  <CharactersWithSpaces>2729</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2024-06-12T15:18:00Z</dcterms:created>
  <dc:creator>王云峰</dc:creator>
  <cp:lastModifiedBy>HIKV</cp:lastModifiedBy>
  <dcterms:modified xsi:type="dcterms:W3CDTF">2026-07-28T11:34:43Z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F264902409E847DF8B7A2490A9EF4B37_12</vt:lpwstr>
  </property>
</Properties>
</file>