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C92A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jc w:val="center"/>
        <w:rPr>
          <w:rFonts w:ascii="PingFang SC" w:hAnsi="PingFang SC" w:eastAsia="黑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36"/>
          <w:szCs w:val="16"/>
          <w:u w:val="none"/>
        </w:rPr>
      </w:pPr>
      <w:bookmarkStart w:id="0" w:name="_GoBack"/>
      <w:r>
        <w:rPr>
          <w:rFonts w:hint="default" w:ascii="PingFang SC" w:hAnsi="PingFang SC" w:eastAsia="黑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36"/>
          <w:szCs w:val="16"/>
          <w:u w:val="none"/>
        </w:rPr>
        <w:t>《杭州市人工智能创新高地建设2026年行动方案》</w:t>
      </w:r>
      <w:bookmarkEnd w:id="0"/>
      <w:r>
        <w:rPr>
          <w:rFonts w:hint="default" w:ascii="PingFang SC" w:hAnsi="PingFang SC" w:eastAsia="黑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36"/>
          <w:szCs w:val="16"/>
          <w:u w:val="none"/>
        </w:rPr>
        <w:t>解读</w:t>
      </w:r>
    </w:p>
    <w:p w14:paraId="23901C0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jc w:val="both"/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8"/>
          <w:szCs w:val="16"/>
          <w:u w:val="none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8"/>
          <w:szCs w:val="16"/>
          <w:u w:val="none"/>
        </w:rPr>
        <w:t>一、战略定位与核心目标</w:t>
      </w:r>
    </w:p>
    <w:p w14:paraId="3223AB69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杭州以"技术策源、场景驱动、产业集聚、安全可控"为原则，锚定全球领先的人工智能创新高地目标，计划到2026年实现四大突破：</w:t>
      </w:r>
    </w:p>
    <w:p w14:paraId="0ACA59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产业规模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：核心产业规模突破3500亿元，带动相关产业超1.2万亿元，培育25家以上上市企业、80家国家级专精特新企业，形成3个千亿级产业集群。</w:t>
      </w:r>
    </w:p>
    <w:p w14:paraId="3A1771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技术创新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：授权发明专利超2万件，在通用大模型、AI芯片等领域取得100项填补国内空白的技术成果，主导制定50项国际/国家标准。</w:t>
      </w:r>
    </w:p>
    <w:p w14:paraId="389F95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基础设施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：公共智能算力达50EFLOPS，算力响应时间压缩至10毫秒以内，公共数据开放规模突破100PB，建成200个垂直领域数据集。</w:t>
      </w:r>
    </w:p>
    <w:p w14:paraId="5F526C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应用渗透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：制造业AI覆盖率60%，政务AI辅助办理率90%，三甲医院AI诊断、主城区交通AI调控、重点民生领域AI应用实现全覆盖。</w:t>
      </w:r>
    </w:p>
    <w:p w14:paraId="03AF4DF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jc w:val="both"/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8"/>
          <w:szCs w:val="16"/>
          <w:u w:val="none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8"/>
          <w:szCs w:val="16"/>
          <w:u w:val="none"/>
        </w:rPr>
        <w:t>二、核心技术攻坚路径</w:t>
      </w:r>
    </w:p>
    <w:p w14:paraId="7BCA129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1. 通用人工智能突破</w:t>
      </w:r>
    </w:p>
    <w:p w14:paraId="34174E4C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实施"大模型双梯队培育计划"：</w:t>
      </w:r>
    </w:p>
    <w:p w14:paraId="43B4E2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基础层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：支持之江实验室、阿里达摩院等机构研发通用大模型，突破多模态融合、长上下文处理等技术，打造3-5个参数超万亿、性能国际领先的模型，推理成本降低60%以上。</w:t>
      </w:r>
    </w:p>
    <w:p w14:paraId="122C92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应用层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：面向智能制造、医疗、金融等领域培育20个行业大模型，降低中小微企业使用门槛30%以上。</w:t>
      </w:r>
    </w:p>
    <w:p w14:paraId="016EB60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2. 前沿技术布局</w:t>
      </w:r>
    </w:p>
    <w:p w14:paraId="04D382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类脑智能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：支持西湖大学、浙江大学研发神经形态芯片，建成国际领先研发平台。</w:t>
      </w:r>
    </w:p>
    <w:p w14:paraId="09CB83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具身智能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：突破人形机器人感知、控制技术，培育5款商业化产品。</w:t>
      </w:r>
    </w:p>
    <w:p w14:paraId="21BF37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AI for Science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：在新药研发、气候模拟等领域打造15个典型场景，研发效率提升50%以上。</w:t>
      </w:r>
    </w:p>
    <w:p w14:paraId="0AE1865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3. 关键软硬件自主可控</w:t>
      </w:r>
    </w:p>
    <w:p w14:paraId="62745D6B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实施"补链强链计划"：</w:t>
      </w:r>
    </w:p>
    <w:p w14:paraId="5FDDD9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芯片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：推出3款以上国际先进水平的GPU、NPU芯片，车载/工业级芯片国产化率提升至40%。</w:t>
      </w:r>
    </w:p>
    <w:p w14:paraId="5678CE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框架工具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：培育2个以上国内市场占有率前五的AI开源框架，构建全栈自主技术底座。</w:t>
      </w:r>
    </w:p>
    <w:p w14:paraId="1ABD0E2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jc w:val="both"/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8"/>
          <w:szCs w:val="16"/>
          <w:u w:val="none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8"/>
          <w:szCs w:val="16"/>
          <w:u w:val="none"/>
        </w:rPr>
        <w:t>三、产业生态培育举措</w:t>
      </w:r>
    </w:p>
    <w:p w14:paraId="1A8160F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1. 梯次企业培育</w:t>
      </w:r>
    </w:p>
    <w:p w14:paraId="4459DF41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实施"领航计划"：</w:t>
      </w:r>
    </w:p>
    <w:p w14:paraId="615759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支持阿里、海康威视等头部企业建设全球研发中心，带动产业链协同发展。</w:t>
      </w:r>
    </w:p>
    <w:p w14:paraId="3BE3C0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到2026年培育3家千亿级、10家百亿级人工智能企业。</w:t>
      </w:r>
    </w:p>
    <w:p w14:paraId="7885273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2. 全场景开放示范</w:t>
      </w:r>
    </w:p>
    <w:p w14:paraId="24EF80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标杆场景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：每年评选5个联合创新项目，给予最高500万元补助。</w:t>
      </w:r>
    </w:p>
    <w:p w14:paraId="1E0FF3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产业园区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：建设6家生态创新空间（如拱墅区智慧网谷小镇、余杭区人工智能小镇），提供算力、数据、模型等8类服务。</w:t>
      </w:r>
    </w:p>
    <w:p w14:paraId="08A8682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3. 特色载体支撑</w:t>
      </w:r>
    </w:p>
    <w:p w14:paraId="5A89BA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算力筑基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：布局高性能智算集群，建设算力超市，发放4年总额10亿元算力券。</w:t>
      </w:r>
    </w:p>
    <w:p w14:paraId="63180C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数据融通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：构建可信数据供给体系，新增5个公共数据授权运营领域。</w:t>
      </w:r>
    </w:p>
    <w:p w14:paraId="7FAD3D6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jc w:val="both"/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8"/>
          <w:szCs w:val="16"/>
          <w:u w:val="none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8"/>
          <w:szCs w:val="16"/>
          <w:u w:val="none"/>
        </w:rPr>
        <w:t>四、政策保障体系</w:t>
      </w:r>
    </w:p>
    <w:p w14:paraId="0B2C8B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资金支持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：设立年度2.5亿元算力券，引导产业基金规模超1000亿元。</w:t>
      </w:r>
    </w:p>
    <w:p w14:paraId="07B0F2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人才培育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：加强复合型人才自主培养，鼓励校企共建研究院。</w:t>
      </w:r>
    </w:p>
    <w:p w14:paraId="737FB8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hint="default" w:ascii="PingFang SC" w:hAnsi="PingFang SC" w:eastAsia="宋体" w:cs="PingFang SC"/>
          <w:b w:val="0"/>
          <w:i w:val="0"/>
          <w:strike w:val="0"/>
          <w:color w:val="auto"/>
          <w:sz w:val="24"/>
          <w:szCs w:val="16"/>
          <w:u w:val="none"/>
        </w:rPr>
      </w:pPr>
      <w:r>
        <w:rPr>
          <w:rStyle w:val="8"/>
          <w:rFonts w:hint="default" w:ascii="PingFang SC" w:hAnsi="PingFang SC" w:eastAsia="宋体" w:cs="PingFang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组织保障</w:t>
      </w: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：成立具身智能产业联盟和人工智能产业创新中心，构建政产学研用协同平台。</w:t>
      </w:r>
    </w:p>
    <w:p w14:paraId="49F2609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jc w:val="both"/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8"/>
          <w:szCs w:val="16"/>
          <w:u w:val="none"/>
        </w:rPr>
      </w:pPr>
      <w:r>
        <w:rPr>
          <w:rFonts w:hint="default" w:ascii="PingFang SC" w:hAnsi="PingFang SC" w:eastAsia="宋体" w:cs="PingFang SC"/>
          <w:b/>
          <w:bCs/>
          <w:i w:val="0"/>
          <w:iCs w:val="0"/>
          <w:caps w:val="0"/>
          <w:strike w:val="0"/>
          <w:color w:val="auto"/>
          <w:spacing w:val="0"/>
          <w:sz w:val="28"/>
          <w:szCs w:val="16"/>
          <w:u w:val="none"/>
        </w:rPr>
        <w:t>五、实施进度与展望</w:t>
      </w:r>
    </w:p>
    <w:p w14:paraId="52B774AD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default" w:ascii="PingFang SC" w:hAnsi="PingFang SC" w:eastAsia="宋体" w:cs="PingFang SC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杭州已启动首批15个场景创新联合体培育项目，推动智算中心落地，开展数据要素市场化改革试点。通过持续政策迭代和资源投入，杭州正打造"我负责阳光雨露，你负责茁壮成长"的一流营商环境，为全国人工智能产业发展提供"杭州样板"。</w:t>
      </w:r>
    </w:p>
    <w:p w14:paraId="294F82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D6D9F"/>
    <w:multiLevelType w:val="multilevel"/>
    <w:tmpl w:val="831D6D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2A6501"/>
    <w:multiLevelType w:val="multilevel"/>
    <w:tmpl w:val="9B2A65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EC904B7"/>
    <w:multiLevelType w:val="multilevel"/>
    <w:tmpl w:val="9EC904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E67B80C"/>
    <w:multiLevelType w:val="multilevel"/>
    <w:tmpl w:val="AE67B8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026A207"/>
    <w:multiLevelType w:val="multilevel"/>
    <w:tmpl w:val="C026A2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B09F80F"/>
    <w:multiLevelType w:val="multilevel"/>
    <w:tmpl w:val="EB09F8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E3E9B9E"/>
    <w:multiLevelType w:val="multilevel"/>
    <w:tmpl w:val="0E3E9B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DADA854"/>
    <w:multiLevelType w:val="multilevel"/>
    <w:tmpl w:val="4DADA8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6"/>
  </w:num>
  <w:num w:numId="5">
    <w:abstractNumId w:val="4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2B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2026-08-03T13:09:15Z</dcterms:created>
  <dc:creator>Lenovo</dc:creator>
  <cp:lastModifiedBy>Anson</cp:lastModifiedBy>
  <dcterms:modified xsi:type="dcterms:W3CDTF">2026-08-03T13:09:38Z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eyJoZGlkIjoiMDljYzUzMWQ4OWI0YzBkYjYzMDRhZTY5ZjZkYmFmYTgiLCJ1c2VySWQiOiI0MzU1NzQ3NTQifQ==</vt:lpwstr>
  </property>
  <property fmtid="{D5CDD505-2E9C-101B-9397-08002B2CF9AE}" pid="4" name="ICV">
    <vt:lpwstr>25A00A07478E4BAFA6A23AF1E37902D6_12</vt:lpwstr>
  </property>
</Properties>
</file>