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mc:Ignorable="w14 wp14">
  <w:body>
    <w:p>
      <w:pPr>
        <w:spacing w:line="320"/>
        <w:ind w:firstLine="600"/>
        <w:jc w:val="center"/>
        <w:textAlignment w:val="center"/>
        <w:rPr>
          <w:rFonts w:ascii="仿宋" w:eastAsia="仿宋" w:hAnsi="仿宋"/>
          <w:sz w:val="52"/>
        </w:rPr>
      </w:pPr>
      <w:r w:rsidRPr="00822A48">
        <w:rPr>
          <w:rFonts w:ascii="黑体" w:eastAsia="黑体" w:hAnsi="黑体" w:cs="黑体"/>
          <w:b/>
          <w:color w:val="000000"/>
          <w:sz w:val="48"/>
        </w:rPr>
        <w:t xml:space="preserve">《杭州市人工智能创新高地建设2026年行动计划》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为深入贯彻落实国家《新一代人工智能发展规划》《浙江省人工智能产业发展行动计划（</w:t>
      </w:r>
      <w:r w:rsidRPr="00822A48">
        <w:rPr>
          <w:rFonts w:ascii="仿宋" w:eastAsia="仿宋" w:hAnsi="仿宋" w:cs="仿宋"/>
          <w:color w:val="000000"/>
          <w:sz w:val="36"/>
        </w:rPr>
        <w:t xml:space="preserve">2023—2027</w:t>
      </w:r>
      <w:r w:rsidRPr="00822A48">
        <w:rPr>
          <w:rFonts w:ascii="仿宋" w:eastAsia="仿宋" w:hAnsi="仿宋" w:cs="仿宋"/>
          <w:color w:val="000000"/>
          <w:sz w:val="36"/>
        </w:rPr>
        <w:t xml:space="preserve">年）》，锚定打造全球领先的人工智能创新高地战略目标，结合杭州市产业基础与发展实际，制定本行动计划，实施期限为</w:t>
      </w:r>
      <w:r w:rsidRPr="00822A48">
        <w:rPr>
          <w:rFonts w:ascii="仿宋" w:eastAsia="仿宋" w:hAnsi="仿宋" w:cs="仿宋"/>
          <w:color w:val="000000"/>
          <w:sz w:val="36"/>
        </w:rPr>
        <w:t xml:space="preserve">2024</w:t>
      </w:r>
      <w:r w:rsidRPr="00822A48">
        <w:rPr>
          <w:rFonts w:ascii="仿宋" w:eastAsia="仿宋" w:hAnsi="仿宋" w:cs="仿宋"/>
          <w:color w:val="000000"/>
          <w:sz w:val="36"/>
        </w:rPr>
        <w:t xml:space="preserve">年至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一、总体要求与发展目标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（一）总体要求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坚持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技术策源、场景驱动、产业集聚、安全可控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核心原则，以通用人工智能突破为主攻方向，强化底层技术攻关、应用场景开放、产业生态培育三位一体推进，构建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基础层</w:t>
      </w:r>
      <w:r w:rsidRPr="00822A48">
        <w:rPr>
          <w:rFonts w:ascii="仿宋" w:eastAsia="仿宋" w:hAnsi="仿宋" w:cs="仿宋"/>
          <w:color w:val="000000"/>
          <w:sz w:val="36"/>
        </w:rPr>
        <w:t xml:space="preserve">-</w:t>
      </w:r>
      <w:r w:rsidRPr="00822A48">
        <w:rPr>
          <w:rFonts w:ascii="仿宋" w:eastAsia="仿宋" w:hAnsi="仿宋" w:cs="仿宋"/>
          <w:color w:val="000000"/>
          <w:sz w:val="36"/>
        </w:rPr>
        <w:t xml:space="preserve">技术层</w:t>
      </w:r>
      <w:r w:rsidRPr="00822A48">
        <w:rPr>
          <w:rFonts w:ascii="仿宋" w:eastAsia="仿宋" w:hAnsi="仿宋" w:cs="仿宋"/>
          <w:color w:val="000000"/>
          <w:sz w:val="36"/>
        </w:rPr>
        <w:t xml:space="preserve">-</w:t>
      </w:r>
      <w:r w:rsidRPr="00822A48">
        <w:rPr>
          <w:rFonts w:ascii="仿宋" w:eastAsia="仿宋" w:hAnsi="仿宋" w:cs="仿宋"/>
          <w:color w:val="000000"/>
          <w:sz w:val="36"/>
        </w:rPr>
        <w:t xml:space="preserve">应用层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全链条自主可控产业体系，推动人工智能与实体经济、城市治理、民生服务深度融合，为杭州建设世界一流社会主义现代化国际大都市提供核心技术支撑。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（二）核心目标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年，全市人工智能产业核心竞争力进入全球第一方阵，全面建成具有国际影响力的人工智能创新高地：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1.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产业规模</w:t>
      </w:r>
      <w:r w:rsidRPr="00822A48">
        <w:rPr>
          <w:rFonts w:ascii="仿宋" w:eastAsia="仿宋" w:hAnsi="仿宋" w:cs="仿宋"/>
          <w:color w:val="000000"/>
          <w:sz w:val="36"/>
        </w:rPr>
        <w:t xml:space="preserve">：人工智能核心产业规模突破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3500</w:t>
      </w:r>
      <w:r w:rsidRPr="00822A48">
        <w:rPr>
          <w:rFonts w:ascii="仿宋" w:eastAsia="仿宋" w:hAnsi="仿宋" w:cs="仿宋"/>
          <w:color w:val="000000"/>
          <w:sz w:val="36"/>
        </w:rPr>
        <w:t xml:space="preserve">亿元，带动相关产业规模突破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1.2</w:t>
      </w:r>
      <w:r w:rsidRPr="00822A48">
        <w:rPr>
          <w:rFonts w:ascii="仿宋" w:eastAsia="仿宋" w:hAnsi="仿宋" w:cs="仿宋"/>
          <w:color w:val="000000"/>
          <w:sz w:val="36"/>
        </w:rPr>
        <w:t xml:space="preserve">万</w:t>
      </w:r>
      <w:r w:rsidRPr="00822A48">
        <w:rPr>
          <w:rFonts w:ascii="仿宋" w:eastAsia="仿宋" w:hAnsi="仿宋" w:cs="仿宋"/>
          <w:color w:val="000000"/>
          <w:sz w:val="36"/>
        </w:rPr>
        <w:t xml:space="preserve">亿元，培育人工智能上市企业</w:t>
      </w:r>
      <w:r w:rsidRPr="00822A48">
        <w:rPr>
          <w:rFonts w:ascii="仿宋" w:eastAsia="仿宋" w:hAnsi="仿宋" w:cs="仿宋"/>
          <w:color w:val="000000"/>
          <w:sz w:val="36"/>
        </w:rPr>
        <w:t xml:space="preserve">25</w:t>
      </w:r>
      <w:r w:rsidRPr="00822A48">
        <w:rPr>
          <w:rFonts w:ascii="仿宋" w:eastAsia="仿宋" w:hAnsi="仿宋" w:cs="仿宋"/>
          <w:color w:val="000000"/>
          <w:sz w:val="36"/>
        </w:rPr>
        <w:t xml:space="preserve">家以上，国家级专精特新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小巨人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人工智能企业</w:t>
      </w:r>
      <w:r w:rsidRPr="00822A48">
        <w:rPr>
          <w:rFonts w:ascii="仿宋" w:eastAsia="仿宋" w:hAnsi="仿宋" w:cs="仿宋"/>
          <w:color w:val="000000"/>
          <w:sz w:val="36"/>
        </w:rPr>
        <w:t xml:space="preserve">80</w:t>
      </w:r>
      <w:r w:rsidRPr="00822A48">
        <w:rPr>
          <w:rFonts w:ascii="仿宋" w:eastAsia="仿宋" w:hAnsi="仿宋" w:cs="仿宋"/>
          <w:color w:val="000000"/>
          <w:sz w:val="36"/>
        </w:rPr>
        <w:t xml:space="preserve">家以上，进入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中国人工智能企业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强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企业数量突破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20</w:t>
      </w:r>
      <w:r w:rsidRPr="00822A48">
        <w:rPr>
          <w:rFonts w:ascii="仿宋" w:eastAsia="仿宋" w:hAnsi="仿宋" w:cs="仿宋"/>
          <w:color w:val="000000"/>
          <w:sz w:val="36"/>
        </w:rPr>
        <w:t xml:space="preserve">家，形成</w:t>
      </w:r>
      <w:r w:rsidRPr="00822A48">
        <w:rPr>
          <w:rFonts w:ascii="仿宋" w:eastAsia="仿宋" w:hAnsi="仿宋" w:cs="仿宋"/>
          <w:color w:val="000000"/>
          <w:sz w:val="36"/>
        </w:rPr>
        <w:t xml:space="preserve">3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个以上千亿级人工智能细分产业集群。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2.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技术创新</w:t>
      </w:r>
      <w:r w:rsidRPr="00822A48">
        <w:rPr>
          <w:rFonts w:ascii="仿宋" w:eastAsia="仿宋" w:hAnsi="仿宋" w:cs="仿宋"/>
          <w:color w:val="000000"/>
          <w:sz w:val="36"/>
        </w:rPr>
        <w:t xml:space="preserve">：人工智能领域累计授权发明专利突破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2</w:t>
      </w:r>
      <w:r w:rsidRPr="00822A48">
        <w:rPr>
          <w:rFonts w:ascii="仿宋" w:eastAsia="仿宋" w:hAnsi="仿宋" w:cs="仿宋"/>
          <w:color w:val="000000"/>
          <w:sz w:val="36"/>
        </w:rPr>
        <w:t xml:space="preserve">万件，在通用大模型、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芯片、具身智能、</w:t>
      </w:r>
      <w:r w:rsidRPr="00822A48">
        <w:rPr>
          <w:rFonts w:ascii="仿宋" w:eastAsia="仿宋" w:hAnsi="仿宋" w:cs="仿宋"/>
          <w:color w:val="000000"/>
          <w:sz w:val="36"/>
        </w:rPr>
        <w:t xml:space="preserve">AI for Science</w:t>
      </w:r>
      <w:r w:rsidRPr="00822A48">
        <w:rPr>
          <w:rFonts w:ascii="仿宋" w:eastAsia="仿宋" w:hAnsi="仿宋" w:cs="仿宋"/>
          <w:color w:val="000000"/>
          <w:sz w:val="36"/>
        </w:rPr>
        <w:t xml:space="preserve">等领域取得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项以上填补国内空白的关键技术成果，主导或参与制定人工智能国际、国家标准</w:t>
      </w:r>
      <w:r w:rsidRPr="00822A48">
        <w:rPr>
          <w:rFonts w:ascii="仿宋" w:eastAsia="仿宋" w:hAnsi="仿宋" w:cs="仿宋"/>
          <w:color w:val="000000"/>
          <w:sz w:val="36"/>
        </w:rPr>
        <w:t xml:space="preserve">50</w:t>
      </w:r>
      <w:r w:rsidRPr="00822A48">
        <w:rPr>
          <w:rFonts w:ascii="仿宋" w:eastAsia="仿宋" w:hAnsi="仿宋" w:cs="仿宋"/>
          <w:color w:val="000000"/>
          <w:sz w:val="36"/>
        </w:rPr>
        <w:t xml:space="preserve">项以上，城西科创大走廊成为全球重要的人工智能技术策源地。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3.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基础设施</w:t>
      </w:r>
      <w:r w:rsidRPr="00822A48">
        <w:rPr>
          <w:rFonts w:ascii="仿宋" w:eastAsia="仿宋" w:hAnsi="仿宋" w:cs="仿宋"/>
          <w:color w:val="000000"/>
          <w:sz w:val="36"/>
        </w:rPr>
        <w:t xml:space="preserve">：全市公共智能算力总规模突破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50EFLOPS</w:t>
      </w:r>
      <w:r w:rsidRPr="00822A48">
        <w:rPr>
          <w:rFonts w:ascii="仿宋" w:eastAsia="仿宋" w:hAnsi="仿宋" w:cs="仿宋"/>
          <w:color w:val="000000"/>
          <w:sz w:val="36"/>
        </w:rPr>
        <w:t xml:space="preserve">（</w:t>
      </w:r>
      <w:r w:rsidRPr="00822A48">
        <w:rPr>
          <w:rFonts w:ascii="仿宋" w:eastAsia="仿宋" w:hAnsi="仿宋" w:cs="仿宋"/>
          <w:color w:val="000000"/>
          <w:sz w:val="36"/>
        </w:rPr>
        <w:t xml:space="preserve">FP1</w:t>
      </w:r>
      <w:r w:rsidRPr="00822A48">
        <w:rPr>
          <w:rFonts w:ascii="仿宋" w:eastAsia="仿宋" w:hAnsi="仿宋" w:cs="仿宋"/>
          <w:color w:val="000000"/>
          <w:sz w:val="36"/>
        </w:rPr>
        <w:t xml:space="preserve">6</w:t>
      </w:r>
      <w:r w:rsidRPr="00822A48">
        <w:rPr>
          <w:rFonts w:ascii="仿宋" w:eastAsia="仿宋" w:hAnsi="仿宋" w:cs="仿宋"/>
          <w:color w:val="000000"/>
          <w:sz w:val="36"/>
        </w:rPr>
        <w:t xml:space="preserve">精度），建成覆盖全市的低时延算力调度网络，平均算力响应时间压缩至</w:t>
      </w:r>
      <w:r w:rsidRPr="00822A48">
        <w:rPr>
          <w:rFonts w:ascii="仿宋" w:eastAsia="仿宋" w:hAnsi="仿宋" w:cs="仿宋"/>
          <w:color w:val="000000"/>
          <w:sz w:val="36"/>
        </w:rPr>
        <w:t xml:space="preserve">10</w:t>
      </w:r>
      <w:r w:rsidRPr="00822A48">
        <w:rPr>
          <w:rFonts w:ascii="仿宋" w:eastAsia="仿宋" w:hAnsi="仿宋" w:cs="仿宋"/>
          <w:color w:val="000000"/>
          <w:sz w:val="36"/>
        </w:rPr>
        <w:t xml:space="preserve">毫秒以内，公共数据开放规模突破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100PB</w:t>
      </w:r>
      <w:r w:rsidRPr="00822A48">
        <w:rPr>
          <w:rFonts w:ascii="仿宋" w:eastAsia="仿宋" w:hAnsi="仿宋" w:cs="仿宋"/>
          <w:color w:val="000000"/>
          <w:sz w:val="36"/>
        </w:rPr>
        <w:t xml:space="preserve">，建成</w:t>
      </w:r>
      <w:r w:rsidRPr="00822A48">
        <w:rPr>
          <w:rFonts w:ascii="仿宋" w:eastAsia="仿宋" w:hAnsi="仿宋" w:cs="仿宋"/>
          <w:color w:val="000000"/>
          <w:sz w:val="36"/>
        </w:rPr>
        <w:t xml:space="preserve">200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个以上高质量垂直领域标注数据集，人工智能基础支撑能力达到国内领先水平。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4.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应用渗透</w:t>
      </w:r>
      <w:r w:rsidRPr="00822A48">
        <w:rPr>
          <w:rFonts w:ascii="仿宋" w:eastAsia="仿宋" w:hAnsi="仿宋" w:cs="仿宋"/>
          <w:color w:val="000000"/>
          <w:sz w:val="36"/>
        </w:rPr>
        <w:t xml:space="preserve">：规模以上制造业企业人工智能应用覆盖率达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60%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，政务服务事项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辅助办理率达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90%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，三甲医院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辅助诊断覆盖率达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，主城区交通路口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信号调控覆盖率达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，教育、养老、文旅等重点民生领域人工智能应用实现全覆盖，全场景人工智能赋能体系基本建成。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二、核心技术攻坚行动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聚焦人工智能关键核心技术痛点</w:t>
      </w:r>
      <w:r w:rsidRPr="00822A48">
        <w:rPr>
          <w:rFonts w:ascii="仿宋" w:eastAsia="仿宋" w:hAnsi="仿宋" w:cs="仿宋"/>
          <w:color w:val="000000"/>
          <w:sz w:val="36"/>
        </w:rPr>
        <w:t xml:space="preserve">，构建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通用技术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前沿技术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底层硬件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协同攻关体系，实现高水平科技自立自强。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（一）通用人工智能技术攻关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实施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大模型双梯队培育计划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：基础层重点支持之江实验室、阿里达摩院、网易伏羲等机构开展通用大模型研发，突破多模态融合理解、长上下文处理、低资源适配、安全对齐等核心技术，到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年打造</w:t>
      </w:r>
      <w:r w:rsidRPr="00822A48">
        <w:rPr>
          <w:rFonts w:ascii="仿宋" w:eastAsia="仿宋" w:hAnsi="仿宋" w:cs="仿宋"/>
          <w:color w:val="000000"/>
          <w:sz w:val="36"/>
        </w:rPr>
        <w:t xml:space="preserve">3-5</w:t>
      </w:r>
      <w:r w:rsidRPr="00822A48">
        <w:rPr>
          <w:rFonts w:ascii="仿宋" w:eastAsia="仿宋" w:hAnsi="仿宋" w:cs="仿宋"/>
          <w:color w:val="000000"/>
          <w:sz w:val="36"/>
        </w:rPr>
        <w:t xml:space="preserve">个参数规模超万亿、性能达到国际领先水平的通用大模型产品，平均推理成本较</w:t>
      </w:r>
      <w:r w:rsidRPr="00822A48">
        <w:rPr>
          <w:rFonts w:ascii="仿宋" w:eastAsia="仿宋" w:hAnsi="仿宋" w:cs="仿宋"/>
          <w:color w:val="000000"/>
          <w:sz w:val="36"/>
        </w:rPr>
        <w:t xml:space="preserve">2023</w:t>
      </w:r>
      <w:r w:rsidRPr="00822A48">
        <w:rPr>
          <w:rFonts w:ascii="仿宋" w:eastAsia="仿宋" w:hAnsi="仿宋" w:cs="仿宋"/>
          <w:color w:val="000000"/>
          <w:sz w:val="36"/>
        </w:rPr>
        <w:t xml:space="preserve">年降低</w:t>
      </w:r>
      <w:r w:rsidRPr="00822A48">
        <w:rPr>
          <w:rFonts w:ascii="仿宋" w:eastAsia="仿宋" w:hAnsi="仿宋" w:cs="仿宋"/>
          <w:color w:val="000000"/>
          <w:sz w:val="36"/>
        </w:rPr>
        <w:t xml:space="preserve">60%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以上；应用层重点面向智能制造、智慧医疗、智慧金融、</w:t>
      </w:r>
      <w:r w:rsidRPr="00822A48">
        <w:rPr>
          <w:rFonts w:ascii="仿宋" w:eastAsia="仿宋" w:hAnsi="仿宋" w:cs="仿宋"/>
          <w:color w:val="000000"/>
          <w:sz w:val="36"/>
        </w:rPr>
        <w:t xml:space="preserve">智慧政务等垂直领域，培育</w:t>
      </w:r>
      <w:r w:rsidRPr="00822A48">
        <w:rPr>
          <w:rFonts w:ascii="仿宋" w:eastAsia="仿宋" w:hAnsi="仿宋" w:cs="仿宋"/>
          <w:color w:val="000000"/>
          <w:sz w:val="36"/>
        </w:rPr>
        <w:t xml:space="preserve">20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个以上适配行业需求、落地效果显著的标杆级行业大模</w:t>
      </w:r>
      <w:r w:rsidRPr="00822A48">
        <w:rPr>
          <w:rFonts w:ascii="仿宋" w:eastAsia="仿宋" w:hAnsi="仿宋" w:cs="仿宋"/>
          <w:color w:val="000000"/>
          <w:sz w:val="36"/>
        </w:rPr>
        <w:t xml:space="preserve">型，降低中小微企业大模型使用门槛</w:t>
      </w:r>
      <w:r w:rsidRPr="00822A48">
        <w:rPr>
          <w:rFonts w:ascii="仿宋" w:eastAsia="仿宋" w:hAnsi="仿宋" w:cs="仿宋"/>
          <w:color w:val="000000"/>
          <w:sz w:val="36"/>
        </w:rPr>
        <w:t xml:space="preserve">30%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（二）前沿技术前瞻布局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重点布局类脑智能、量子人工智能、具身智能、</w:t>
      </w:r>
      <w:r w:rsidRPr="00822A48">
        <w:rPr>
          <w:rFonts w:ascii="仿宋" w:eastAsia="仿宋" w:hAnsi="仿宋" w:cs="仿宋"/>
          <w:color w:val="000000"/>
          <w:sz w:val="36"/>
        </w:rPr>
        <w:t xml:space="preserve">AI for Science</w:t>
      </w:r>
      <w:r w:rsidRPr="00822A48">
        <w:rPr>
          <w:rFonts w:ascii="仿宋" w:eastAsia="仿宋" w:hAnsi="仿宋" w:cs="仿宋"/>
          <w:color w:val="000000"/>
          <w:sz w:val="36"/>
        </w:rPr>
        <w:t xml:space="preserve">等前沿方向：支持西湖大学、浙江大学脑科学与脑医学学院开展类脑计算架构、神经形态芯片研发，到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年建成</w:t>
      </w:r>
      <w:r w:rsidRPr="00822A48">
        <w:rPr>
          <w:rFonts w:ascii="仿宋" w:eastAsia="仿宋" w:hAnsi="仿宋" w:cs="仿宋"/>
          <w:color w:val="000000"/>
          <w:sz w:val="36"/>
        </w:rPr>
        <w:t xml:space="preserve">1</w:t>
      </w:r>
      <w:r w:rsidRPr="00822A48">
        <w:rPr>
          <w:rFonts w:ascii="仿宋" w:eastAsia="仿宋" w:hAnsi="仿宋" w:cs="仿宋"/>
          <w:color w:val="000000"/>
          <w:sz w:val="36"/>
        </w:rPr>
        <w:t xml:space="preserve">个国际领先的类脑智能研发平台；围绕人形机器人核心需求，突破具身感知、运动控制、人机交互等关键技术，培育</w:t>
      </w:r>
      <w:r w:rsidRPr="00822A48">
        <w:rPr>
          <w:rFonts w:ascii="仿宋" w:eastAsia="仿宋" w:hAnsi="仿宋" w:cs="仿宋"/>
          <w:color w:val="000000"/>
          <w:sz w:val="36"/>
        </w:rPr>
        <w:t xml:space="preserve">5</w:t>
      </w:r>
      <w:r w:rsidRPr="00822A48">
        <w:rPr>
          <w:rFonts w:ascii="仿宋" w:eastAsia="仿宋" w:hAnsi="仿宋" w:cs="仿宋"/>
          <w:color w:val="000000"/>
          <w:sz w:val="36"/>
        </w:rPr>
        <w:t xml:space="preserve">款以上具备商业化落地能力的人形机器人产品；在新药研发、新材料创制、气候模拟、基因测序等领域打造</w:t>
      </w:r>
      <w:r w:rsidRPr="00822A48">
        <w:rPr>
          <w:rFonts w:ascii="仿宋" w:eastAsia="仿宋" w:hAnsi="仿宋" w:cs="仿宋"/>
          <w:color w:val="000000"/>
          <w:sz w:val="36"/>
        </w:rPr>
        <w:t xml:space="preserve">15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</w:t>
      </w:r>
      <w:r w:rsidRPr="00822A48">
        <w:rPr>
          <w:rFonts w:ascii="仿宋" w:eastAsia="仿宋" w:hAnsi="仿宋" w:cs="仿宋"/>
          <w:color w:val="000000"/>
          <w:sz w:val="36"/>
        </w:rPr>
        <w:t xml:space="preserve">AI for Science</w:t>
      </w:r>
      <w:r w:rsidRPr="00822A48">
        <w:rPr>
          <w:rFonts w:ascii="仿宋" w:eastAsia="仿宋" w:hAnsi="仿宋" w:cs="仿宋"/>
          <w:color w:val="000000"/>
          <w:sz w:val="36"/>
        </w:rPr>
        <w:t xml:space="preserve">典型应用场景，研发效率较传统模</w:t>
      </w:r>
      <w:r w:rsidRPr="00822A48">
        <w:rPr>
          <w:rFonts w:ascii="仿宋" w:eastAsia="仿宋" w:hAnsi="仿宋" w:cs="仿宋"/>
          <w:color w:val="000000"/>
          <w:sz w:val="36"/>
        </w:rPr>
        <w:t xml:space="preserve">式提升</w:t>
      </w:r>
      <w:r w:rsidRPr="00822A48">
        <w:rPr>
          <w:rFonts w:ascii="仿宋" w:eastAsia="仿宋" w:hAnsi="仿宋" w:cs="仿宋"/>
          <w:color w:val="000000"/>
          <w:sz w:val="36"/>
        </w:rPr>
        <w:t xml:space="preserve">50%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（三）关键软硬件自主可控攻关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实施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核心软硬件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补链强链计划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：重点支持</w:t>
      </w:r>
      <w:r w:rsidRPr="00822A48">
        <w:rPr>
          <w:rFonts w:ascii="仿宋" w:eastAsia="仿宋" w:hAnsi="仿宋" w:cs="仿宋"/>
          <w:color w:val="000000"/>
          <w:sz w:val="36"/>
        </w:rPr>
        <w:t xml:space="preserve">GPU</w:t>
      </w:r>
      <w:r w:rsidRPr="00822A48">
        <w:rPr>
          <w:rFonts w:ascii="仿宋" w:eastAsia="仿宋" w:hAnsi="仿宋" w:cs="仿宋"/>
          <w:color w:val="000000"/>
          <w:sz w:val="36"/>
        </w:rPr>
        <w:t xml:space="preserve">、</w:t>
      </w:r>
      <w:r w:rsidRPr="00822A48">
        <w:rPr>
          <w:rFonts w:ascii="仿宋" w:eastAsia="仿宋" w:hAnsi="仿宋" w:cs="仿宋"/>
          <w:color w:val="000000"/>
          <w:sz w:val="36"/>
        </w:rPr>
        <w:t xml:space="preserve">NPU</w:t>
      </w:r>
      <w:r w:rsidRPr="00822A48">
        <w:rPr>
          <w:rFonts w:ascii="仿宋" w:eastAsia="仿宋" w:hAnsi="仿宋" w:cs="仿宋"/>
          <w:color w:val="000000"/>
          <w:sz w:val="36"/>
        </w:rPr>
        <w:t xml:space="preserve">、存算一体芯片等人工智能专用芯片研发，到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年推出</w:t>
      </w:r>
      <w:r w:rsidRPr="00822A48">
        <w:rPr>
          <w:rFonts w:ascii="仿宋" w:eastAsia="仿宋" w:hAnsi="仿宋" w:cs="仿宋"/>
          <w:color w:val="000000"/>
          <w:sz w:val="36"/>
        </w:rPr>
        <w:t xml:space="preserve">3</w:t>
      </w:r>
      <w:r w:rsidRPr="00822A48">
        <w:rPr>
          <w:rFonts w:ascii="仿宋" w:eastAsia="仿宋" w:hAnsi="仿宋" w:cs="仿宋"/>
          <w:color w:val="000000"/>
          <w:sz w:val="36"/>
        </w:rPr>
        <w:t xml:space="preserve">款以上性能达到国际先进水平的自主可控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芯片，车载、工业级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芯片国产化率提升至</w:t>
      </w:r>
      <w:r w:rsidRPr="00822A48">
        <w:rPr>
          <w:rFonts w:ascii="仿宋" w:eastAsia="仿宋" w:hAnsi="仿宋" w:cs="仿宋"/>
          <w:color w:val="000000"/>
          <w:sz w:val="36"/>
        </w:rPr>
        <w:t xml:space="preserve">40%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以上；支持自主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框架、算子库、开发工具迭代升级，培育</w:t>
      </w:r>
      <w:r w:rsidRPr="00822A48">
        <w:rPr>
          <w:rFonts w:ascii="仿宋" w:eastAsia="仿宋" w:hAnsi="仿宋" w:cs="仿宋"/>
          <w:color w:val="000000"/>
          <w:sz w:val="36"/>
        </w:rPr>
        <w:t xml:space="preserve">2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个以上国内市场占有率</w:t>
      </w:r>
      <w:r w:rsidRPr="00822A48">
        <w:rPr>
          <w:rFonts w:ascii="仿宋" w:eastAsia="仿宋" w:hAnsi="仿宋" w:cs="仿宋"/>
          <w:color w:val="000000"/>
          <w:sz w:val="36"/>
        </w:rPr>
        <w:t xml:space="preserve">TOP5</w:t>
      </w:r>
      <w:r w:rsidRPr="00822A48">
        <w:rPr>
          <w:rFonts w:ascii="仿宋" w:eastAsia="仿宋" w:hAnsi="仿宋" w:cs="仿宋"/>
          <w:color w:val="000000"/>
          <w:sz w:val="36"/>
        </w:rPr>
        <w:t xml:space="preserve">的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开源框架，构建全栈自主可控的人工智能技术底座。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三、产业生态培育行动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构建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梯次企业培育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全场景开放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特色载体支撑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的产业发展生态，推动人工智能产业规模化集聚发展。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（一）</w:t>
      </w:r>
      <w:r w:rsidRPr="00822A48">
        <w:rPr>
          <w:rFonts w:ascii="仿宋" w:eastAsia="仿宋" w:hAnsi="仿宋" w:cs="仿宋"/>
          <w:color w:val="000000"/>
          <w:sz w:val="36"/>
        </w:rPr>
        <w:t xml:space="preserve">梯次企业培育工程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实施人工智能龙头企业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领航计划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：支持阿里巴巴、海康威视、大华股份、网易等头部人工智能企业建设全球研发中心，鼓励龙头企业开放技术、算力、场景资源，带动产业链上下游中小企业协同发展，到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年培育</w:t>
      </w:r>
      <w:r w:rsidRPr="00822A48">
        <w:rPr>
          <w:rFonts w:ascii="仿宋" w:eastAsia="仿宋" w:hAnsi="仿宋" w:cs="仿宋"/>
          <w:color w:val="000000"/>
          <w:sz w:val="36"/>
        </w:rPr>
        <w:t xml:space="preserve">3</w:t>
      </w:r>
      <w:r w:rsidRPr="00822A48">
        <w:rPr>
          <w:rFonts w:ascii="仿宋" w:eastAsia="仿宋" w:hAnsi="仿宋" w:cs="仿宋"/>
          <w:color w:val="000000"/>
          <w:sz w:val="36"/>
        </w:rPr>
        <w:t xml:space="preserve">家以上营收超千亿元的人工智能领航企业，</w:t>
      </w:r>
      <w:r w:rsidRPr="00822A48">
        <w:rPr>
          <w:rFonts w:ascii="仿宋" w:eastAsia="仿宋" w:hAnsi="仿宋" w:cs="仿宋"/>
          <w:color w:val="000000"/>
          <w:sz w:val="36"/>
        </w:rPr>
        <w:t xml:space="preserve">10</w:t>
      </w:r>
      <w:r w:rsidRPr="00822A48">
        <w:rPr>
          <w:rFonts w:ascii="仿宋" w:eastAsia="仿宋" w:hAnsi="仿宋" w:cs="仿宋"/>
          <w:color w:val="000000"/>
          <w:sz w:val="36"/>
        </w:rPr>
        <w:t xml:space="preserve">家以上营收超百亿元的人工智能骨干企业；实施初创企业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雏鹰计划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，依托未来科技城、滨江人工智能产业园等孵化载体，每年孵化人工智能领域初创企业</w:t>
      </w:r>
      <w:r w:rsidRPr="00822A48">
        <w:rPr>
          <w:rFonts w:ascii="仿宋" w:eastAsia="仿宋" w:hAnsi="仿宋" w:cs="仿宋"/>
          <w:color w:val="000000"/>
          <w:sz w:val="36"/>
        </w:rPr>
        <w:t xml:space="preserve">150</w:t>
      </w:r>
      <w:r w:rsidRPr="00822A48">
        <w:rPr>
          <w:rFonts w:ascii="仿宋" w:eastAsia="仿宋" w:hAnsi="仿宋" w:cs="仿宋"/>
          <w:color w:val="000000"/>
          <w:sz w:val="36"/>
        </w:rPr>
        <w:t xml:space="preserve">家以上，对获得天使轮及以上风险投资的初创企业给予最高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万元的创业补贴，对首次入选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中国人工智能企业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强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的企业给予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万元一次性奖励。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（二）</w:t>
      </w:r>
      <w:r w:rsidRPr="00822A48">
        <w:rPr>
          <w:rFonts w:ascii="仿宋" w:eastAsia="仿宋" w:hAnsi="仿宋" w:cs="仿宋"/>
          <w:color w:val="000000"/>
          <w:sz w:val="36"/>
        </w:rPr>
        <w:t xml:space="preserve">“AI+</w:t>
      </w:r>
      <w:r w:rsidRPr="00822A48">
        <w:rPr>
          <w:rFonts w:ascii="仿宋" w:eastAsia="仿宋" w:hAnsi="仿宋" w:cs="仿宋"/>
          <w:color w:val="000000"/>
          <w:sz w:val="36"/>
        </w:rPr>
        <w:t xml:space="preserve">百业千景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示范工程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面向实体经济、城市治理、民生服务三大领域，推出</w:t>
      </w:r>
      <w:r w:rsidRPr="00822A48">
        <w:rPr>
          <w:rFonts w:ascii="仿宋" w:eastAsia="仿宋" w:hAnsi="仿宋" w:cs="仿宋"/>
          <w:color w:val="000000"/>
          <w:sz w:val="36"/>
        </w:rPr>
        <w:t xml:space="preserve">1000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个以上人工智能应用场景，实行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揭榜挂帅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制度，鼓励企业参与场景建设：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1.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AI+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智能制造</w:t>
      </w:r>
      <w:r w:rsidRPr="00822A48">
        <w:rPr>
          <w:rFonts w:ascii="仿宋" w:eastAsia="仿宋" w:hAnsi="仿宋" w:cs="仿宋"/>
          <w:color w:val="000000"/>
          <w:sz w:val="36"/>
        </w:rPr>
        <w:t xml:space="preserve">：围绕离散制造、流程制造等领域，支持企业部署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质量检测、智能调度、预测性维护等应用，到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年打造</w:t>
      </w:r>
      <w:r w:rsidRPr="00822A48">
        <w:rPr>
          <w:rFonts w:ascii="仿宋" w:eastAsia="仿宋" w:hAnsi="仿宋" w:cs="仿宋"/>
          <w:color w:val="000000"/>
          <w:sz w:val="36"/>
        </w:rPr>
        <w:t xml:space="preserve">500</w:t>
      </w:r>
      <w:r w:rsidRPr="00822A48">
        <w:rPr>
          <w:rFonts w:ascii="仿宋" w:eastAsia="仿宋" w:hAnsi="仿宋" w:cs="仿宋"/>
          <w:color w:val="000000"/>
          <w:sz w:val="36"/>
        </w:rPr>
        <w:t xml:space="preserve">个</w:t>
      </w:r>
      <w:r w:rsidRPr="00822A48">
        <w:rPr>
          <w:rFonts w:ascii="仿宋" w:eastAsia="仿宋" w:hAnsi="仿宋" w:cs="仿宋"/>
          <w:color w:val="000000"/>
          <w:sz w:val="36"/>
        </w:rPr>
        <w:t xml:space="preserve">AI+</w:t>
      </w:r>
      <w:r w:rsidRPr="00822A48">
        <w:rPr>
          <w:rFonts w:ascii="仿宋" w:eastAsia="仿宋" w:hAnsi="仿宋" w:cs="仿宋"/>
          <w:color w:val="000000"/>
          <w:sz w:val="36"/>
        </w:rPr>
        <w:t xml:space="preserve">智能制造标杆场景，建成</w:t>
      </w:r>
      <w:r w:rsidRPr="00822A48">
        <w:rPr>
          <w:rFonts w:ascii="仿宋" w:eastAsia="仿宋" w:hAnsi="仿宋" w:cs="仿宋"/>
          <w:color w:val="000000"/>
          <w:sz w:val="36"/>
        </w:rPr>
        <w:t xml:space="preserve">30</w:t>
      </w:r>
      <w:r w:rsidRPr="00822A48">
        <w:rPr>
          <w:rFonts w:ascii="仿宋" w:eastAsia="仿宋" w:hAnsi="仿宋" w:cs="仿宋"/>
          <w:color w:val="000000"/>
          <w:sz w:val="36"/>
        </w:rPr>
        <w:t xml:space="preserve">家以上人工智能赋能的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未来工厂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，规上制造业企业生产效率平均提升</w:t>
      </w:r>
      <w:r w:rsidRPr="00822A48">
        <w:rPr>
          <w:rFonts w:ascii="仿宋" w:eastAsia="仿宋" w:hAnsi="仿宋" w:cs="仿宋"/>
          <w:color w:val="000000"/>
          <w:sz w:val="36"/>
        </w:rPr>
        <w:t xml:space="preserve">20%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以上，不良品率平均降低</w:t>
      </w:r>
      <w:r w:rsidRPr="00822A48">
        <w:rPr>
          <w:rFonts w:ascii="仿宋" w:eastAsia="仿宋" w:hAnsi="仿宋" w:cs="仿宋"/>
          <w:color w:val="000000"/>
          <w:sz w:val="36"/>
        </w:rPr>
        <w:t xml:space="preserve">15%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2.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AI+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政务服务</w:t>
      </w:r>
      <w:r w:rsidRPr="00822A48">
        <w:rPr>
          <w:rFonts w:ascii="仿宋" w:eastAsia="仿宋" w:hAnsi="仿宋" w:cs="仿宋"/>
          <w:color w:val="000000"/>
          <w:sz w:val="36"/>
        </w:rPr>
        <w:t xml:space="preserve">：推进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城市大脑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迭代升级，依</w:t>
      </w:r>
      <w:r w:rsidRPr="00822A48">
        <w:rPr>
          <w:rFonts w:ascii="仿宋" w:eastAsia="仿宋" w:hAnsi="仿宋" w:cs="仿宋"/>
          <w:color w:val="000000"/>
          <w:sz w:val="36"/>
        </w:rPr>
        <w:t xml:space="preserve">托大模型优化政务服务流程，实现政务咨询、事项办理、政策兑现等服务智能响应，到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年全市政务服务事项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辅助办理率达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90%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，高频服务事项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秒办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，企业群众办事时间平均压缩</w:t>
      </w:r>
      <w:r w:rsidRPr="00822A48">
        <w:rPr>
          <w:rFonts w:ascii="仿宋" w:eastAsia="仿宋" w:hAnsi="仿宋" w:cs="仿宋"/>
          <w:color w:val="000000"/>
          <w:sz w:val="36"/>
        </w:rPr>
        <w:t xml:space="preserve">60%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3.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AI+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智慧医疗</w:t>
      </w:r>
      <w:r w:rsidRPr="00822A48">
        <w:rPr>
          <w:rFonts w:ascii="仿宋" w:eastAsia="仿宋" w:hAnsi="仿宋" w:cs="仿宋"/>
          <w:color w:val="000000"/>
          <w:sz w:val="36"/>
        </w:rPr>
        <w:t xml:space="preserve">：支持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医学影像辅助诊断、临床决策支持、药物研发等应用落地，到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年所有三甲医院实现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辅助诊断全覆盖，基层医疗机构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辅助诊疗覆盖率达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80%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辅助诊断准确率提升至</w:t>
      </w:r>
      <w:r w:rsidRPr="00822A48">
        <w:rPr>
          <w:rFonts w:ascii="仿宋" w:eastAsia="仿宋" w:hAnsi="仿宋" w:cs="仿宋"/>
          <w:color w:val="000000"/>
          <w:sz w:val="36"/>
        </w:rPr>
        <w:t xml:space="preserve">95%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以上，新药研发周期平均缩短</w:t>
      </w:r>
      <w:r w:rsidRPr="00822A48">
        <w:rPr>
          <w:rFonts w:ascii="仿宋" w:eastAsia="仿宋" w:hAnsi="仿宋" w:cs="仿宋"/>
          <w:color w:val="000000"/>
          <w:sz w:val="36"/>
        </w:rPr>
        <w:t xml:space="preserve">30%</w:t>
      </w:r>
      <w:r w:rsidRPr="00822A48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4.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AI+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智慧城市</w:t>
      </w:r>
      <w:r w:rsidRPr="00822A48">
        <w:rPr>
          <w:rFonts w:ascii="仿宋" w:eastAsia="仿宋" w:hAnsi="仿宋" w:cs="仿宋"/>
          <w:color w:val="000000"/>
          <w:sz w:val="36"/>
        </w:rPr>
        <w:t xml:space="preserve">：推进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在交通治理、生态环保、公共安全等领域应用，主城区交通路口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信号调控全覆盖，通行效率提升</w:t>
      </w:r>
      <w:r w:rsidRPr="00822A48">
        <w:rPr>
          <w:rFonts w:ascii="仿宋" w:eastAsia="仿宋" w:hAnsi="仿宋" w:cs="仿宋"/>
          <w:color w:val="000000"/>
          <w:sz w:val="36"/>
        </w:rPr>
        <w:t xml:space="preserve">20%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以上，重点区域扬尘、水污染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监测覆盖率达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，公共安全事件预警准确率提升至</w:t>
      </w:r>
      <w:r w:rsidRPr="00822A48">
        <w:rPr>
          <w:rFonts w:ascii="仿宋" w:eastAsia="仿宋" w:hAnsi="仿宋" w:cs="仿宋"/>
          <w:color w:val="000000"/>
          <w:sz w:val="36"/>
        </w:rPr>
        <w:t xml:space="preserve">90%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5. 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AI+</w:t>
      </w:r>
      <w:r w:rsidRPr="00822A48">
        <w:rPr>
          <w:rFonts w:ascii="仿宋" w:eastAsia="仿宋" w:hAnsi="仿宋" w:cs="仿宋"/>
          <w:b/>
          <w:color w:val="000000"/>
          <w:sz w:val="36"/>
        </w:rPr>
        <w:t xml:space="preserve">民生服务</w:t>
      </w:r>
      <w:r w:rsidRPr="00822A48">
        <w:rPr>
          <w:rFonts w:ascii="仿宋" w:eastAsia="仿宋" w:hAnsi="仿宋" w:cs="仿宋"/>
          <w:color w:val="000000"/>
          <w:sz w:val="36"/>
        </w:rPr>
        <w:t xml:space="preserve">：重点布局智慧教育、智慧养老、智慧文旅等场景，到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年全市中小学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智慧教育覆盖率达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70%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，养老机构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智能监护覆盖率达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80%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</w:t>
      </w:r>
      <w:r w:rsidRPr="00822A48">
        <w:rPr>
          <w:rFonts w:ascii="仿宋" w:eastAsia="仿宋" w:hAnsi="仿宋" w:cs="仿宋"/>
          <w:color w:val="000000"/>
          <w:sz w:val="36"/>
        </w:rPr>
        <w:t xml:space="preserve">A</w:t>
      </w:r>
      <w:r w:rsidRPr="00822A48">
        <w:rPr>
          <w:rFonts w:ascii="仿宋" w:eastAsia="仿宋" w:hAnsi="仿宋" w:cs="仿宋"/>
          <w:color w:val="000000"/>
          <w:sz w:val="36"/>
        </w:rPr>
        <w:t xml:space="preserve">级以上景区智能导览、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预约服务覆盖率达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（三）产业载体与公共平台建设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优化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一核多极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产业空间布局：以西溪谷人工智能产业园、未来科技城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小镇为核心</w:t>
      </w:r>
      <w:r w:rsidRPr="00822A48">
        <w:rPr>
          <w:rFonts w:ascii="仿宋" w:eastAsia="仿宋" w:hAnsi="仿宋" w:cs="仿宋"/>
          <w:color w:val="000000"/>
          <w:sz w:val="36"/>
        </w:rPr>
        <w:t xml:space="preserve">策源区，重点布局大模型、前沿技术研发；以滨江人工智能产业园为核心转化区，重点布局智能视觉、智能安防产业；以钱塘区人工智能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制造集聚区、临平区具身智能产业园为特色承载区，重点布局工业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、服务机器人、人形机器人产业；各区县结合自身产业特色布局人工智能细分领域，避免同质化竞争，到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年建成</w:t>
      </w:r>
      <w:r w:rsidRPr="00822A48">
        <w:rPr>
          <w:rFonts w:ascii="仿宋" w:eastAsia="仿宋" w:hAnsi="仿宋" w:cs="仿宋"/>
          <w:color w:val="000000"/>
          <w:sz w:val="36"/>
        </w:rPr>
        <w:t xml:space="preserve">5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个以上百亿级人工智能产业集群，</w:t>
      </w:r>
      <w:r w:rsidRPr="00822A48">
        <w:rPr>
          <w:rFonts w:ascii="仿宋" w:eastAsia="仿宋" w:hAnsi="仿宋" w:cs="仿宋"/>
          <w:color w:val="000000"/>
          <w:sz w:val="36"/>
        </w:rPr>
        <w:t xml:space="preserve">10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个以上市级人工智能特色园区。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加快公共服务平台升级：升级杭州市公共智能算力服务平台，整合全市算力资源，构建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算力调度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模型训练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应用开发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一体化服务体系，到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年平台总算力规模突破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5</w:t>
      </w:r>
      <w:r w:rsidRPr="00822A48">
        <w:rPr>
          <w:rFonts w:ascii="仿宋" w:eastAsia="仿宋" w:hAnsi="仿宋" w:cs="仿宋"/>
          <w:color w:val="000000"/>
          <w:sz w:val="36"/>
        </w:rPr>
        <w:t xml:space="preserve">0EFLOPS</w:t>
      </w:r>
      <w:r w:rsidRPr="00822A48">
        <w:rPr>
          <w:rFonts w:ascii="仿宋" w:eastAsia="仿宋" w:hAnsi="仿宋" w:cs="仿宋"/>
          <w:color w:val="000000"/>
          <w:sz w:val="36"/>
        </w:rPr>
        <w:t xml:space="preserve">，对中小微企业、科研团队算力使用费用给予最高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50%</w:t>
      </w:r>
      <w:r w:rsidRPr="00822A48">
        <w:rPr>
          <w:rFonts w:ascii="仿宋" w:eastAsia="仿宋" w:hAnsi="仿宋" w:cs="仿宋"/>
          <w:color w:val="000000"/>
          <w:sz w:val="36"/>
        </w:rPr>
        <w:t xml:space="preserve">的补贴，每年服务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创新主体</w:t>
      </w:r>
      <w:r w:rsidRPr="00822A48">
        <w:rPr>
          <w:rFonts w:ascii="仿宋" w:eastAsia="仿宋" w:hAnsi="仿宋" w:cs="仿宋"/>
          <w:color w:val="000000"/>
          <w:sz w:val="36"/>
        </w:rPr>
        <w:t xml:space="preserve">1000</w:t>
      </w:r>
      <w:r w:rsidRPr="00822A48">
        <w:rPr>
          <w:rFonts w:ascii="仿宋" w:eastAsia="仿宋" w:hAnsi="仿宋" w:cs="仿宋"/>
          <w:color w:val="000000"/>
          <w:sz w:val="36"/>
        </w:rPr>
        <w:t xml:space="preserve">家以上；建设杭州市大模型评测中心，建立涵盖安全性、可靠性、适配性、伦理合规等维度的评测体系，到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年完成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款以上大模型产品评测，为大模型落地应用提供权威支撑。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四、数据要素赋能行动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打通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数据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供给</w:t>
      </w:r>
      <w:r w:rsidRPr="00822A48">
        <w:rPr>
          <w:rFonts w:ascii="仿宋" w:eastAsia="仿宋" w:hAnsi="仿宋" w:cs="仿宋"/>
          <w:color w:val="000000"/>
          <w:sz w:val="36"/>
        </w:rPr>
        <w:t xml:space="preserve">-</w:t>
      </w:r>
      <w:r w:rsidRPr="00822A48">
        <w:rPr>
          <w:rFonts w:ascii="仿宋" w:eastAsia="仿宋" w:hAnsi="仿宋" w:cs="仿宋"/>
          <w:color w:val="000000"/>
          <w:sz w:val="36"/>
        </w:rPr>
        <w:t xml:space="preserve">流通</w:t>
      </w:r>
      <w:r w:rsidRPr="00822A48">
        <w:rPr>
          <w:rFonts w:ascii="仿宋" w:eastAsia="仿宋" w:hAnsi="仿宋" w:cs="仿宋"/>
          <w:color w:val="000000"/>
          <w:sz w:val="36"/>
        </w:rPr>
        <w:t xml:space="preserve">-</w:t>
      </w:r>
      <w:r w:rsidRPr="00822A48">
        <w:rPr>
          <w:rFonts w:ascii="仿宋" w:eastAsia="仿宋" w:hAnsi="仿宋" w:cs="仿宋"/>
          <w:color w:val="000000"/>
          <w:sz w:val="36"/>
        </w:rPr>
        <w:t xml:space="preserve">安全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全链条，为人工智能产业发展提供高质量数据要素支撑。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（一）高质量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数据集建设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实施公共数据开放行动计划：分级分类开放政务、交通、医疗、教育、气象等公共数据，到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年全市公共数据开放规模</w:t>
      </w:r>
      <w:r w:rsidRPr="00822A48">
        <w:rPr>
          <w:rFonts w:ascii="仿宋" w:eastAsia="仿宋" w:hAnsi="仿宋" w:cs="仿宋"/>
          <w:color w:val="000000"/>
          <w:sz w:val="36"/>
        </w:rPr>
        <w:t xml:space="preserve">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100PB</w:t>
      </w:r>
      <w:r w:rsidRPr="00822A48">
        <w:rPr>
          <w:rFonts w:ascii="仿宋" w:eastAsia="仿宋" w:hAnsi="仿宋" w:cs="仿宋"/>
          <w:color w:val="000000"/>
          <w:sz w:val="36"/>
        </w:rPr>
        <w:t xml:space="preserve">，开放数据质量合格率达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95%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以上；支持行业龙头企业、科研机构建设垂直领域标注数据集，重点打造制造、医疗、金融、自动驾驶等领域高质量标注数据集</w:t>
      </w:r>
      <w:r w:rsidRPr="00822A48">
        <w:rPr>
          <w:rFonts w:ascii="仿宋" w:eastAsia="仿宋" w:hAnsi="仿宋" w:cs="仿宋"/>
          <w:color w:val="000000"/>
          <w:sz w:val="36"/>
        </w:rPr>
        <w:t xml:space="preserve">200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个以上，免费向中小微企业、科研团队开放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个公共数据集。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（二）数据流通体系建设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依托杭州国际数字交易中心，建立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数据确权、定价、交易、安全全流程服务体系，制定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数据交易规则，探索数据知识产权质押、数据资产入表等创新机制，到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数据年交易规模突破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20</w:t>
      </w:r>
      <w:r w:rsidRPr="00822A48">
        <w:rPr>
          <w:rFonts w:ascii="仿宋" w:eastAsia="仿宋" w:hAnsi="仿宋" w:cs="仿宋"/>
          <w:color w:val="000000"/>
          <w:sz w:val="36"/>
        </w:rPr>
        <w:t xml:space="preserve">亿元，累计交易规模突破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50</w:t>
      </w:r>
      <w:r w:rsidRPr="00822A48">
        <w:rPr>
          <w:rFonts w:ascii="仿宋" w:eastAsia="仿宋" w:hAnsi="仿宋" w:cs="仿宋"/>
          <w:color w:val="000000"/>
          <w:sz w:val="36"/>
        </w:rPr>
        <w:t xml:space="preserve">亿元，年增速保持</w:t>
      </w:r>
      <w:r w:rsidRPr="00822A48">
        <w:rPr>
          <w:rFonts w:ascii="仿宋" w:eastAsia="仿宋" w:hAnsi="仿宋" w:cs="仿宋"/>
          <w:color w:val="000000"/>
          <w:sz w:val="36"/>
        </w:rPr>
        <w:t xml:space="preserve">30%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以上。培育壮大数据标注产业，支持标注企</w:t>
      </w:r>
      <w:r w:rsidRPr="00822A48">
        <w:rPr>
          <w:rFonts w:ascii="仿宋" w:eastAsia="仿宋" w:hAnsi="仿宋" w:cs="仿宋"/>
          <w:color w:val="000000"/>
          <w:sz w:val="36"/>
        </w:rPr>
        <w:t xml:space="preserve">业研发智能标注工具，提升标注效率，到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年培育</w:t>
      </w:r>
      <w:r w:rsidRPr="00822A48">
        <w:rPr>
          <w:rFonts w:ascii="仿宋" w:eastAsia="仿宋" w:hAnsi="仿宋" w:cs="仿宋"/>
          <w:color w:val="000000"/>
          <w:sz w:val="36"/>
        </w:rPr>
        <w:t xml:space="preserve">10</w:t>
      </w:r>
      <w:r w:rsidRPr="00822A48">
        <w:rPr>
          <w:rFonts w:ascii="仿宋" w:eastAsia="仿宋" w:hAnsi="仿宋" w:cs="仿宋"/>
          <w:color w:val="000000"/>
          <w:sz w:val="36"/>
        </w:rPr>
        <w:t xml:space="preserve">家以上营收超亿元的头部数据标注企业，全行业标注从业人员突破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2</w:t>
      </w:r>
      <w:r w:rsidRPr="00822A48">
        <w:rPr>
          <w:rFonts w:ascii="仿宋" w:eastAsia="仿宋" w:hAnsi="仿宋" w:cs="仿宋"/>
          <w:color w:val="000000"/>
          <w:sz w:val="36"/>
        </w:rPr>
        <w:t xml:space="preserve">万人。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（三）数据安全保障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数据全生命周期安全管理体系，推行数据安全分类分级制度，对涉及个人隐私、公共安全的高敏感数据实行全流程溯源管理，到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年全市重点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企业数据安全合规率达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，数据泄露事件发生率较</w:t>
      </w:r>
      <w:r w:rsidRPr="00822A48">
        <w:rPr>
          <w:rFonts w:ascii="仿宋" w:eastAsia="仿宋" w:hAnsi="仿宋" w:cs="仿宋"/>
          <w:color w:val="000000"/>
          <w:sz w:val="36"/>
        </w:rPr>
        <w:t xml:space="preserve">2023</w:t>
      </w:r>
      <w:r w:rsidRPr="00822A48">
        <w:rPr>
          <w:rFonts w:ascii="仿宋" w:eastAsia="仿宋" w:hAnsi="仿宋" w:cs="仿宋"/>
          <w:color w:val="000000"/>
          <w:sz w:val="36"/>
        </w:rPr>
        <w:t xml:space="preserve">年降低</w:t>
      </w:r>
      <w:r w:rsidRPr="00822A48">
        <w:rPr>
          <w:rFonts w:ascii="仿宋" w:eastAsia="仿宋" w:hAnsi="仿宋" w:cs="仿宋"/>
          <w:color w:val="000000"/>
          <w:sz w:val="36"/>
        </w:rPr>
        <w:t xml:space="preserve">80%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五、创新人才引育行动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构建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顶尖人才引领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青年人才支撑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技能人才配套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的人工智能人才体系，打造全球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人才集聚高地。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（一）高端人才引进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实施</w:t>
      </w:r>
      <w:r w:rsidRPr="00822A48">
        <w:rPr>
          <w:rFonts w:ascii="仿宋" w:eastAsia="仿宋" w:hAnsi="仿宋" w:cs="仿宋"/>
          <w:color w:val="000000"/>
          <w:sz w:val="36"/>
        </w:rPr>
        <w:t xml:space="preserve">“AI</w:t>
      </w:r>
      <w:r w:rsidRPr="00822A48">
        <w:rPr>
          <w:rFonts w:ascii="仿宋" w:eastAsia="仿宋" w:hAnsi="仿宋" w:cs="仿宋"/>
          <w:color w:val="000000"/>
          <w:sz w:val="36"/>
        </w:rPr>
        <w:t xml:space="preserve">顶</w:t>
      </w:r>
      <w:r w:rsidRPr="00822A48">
        <w:rPr>
          <w:rFonts w:ascii="仿宋" w:eastAsia="仿宋" w:hAnsi="仿宋" w:cs="仿宋"/>
          <w:color w:val="000000"/>
          <w:sz w:val="36"/>
        </w:rPr>
        <w:t xml:space="preserve">尖人才计划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，对引进的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领域两院院士、国际顶尖科学家、国家级领军人才给予最高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1</w:t>
      </w:r>
      <w:r w:rsidRPr="00822A48">
        <w:rPr>
          <w:rFonts w:ascii="仿宋" w:eastAsia="仿宋" w:hAnsi="仿宋" w:cs="仿宋"/>
          <w:color w:val="000000"/>
          <w:sz w:val="36"/>
        </w:rPr>
        <w:t xml:space="preserve">亿元的项目资助，每年引进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领域高端人才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名以上，青年创新创业人才</w:t>
      </w:r>
      <w:r w:rsidRPr="00822A48">
        <w:rPr>
          <w:rFonts w:ascii="仿宋" w:eastAsia="仿宋" w:hAnsi="仿宋" w:cs="仿宋"/>
          <w:color w:val="000000"/>
          <w:sz w:val="36"/>
        </w:rPr>
        <w:t xml:space="preserve">3000</w:t>
      </w:r>
      <w:r w:rsidRPr="00822A48">
        <w:rPr>
          <w:rFonts w:ascii="仿宋" w:eastAsia="仿宋" w:hAnsi="仿宋" w:cs="仿宋"/>
          <w:color w:val="000000"/>
          <w:sz w:val="36"/>
        </w:rPr>
        <w:t xml:space="preserve">名以上；对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领域高层次人才给予子女教育、住房保障、医疗服务等绿色通道，</w:t>
      </w:r>
      <w:r w:rsidRPr="00822A48">
        <w:rPr>
          <w:rFonts w:ascii="仿宋" w:eastAsia="仿宋" w:hAnsi="仿宋" w:cs="仿宋"/>
          <w:color w:val="000000"/>
          <w:sz w:val="36"/>
        </w:rPr>
        <w:t xml:space="preserve">A</w:t>
      </w:r>
      <w:r w:rsidRPr="00822A48">
        <w:rPr>
          <w:rFonts w:ascii="仿宋" w:eastAsia="仿宋" w:hAnsi="仿宋" w:cs="仿宋"/>
          <w:color w:val="000000"/>
          <w:sz w:val="36"/>
        </w:rPr>
        <w:t xml:space="preserve">类人才购房补贴最高达</w:t>
      </w:r>
      <w:r w:rsidRPr="00822A48">
        <w:rPr>
          <w:rFonts w:ascii="仿宋" w:eastAsia="仿宋" w:hAnsi="仿宋" w:cs="仿宋"/>
          <w:color w:val="000000"/>
          <w:sz w:val="36"/>
        </w:rPr>
        <w:t xml:space="preserve">800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（二）本土人才培养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支持浙江大学、西湖大学、之江实验室、阿里达摩院建设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一流学科，扩大人工智能相关专业招生规模，到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年每年培养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相关专业本科及以上毕业生</w:t>
      </w:r>
      <w:r w:rsidRPr="00822A48">
        <w:rPr>
          <w:rFonts w:ascii="仿宋" w:eastAsia="仿宋" w:hAnsi="仿宋" w:cs="仿宋"/>
          <w:color w:val="000000"/>
          <w:sz w:val="36"/>
        </w:rPr>
        <w:t xml:space="preserve">1</w:t>
      </w:r>
      <w:r w:rsidRPr="00822A48">
        <w:rPr>
          <w:rFonts w:ascii="仿宋" w:eastAsia="仿宋" w:hAnsi="仿宋" w:cs="仿宋"/>
          <w:color w:val="000000"/>
          <w:sz w:val="36"/>
        </w:rPr>
        <w:t xml:space="preserve">万人以上；实施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技能提升行动计划，依托职业院校、社会培训机构开展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技能培训，每</w:t>
      </w:r>
      <w:r w:rsidRPr="00822A48">
        <w:rPr>
          <w:rFonts w:ascii="仿宋" w:eastAsia="仿宋" w:hAnsi="仿宋" w:cs="仿宋"/>
          <w:color w:val="000000"/>
          <w:sz w:val="36"/>
        </w:rPr>
        <w:t xml:space="preserve">年培训人次达</w:t>
      </w:r>
      <w:r w:rsidRPr="00822A48">
        <w:rPr>
          <w:rFonts w:ascii="仿宋" w:eastAsia="仿宋" w:hAnsi="仿宋" w:cs="仿宋"/>
          <w:color w:val="000000"/>
          <w:sz w:val="36"/>
        </w:rPr>
        <w:t xml:space="preserve">5</w:t>
      </w:r>
      <w:r w:rsidRPr="00822A48">
        <w:rPr>
          <w:rFonts w:ascii="仿宋" w:eastAsia="仿宋" w:hAnsi="仿宋" w:cs="仿宋"/>
          <w:color w:val="000000"/>
          <w:sz w:val="36"/>
        </w:rPr>
        <w:t xml:space="preserve">万以上，培育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应用工程师</w:t>
      </w:r>
      <w:r w:rsidRPr="00822A48">
        <w:rPr>
          <w:rFonts w:ascii="仿宋" w:eastAsia="仿宋" w:hAnsi="仿宋" w:cs="仿宋"/>
          <w:color w:val="000000"/>
          <w:sz w:val="36"/>
        </w:rPr>
        <w:t xml:space="preserve">1</w:t>
      </w:r>
      <w:r w:rsidRPr="00822A48">
        <w:rPr>
          <w:rFonts w:ascii="仿宋" w:eastAsia="仿宋" w:hAnsi="仿宋" w:cs="仿宋"/>
          <w:color w:val="000000"/>
          <w:sz w:val="36"/>
        </w:rPr>
        <w:t xml:space="preserve">万名以上。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（三）人才激励机制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领域人才价值评价体系，对作出突出贡献的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技术、产业人才给予最高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500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万元的政府奖励；支持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企业实施股权、期权激励，激励收益个人所得税地方留存部分全额返还；建立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人才职称评审绿色通道，对有突出贡献的青年人才可破格评定高级职称。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六、开放协同创新行动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构建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市域统筹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区域协同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国际合作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的开放创新体系，提升杭州人工智能产业全球影响力。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（一）市域协同发展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建立全市人工智能产业统筹发展机制，实行差异化产业布局，建立区县产业协同</w:t>
      </w:r>
      <w:r w:rsidRPr="00822A48">
        <w:rPr>
          <w:rFonts w:ascii="仿宋" w:eastAsia="仿宋" w:hAnsi="仿宋" w:cs="仿宋"/>
          <w:color w:val="000000"/>
          <w:sz w:val="36"/>
        </w:rPr>
        <w:t xml:space="preserve">利益分配机制，避免同质化竞争；推动城西科创大走廊技术成果向滨江、钱塘、临平等产业承载区转化，每年落地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成果转化项目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个以上，转化金额突破</w:t>
      </w:r>
      <w:r w:rsidRPr="00822A48">
        <w:rPr>
          <w:rFonts w:ascii="仿宋" w:eastAsia="仿宋" w:hAnsi="仿宋" w:cs="仿宋"/>
          <w:color w:val="000000"/>
          <w:sz w:val="36"/>
        </w:rPr>
        <w:t xml:space="preserve">50</w:t>
      </w:r>
      <w:r w:rsidRPr="00822A48">
        <w:rPr>
          <w:rFonts w:ascii="仿宋" w:eastAsia="仿宋" w:hAnsi="仿宋" w:cs="仿宋"/>
          <w:color w:val="000000"/>
          <w:sz w:val="36"/>
        </w:rPr>
        <w:t xml:space="preserve">亿元。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（二）长三角协同创新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融入长三角人工智能产业集群，与上海、苏州、合肥共建长三角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创新共同体，联合开展核心技术攻关，共享算力、数据、场景资源，共同举办长三角人工智能创新大赛，到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年落地长三角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协同项目</w:t>
      </w:r>
      <w:r w:rsidRPr="00822A48">
        <w:rPr>
          <w:rFonts w:ascii="仿宋" w:eastAsia="仿宋" w:hAnsi="仿宋" w:cs="仿宋"/>
          <w:color w:val="000000"/>
          <w:sz w:val="36"/>
        </w:rPr>
        <w:t xml:space="preserve">50</w:t>
      </w:r>
      <w:r w:rsidRPr="00822A48">
        <w:rPr>
          <w:rFonts w:ascii="仿宋" w:eastAsia="仿宋" w:hAnsi="仿宋" w:cs="仿宋"/>
          <w:color w:val="000000"/>
          <w:sz w:val="36"/>
        </w:rPr>
        <w:t xml:space="preserve">个以上，联合攻克关键核心技术</w:t>
      </w:r>
      <w:r w:rsidRPr="00822A48">
        <w:rPr>
          <w:rFonts w:ascii="仿宋" w:eastAsia="仿宋" w:hAnsi="仿宋" w:cs="仿宋"/>
          <w:color w:val="000000"/>
          <w:sz w:val="36"/>
        </w:rPr>
        <w:t xml:space="preserve">20</w:t>
      </w:r>
      <w:r w:rsidRPr="00822A48">
        <w:rPr>
          <w:rFonts w:ascii="仿宋" w:eastAsia="仿宋" w:hAnsi="仿宋" w:cs="仿宋"/>
          <w:color w:val="000000"/>
          <w:sz w:val="36"/>
        </w:rPr>
        <w:t xml:space="preserve">项以上。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（三）国际合作拓展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支持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企业在海外设立研发中心、营销中心，对企业海外研发投入给予最高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20%</w:t>
      </w:r>
      <w:r w:rsidRPr="00822A48">
        <w:rPr>
          <w:rFonts w:ascii="仿宋" w:eastAsia="仿宋" w:hAnsi="仿宋" w:cs="仿宋"/>
          <w:color w:val="000000"/>
          <w:sz w:val="36"/>
        </w:rPr>
        <w:t xml:space="preserve">的补贴，最高补贴金额</w:t>
      </w:r>
      <w:r w:rsidRPr="00822A48">
        <w:rPr>
          <w:rFonts w:ascii="仿宋" w:eastAsia="仿宋" w:hAnsi="仿宋" w:cs="仿宋"/>
          <w:color w:val="000000"/>
          <w:sz w:val="36"/>
        </w:rPr>
        <w:t xml:space="preserve">1000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万元；引进国际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头部企业在杭设立区域总部、研发中心，对落地的国际头部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企业给予最高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5000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万元的落户奖励；每年举办世界人工智能大会杭州分论坛、中国国际智能产品博览会等高端展会</w:t>
      </w:r>
      <w:r w:rsidRPr="00822A48">
        <w:rPr>
          <w:rFonts w:ascii="仿宋" w:eastAsia="仿宋" w:hAnsi="仿宋" w:cs="仿宋"/>
          <w:color w:val="000000"/>
          <w:sz w:val="36"/>
        </w:rPr>
        <w:t xml:space="preserve">10</w:t>
      </w:r>
      <w:r w:rsidRPr="00822A48">
        <w:rPr>
          <w:rFonts w:ascii="仿宋" w:eastAsia="仿宋" w:hAnsi="仿宋" w:cs="仿宋"/>
          <w:color w:val="000000"/>
          <w:sz w:val="36"/>
        </w:rPr>
        <w:t xml:space="preserve">场以上，国际合作项目年均增长</w:t>
      </w:r>
      <w:r w:rsidRPr="00822A48">
        <w:rPr>
          <w:rFonts w:ascii="仿宋" w:eastAsia="仿宋" w:hAnsi="仿宋" w:cs="仿宋"/>
          <w:color w:val="000000"/>
          <w:sz w:val="36"/>
        </w:rPr>
        <w:t xml:space="preserve">20%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七、治理体系完善行动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构建</w:t>
      </w:r>
      <w:r w:rsidRPr="00822A48">
        <w:rPr>
          <w:rFonts w:ascii="仿宋" w:eastAsia="仿宋" w:hAnsi="仿宋" w:cs="仿宋"/>
          <w:color w:val="000000"/>
          <w:sz w:val="36"/>
        </w:rPr>
        <w:t xml:space="preserve">“</w:t>
      </w:r>
      <w:r w:rsidRPr="00822A48">
        <w:rPr>
          <w:rFonts w:ascii="仿宋" w:eastAsia="仿宋" w:hAnsi="仿宋" w:cs="仿宋"/>
          <w:color w:val="000000"/>
          <w:sz w:val="36"/>
        </w:rPr>
        <w:t xml:space="preserve">监管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伦理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标准</w:t>
      </w:r>
      <w:r w:rsidRPr="00822A48">
        <w:rPr>
          <w:rFonts w:ascii="仿宋" w:eastAsia="仿宋" w:hAnsi="仿宋" w:cs="仿宋"/>
          <w:color w:val="000000"/>
          <w:sz w:val="36"/>
        </w:rPr>
        <w:t xml:space="preserve">+</w:t>
      </w:r>
      <w:r w:rsidRPr="00822A48">
        <w:rPr>
          <w:rFonts w:ascii="仿宋" w:eastAsia="仿宋" w:hAnsi="仿宋" w:cs="仿宋"/>
          <w:color w:val="000000"/>
          <w:sz w:val="36"/>
        </w:rPr>
        <w:t xml:space="preserve">知识产权</w:t>
      </w:r>
      <w:r w:rsidRPr="00822A48">
        <w:rPr>
          <w:rFonts w:ascii="仿宋" w:eastAsia="仿宋" w:hAnsi="仿宋" w:cs="仿宋"/>
          <w:color w:val="000000"/>
          <w:sz w:val="36"/>
        </w:rPr>
        <w:t xml:space="preserve">”</w:t>
      </w:r>
      <w:r w:rsidRPr="00822A48">
        <w:rPr>
          <w:rFonts w:ascii="仿宋" w:eastAsia="仿宋" w:hAnsi="仿宋" w:cs="仿宋"/>
          <w:color w:val="000000"/>
          <w:sz w:val="36"/>
        </w:rPr>
        <w:t xml:space="preserve">四位一体的人工智能治理体系，实现发展与安全并重。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（一）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监管体系建设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严格落实《生成式人工智能服务管理暂行办法》，建立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产品</w:t>
      </w:r>
      <w:r w:rsidRPr="00822A48">
        <w:rPr>
          <w:rFonts w:ascii="仿宋" w:eastAsia="仿宋" w:hAnsi="仿宋" w:cs="仿宋"/>
          <w:color w:val="000000"/>
          <w:sz w:val="36"/>
        </w:rPr>
        <w:t xml:space="preserve">备案、安全评估、风险监测机制，建设全市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安全监测平台，实现对全市重点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应用的全流程监管；建立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产品准入负面清单，对高风险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产品实行严格准入管理，到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年全市重点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产品备案率达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（二）伦理治理体系建设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成立杭州市人工智能伦理委员会，建立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伦理审查机制，对医疗、自动驾驶、人脸识别等高风险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应用实行伦理审查全覆盖；建立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伦理风险举报、处置机制，严厉打击滥用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技术侵犯个人隐私、危害公共安全的行为。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（三）标准体系建设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支持企业、科研机构参与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国际、国家、行业标准制定，对主导制定国际</w:t>
      </w:r>
      <w:r w:rsidRPr="00822A48">
        <w:rPr>
          <w:rFonts w:ascii="仿宋" w:eastAsia="仿宋" w:hAnsi="仿宋" w:cs="仿宋"/>
          <w:color w:val="000000"/>
          <w:sz w:val="36"/>
        </w:rPr>
        <w:t xml:space="preserve">标准的单位给予最高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万元的奖励，主导制定国家标准的单位给予最高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50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万元的奖励；建立杭州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地方标准体系，到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年累计发布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地方标准</w:t>
      </w:r>
      <w:r w:rsidRPr="00822A48">
        <w:rPr>
          <w:rFonts w:ascii="仿宋" w:eastAsia="仿宋" w:hAnsi="仿宋" w:cs="仿宋"/>
          <w:color w:val="000000"/>
          <w:sz w:val="36"/>
        </w:rPr>
        <w:t xml:space="preserve">30</w:t>
      </w:r>
      <w:r w:rsidRPr="00822A48">
        <w:rPr>
          <w:rFonts w:ascii="仿宋" w:eastAsia="仿宋" w:hAnsi="仿宋" w:cs="仿宋"/>
          <w:color w:val="000000"/>
          <w:sz w:val="36"/>
        </w:rPr>
        <w:t xml:space="preserve">项以上，覆盖大模型评测、数据安全、伦理治理等重点领域。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（四）知识产权保护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领域专利快速审查通道，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专利审查周期压缩至</w:t>
      </w:r>
      <w:r w:rsidRPr="00822A48">
        <w:rPr>
          <w:rFonts w:ascii="仿宋" w:eastAsia="仿宋" w:hAnsi="仿宋" w:cs="仿宋"/>
          <w:color w:val="000000"/>
          <w:sz w:val="36"/>
        </w:rPr>
        <w:t xml:space="preserve">3</w:t>
      </w:r>
      <w:r w:rsidRPr="00822A48">
        <w:rPr>
          <w:rFonts w:ascii="仿宋" w:eastAsia="仿宋" w:hAnsi="仿宋" w:cs="仿宋"/>
          <w:color w:val="000000"/>
          <w:sz w:val="36"/>
        </w:rPr>
        <w:t xml:space="preserve">个月以内；加大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知识产权侵权惩治力度，落实惩罚性赔偿制度，侵权赔偿额最高提升至</w:t>
      </w:r>
      <w:r w:rsidRPr="00822A48">
        <w:rPr>
          <w:rFonts w:ascii="仿宋" w:eastAsia="仿宋" w:hAnsi="仿宋" w:cs="仿宋"/>
          <w:color w:val="000000"/>
          <w:sz w:val="36"/>
        </w:rPr>
        <w:t xml:space="preserve">500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万元；建设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知识产权公共服务平台，为企业提供专利检索、预警、维权等一站式服务，到</w:t>
      </w:r>
      <w:r w:rsidRPr="00822A48">
        <w:rPr>
          <w:rFonts w:ascii="仿宋" w:eastAsia="仿宋" w:hAnsi="仿宋" w:cs="仿宋"/>
          <w:color w:val="000000"/>
          <w:sz w:val="36"/>
        </w:rPr>
        <w:t xml:space="preserve">2026</w:t>
      </w:r>
      <w:r w:rsidRPr="00822A48">
        <w:rPr>
          <w:rFonts w:ascii="仿宋" w:eastAsia="仿宋" w:hAnsi="仿宋" w:cs="仿宋"/>
          <w:color w:val="000000"/>
          <w:sz w:val="36"/>
        </w:rPr>
        <w:t xml:space="preserve">年全市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企业知识产权覆盖率达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。</w:t>
      </w:r>
    </w:p>
    <w:p>
      <w:pPr>
        <w:pStyle w:val="Heading1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八、保障措施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（一）组织保障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成立杭州市人工智能创新高地建设领导小组，由市政府主要领导任组长，各相关部门、区县政府主要负责人为成员，建立月度调度、季度考核、年度评估机制，将人工智能发展核心指标纳入区县绩效考核体系，对完成目标任务较好的区县给予通报表彰和政策倾斜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（二）资金保障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设立总规模</w:t>
      </w:r>
      <w:r w:rsidRPr="00822A48">
        <w:rPr>
          <w:rFonts w:ascii="仿宋" w:eastAsia="仿宋" w:hAnsi="仿宋" w:cs="仿宋"/>
          <w:color w:val="000000"/>
          <w:sz w:val="36"/>
        </w:rPr>
        <w:t xml:space="preserve">100</w:t>
      </w:r>
      <w:r w:rsidRPr="00822A48">
        <w:rPr>
          <w:rFonts w:ascii="仿宋" w:eastAsia="仿宋" w:hAnsi="仿宋" w:cs="仿宋"/>
          <w:color w:val="000000"/>
          <w:sz w:val="36"/>
        </w:rPr>
        <w:t xml:space="preserve">亿元的杭州市人工智能产业发展基金，重点投向大模型、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芯片、具身智能等核心领域，撬动社会资本投入不低于</w:t>
      </w:r>
      <w:r w:rsidRPr="00822A48">
        <w:rPr>
          <w:rFonts w:ascii="仿宋" w:eastAsia="仿宋" w:hAnsi="仿宋" w:cs="仿宋"/>
          <w:color w:val="000000"/>
          <w:sz w:val="36"/>
        </w:rPr>
        <w:t xml:space="preserve">500</w:t>
      </w:r>
      <w:r w:rsidRPr="00822A48">
        <w:rPr>
          <w:rFonts w:ascii="仿宋" w:eastAsia="仿宋" w:hAnsi="仿宋" w:cs="仿宋"/>
          <w:color w:val="000000"/>
          <w:sz w:val="36"/>
        </w:rPr>
        <w:t xml:space="preserve">亿元；对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领域核心技术攻关项目给予最高</w:t>
      </w:r>
      <w:r w:rsidRPr="00822A48">
        <w:rPr>
          <w:rFonts w:ascii="仿宋" w:eastAsia="仿宋" w:hAnsi="仿宋" w:cs="仿宋"/>
          <w:color w:val="000000"/>
          <w:sz w:val="36"/>
        </w:rPr>
        <w:t xml:space="preserve">3000</w:t>
      </w:r>
      <w:r w:rsidRPr="00822A48">
        <w:rPr>
          <w:rFonts w:ascii="仿宋" w:eastAsia="仿宋" w:hAnsi="仿宋" w:cs="仿宋"/>
          <w:color w:val="000000"/>
          <w:sz w:val="36"/>
        </w:rPr>
        <w:t xml:space="preserve">万元的财政资助，对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企业研发费用加计扣除比例提高至</w:t>
      </w:r>
      <w:r w:rsidRPr="00822A48">
        <w:rPr>
          <w:rFonts w:ascii="仿宋" w:eastAsia="仿宋" w:hAnsi="仿宋" w:cs="仿宋"/>
          <w:color w:val="000000"/>
          <w:sz w:val="36"/>
        </w:rPr>
        <w:t xml:space="preserve">100%</w:t>
      </w:r>
      <w:r w:rsidRPr="00822A48">
        <w:rPr>
          <w:rFonts w:ascii="仿宋" w:eastAsia="仿宋" w:hAnsi="仿宋" w:cs="仿宋"/>
          <w:color w:val="000000"/>
          <w:sz w:val="36"/>
        </w:rPr>
        <w:t xml:space="preserve">，算力使用费用</w:t>
      </w:r>
      <w:r w:rsidRPr="00822A48">
        <w:rPr>
          <w:rFonts w:ascii="仿宋" w:eastAsia="仿宋" w:hAnsi="仿宋" w:cs="仿宋"/>
          <w:color w:val="000000"/>
          <w:sz w:val="36"/>
        </w:rPr>
        <w:t xml:space="preserve">纳入研发费用加计扣除范围。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（三）政策保障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出台《杭州市人工智能产业促进条例》，在用地、用电、人才引进、场景开放等方面给予专项政策支持；对人工智能企业实行用电优惠，算力中心用电成本较一般工商业用电降低</w:t>
      </w:r>
      <w:r w:rsidRPr="00822A48">
        <w:rPr>
          <w:rFonts w:ascii="仿宋" w:eastAsia="仿宋" w:hAnsi="仿宋" w:cs="仿宋"/>
          <w:color w:val="000000"/>
          <w:sz w:val="36"/>
        </w:rPr>
        <w:t xml:space="preserve">30%</w:t>
      </w:r>
      <w:r w:rsidRPr="00822A48">
        <w:rPr>
          <w:rFonts w:ascii="仿宋" w:eastAsia="仿宋" w:hAnsi="仿宋" w:cs="仿宋"/>
          <w:color w:val="000000"/>
          <w:sz w:val="36"/>
        </w:rPr>
        <w:t xml:space="preserve">以上；建立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场景开放清单，每年推出不少于</w:t>
      </w:r>
      <w:r w:rsidRPr="00822A48">
        <w:rPr>
          <w:rFonts w:ascii="仿宋" w:eastAsia="仿宋" w:hAnsi="仿宋" w:cs="仿宋"/>
          <w:color w:val="000000"/>
          <w:sz w:val="36"/>
        </w:rPr>
        <w:t xml:space="preserve">200</w:t>
      </w:r>
      <w:r w:rsidRPr="00822A48">
        <w:rPr>
          <w:rFonts w:ascii="仿宋" w:eastAsia="仿宋" w:hAnsi="仿宋" w:cs="仿宋"/>
          <w:color w:val="000000"/>
          <w:sz w:val="36"/>
        </w:rPr>
        <w:t xml:space="preserve">个政务、公共服务领域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应用场景，优先采购本土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企业产品和服务。</w:t>
      </w:r>
    </w:p>
    <w:p>
      <w:pPr>
        <w:pStyle w:val="Heading2"/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（四）容错机制</w:t>
      </w:r>
    </w:p>
    <w:p>
      <w:pPr>
        <w:spacing w:line="320"/>
        <w:ind w:firstLine="720" w:firstLineChars="200"/>
        <w:rPr>
          <w:rFonts w:ascii="仿宋" w:eastAsia="仿宋" w:hAnsi="仿宋"/>
          <w:sz w:val="32"/>
        </w:rPr>
      </w:pPr>
      <w:r w:rsidRPr="00822A48">
        <w:rPr>
          <w:rFonts w:ascii="仿宋" w:eastAsia="仿宋" w:hAnsi="仿宋" w:cs="仿宋"/>
          <w:color w:val="000000"/>
          <w:sz w:val="36"/>
        </w:rPr>
        <w:t xml:space="preserve">建立人工智能创新容错机制，对</w:t>
      </w:r>
      <w:r w:rsidRPr="00822A48">
        <w:rPr>
          <w:rFonts w:ascii="仿宋" w:eastAsia="仿宋" w:hAnsi="仿宋" w:cs="仿宋"/>
          <w:color w:val="000000"/>
          <w:sz w:val="36"/>
        </w:rPr>
        <w:t xml:space="preserve">AI</w:t>
      </w:r>
      <w:r w:rsidRPr="00822A48">
        <w:rPr>
          <w:rFonts w:ascii="仿宋" w:eastAsia="仿宋" w:hAnsi="仿宋" w:cs="仿宋"/>
          <w:color w:val="000000"/>
          <w:sz w:val="36"/>
        </w:rPr>
        <w:t xml:space="preserve">创新项目、应用场景试点中出现的失误，未谋取私利、未造成重大损失的，免予追究相关责任，鼓励各类创新主体大胆试错、积极探索，营造鼓励创新、宽容失败</w:t>
      </w:r>
      <w:r w:rsidRPr="00822A48">
        <w:rPr>
          <w:rFonts w:ascii="仿宋" w:eastAsia="仿宋" w:hAnsi="仿宋" w:cs="仿宋"/>
          <w:color w:val="000000"/>
          <w:sz w:val="36"/>
        </w:rPr>
        <w:t xml:space="preserve">的发展氛围。 </w:t>
      </w:r>
      <w:bookmarkStart w:id="0" w:name="_GoBack"/>
      <w:bookmarkEnd w:id="0"/>
    </w:p>
    <w:sectPr>
      <w:pgSz w:w="12240" w:h="15840" w:orient="portrait"/>
      <w:pgMar w:top="1440" w:right="1800" w:bottom="1440" w:left="1800" w:header="720" w:footer="720" w:gutter="0"/>
      <w:pgBorders/>
      <w:cols w:num="1" w:space="720">
        <w:col w:w="8640" w:space="720"/>
      </w:cols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mc:Ignorable="w14">
  <w:zoom w:percent="100"/>
  <w:bordersDoNotSurroundFooter/>
  <w:bordersDoNotSurroundHeader/>
  <w:doNotTrackMoves/>
  <w:defaultTabStop w:val="720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ja-JP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asciiTheme="minorHAnsi" w:eastAsiaTheme="minorEastAsia" w:hAnsiTheme="minorHAnsi" w:cs="Arial" w:cstheme="minorBidi"/>
        <w:sz w:val="22"/>
        <w:szCs w:val="22"/>
        <w:lang w:val="en-US" w:eastAsia="en-US" w:bidi="ar-SA"/>
      </w:rPr>
    </w:rPrDefault>
    <w:pPrDefault>
      <w:pPr>
        <w:pBdr/>
        <w:shd w:val="clear" w:color="auto" w:fill="auto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eastAsia="微软雅黑" w:hAnsi="微软雅黑"/>
      <w:sz w:val="24"/>
    </w:rPr>
  </w:style>
  <w:style w:type="paragraph" w:styleId="Heading1">
    <w:name w:val="Heading 1"/>
    <w:basedOn w:val="Normal"/>
    <w:next w:val="Normal"/>
    <w:link w:val="标题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标题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标题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4F81BD"/>
    </w:rPr>
  </w:style>
  <w:style w:type="paragraph" w:styleId="Heading4">
    <w:name w:val="Heading 4"/>
    <w:basedOn w:val="Normal"/>
    <w:next w:val="Normal"/>
    <w:link w:val="标题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ＭＳ ゴシック" w:hAnsi="Calibri" w:asciiTheme="majorHAnsi" w:eastAsiaTheme="majorEastAsia" w:hAnsiTheme="majorHAnsi" w:cs="Times New Roman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标题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ＭＳ ゴシック" w:hAnsi="Calibri" w:asciiTheme="majorHAnsi" w:eastAsiaTheme="majorEastAsia" w:hAnsiTheme="majorHAnsi" w:cs="Times New Roman" w:cstheme="majorBidi"/>
      <w:color w:val="243F60"/>
    </w:rPr>
  </w:style>
  <w:style w:type="paragraph" w:styleId="Heading6">
    <w:name w:val="Heading 6"/>
    <w:basedOn w:val="Normal"/>
    <w:next w:val="Normal"/>
    <w:link w:val="标题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243F60"/>
    </w:rPr>
  </w:style>
  <w:style w:type="paragraph" w:styleId="Heading7">
    <w:name w:val="Heading 7"/>
    <w:basedOn w:val="Normal"/>
    <w:next w:val="Normal"/>
    <w:link w:val="标题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04040"/>
    </w:rPr>
  </w:style>
  <w:style w:type="paragraph" w:styleId="Heading8">
    <w:name w:val="Heading 8"/>
    <w:basedOn w:val="Normal"/>
    <w:next w:val="Normal"/>
    <w:link w:val="标题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ＭＳ ゴシック" w:hAnsi="Calibri" w:asciiTheme="majorHAnsi" w:eastAsiaTheme="majorEastAsia" w:hAnsiTheme="majorHAnsi" w:cs="Times New Roman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标题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paragraph" w:styleId="Header">
    <w:name w:val="Header"/>
    <w:basedOn w:val="Normal"/>
    <w:link w:val="页眉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页眉Char">
    <w:name w:val="页眉 Char"/>
    <w:basedOn w:val="DefaultParagraphFont"/>
    <w:link w:val="Header"/>
    <w:uiPriority w:val="99"/>
    <w:rsid w:val="00E618BF"/>
    <w:rPr/>
  </w:style>
  <w:style w:type="paragraph" w:styleId="Footer">
    <w:name w:val="Footer"/>
    <w:basedOn w:val="Normal"/>
    <w:link w:val="页脚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页脚Char">
    <w:name w:val="页脚 Char"/>
    <w:basedOn w:val="DefaultParagraphFont"/>
    <w:link w:val="Footer"/>
    <w:uiPriority w:val="99"/>
    <w:rsid w:val="00E618BF"/>
    <w:rPr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标题1Char">
    <w:name w:val="标题 1 Char"/>
    <w:basedOn w:val="DefaultParagraphFont"/>
    <w:link w:val="Heading1"/>
    <w:uiPriority w:val="9"/>
    <w:rsid w:val="00FC693F"/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365F91"/>
      <w:sz w:val="28"/>
      <w:szCs w:val="28"/>
    </w:rPr>
  </w:style>
  <w:style w:type="character" w:customStyle="1" w:styleId="标题2Char">
    <w:name w:val="标题 2 Char"/>
    <w:basedOn w:val="DefaultParagraphFont"/>
    <w:link w:val="Heading2"/>
    <w:uiPriority w:val="9"/>
    <w:rsid w:val="00FC693F"/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4F81BD"/>
      <w:sz w:val="26"/>
      <w:szCs w:val="26"/>
    </w:rPr>
  </w:style>
  <w:style w:type="character" w:customStyle="1" w:styleId="标题3Char">
    <w:name w:val="标题 3 Char"/>
    <w:basedOn w:val="DefaultParagraphFont"/>
    <w:link w:val="Heading3"/>
    <w:uiPriority w:val="9"/>
    <w:rsid w:val="00FC693F"/>
    <w:rPr>
      <w:rFonts w:ascii="Calibri" w:eastAsia="ＭＳ ゴシック" w:hAnsi="Calibri" w:asciiTheme="majorHAnsi" w:eastAsiaTheme="majorEastAsia" w:hAnsiTheme="majorHAnsi" w:cs="Times New Roman" w:cstheme="majorBidi"/>
      <w:b/>
      <w:bCs/>
      <w:color w:val="4F81BD"/>
    </w:rPr>
  </w:style>
  <w:style w:type="paragraph" w:styleId="Title">
    <w:name w:val="Title"/>
    <w:basedOn w:val="Normal"/>
    <w:next w:val="Normal"/>
    <w:link w:val="标题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hAnsi="Calibri" w:asciiTheme="majorHAnsi" w:eastAsiaTheme="majorEastAsia" w:hAnsiTheme="majorHAnsi" w:cs="Times New Roman" w:cstheme="majorBidi"/>
      <w:color w:val="17365D"/>
      <w:spacing w:val="5"/>
      <w:kern w:val="28"/>
      <w:sz w:val="52"/>
      <w:szCs w:val="52"/>
    </w:rPr>
  </w:style>
  <w:style w:type="character" w:customStyle="1" w:styleId="标题Char">
    <w:name w:val="标题 Char"/>
    <w:basedOn w:val="DefaultParagraphFont"/>
    <w:link w:val="Title"/>
    <w:uiPriority w:val="10"/>
    <w:rsid w:val="00FC693F"/>
    <w:rPr>
      <w:rFonts w:ascii="Calibri" w:eastAsia="ＭＳ ゴシック" w:hAnsi="Calibri" w:asciiTheme="majorHAnsi" w:eastAsiaTheme="majorEastAsia" w:hAnsiTheme="majorHAnsi" w:cs="Times New Roman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副标题Char"/>
    <w:uiPriority w:val="11"/>
    <w:qFormat/>
    <w:rsid w:val="00FC693F"/>
    <w:pPr>
      <w:numPr>
        <w:ilvl w:val="1"/>
      </w:numPr>
    </w:pPr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F81BD"/>
      <w:spacing w:val="15"/>
      <w:szCs w:val="24"/>
    </w:rPr>
  </w:style>
  <w:style w:type="character" w:customStyle="1" w:styleId="副标题Char">
    <w:name w:val="副标题 Char"/>
    <w:basedOn w:val="DefaultParagraphFont"/>
    <w:link w:val="Subtitle"/>
    <w:uiPriority w:val="11"/>
    <w:rsid w:val="00FC693F"/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正文文本Char"/>
    <w:uiPriority w:val="99"/>
    <w:unhideWhenUsed/>
    <w:rsid w:val="00AA1D8D"/>
    <w:pPr>
      <w:spacing w:after="120"/>
    </w:pPr>
    <w:rPr/>
  </w:style>
  <w:style w:type="character" w:customStyle="1" w:styleId="正文文本Char">
    <w:name w:val="正文文本 Char"/>
    <w:basedOn w:val="DefaultParagraphFont"/>
    <w:link w:val="BodyText"/>
    <w:uiPriority w:val="99"/>
    <w:rsid w:val="00AA1D8D"/>
    <w:rPr/>
  </w:style>
  <w:style w:type="paragraph" w:styleId="BodyText2">
    <w:name w:val="Body Text 2"/>
    <w:basedOn w:val="Normal"/>
    <w:link w:val="正文文本2Char"/>
    <w:uiPriority w:val="99"/>
    <w:unhideWhenUsed/>
    <w:rsid w:val="00AA1D8D"/>
    <w:pPr>
      <w:spacing w:after="120" w:line="480" w:lineRule="auto"/>
    </w:pPr>
    <w:rPr/>
  </w:style>
  <w:style w:type="character" w:customStyle="1" w:styleId="正文文本2Char">
    <w:name w:val="正文文本 2 Char"/>
    <w:basedOn w:val="DefaultParagraphFont"/>
    <w:link w:val="BodyText2"/>
    <w:uiPriority w:val="99"/>
    <w:rsid w:val="00AA1D8D"/>
    <w:rPr/>
  </w:style>
  <w:style w:type="paragraph" w:styleId="BodyText3">
    <w:name w:val="Body Text 3"/>
    <w:basedOn w:val="Normal"/>
    <w:link w:val="正文文本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正文文本3Char">
    <w:name w:val="正文文本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">
    <w:name w:val="Macro"/>
    <w:link w:val="宏文本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宏文本Char">
    <w:name w:val="宏文本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引用Char"/>
    <w:uiPriority w:val="29"/>
    <w:qFormat/>
    <w:rsid w:val="00FC693F"/>
    <w:rPr>
      <w:i/>
      <w:iCs/>
      <w:color w:val="000000"/>
    </w:rPr>
  </w:style>
  <w:style w:type="character" w:customStyle="1" w:styleId="引用Char">
    <w:name w:val="引用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标题4Char">
    <w:name w:val="标题 4 Char"/>
    <w:basedOn w:val="DefaultParagraphFont"/>
    <w:link w:val="Heading4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b/>
      <w:bCs/>
      <w:i/>
      <w:iCs/>
      <w:color w:val="4F81BD"/>
    </w:rPr>
  </w:style>
  <w:style w:type="character" w:customStyle="1" w:styleId="标题5Char">
    <w:name w:val="标题 5 Char"/>
    <w:basedOn w:val="DefaultParagraphFont"/>
    <w:link w:val="Heading5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color w:val="243F60"/>
    </w:rPr>
  </w:style>
  <w:style w:type="character" w:customStyle="1" w:styleId="标题6Char">
    <w:name w:val="标题 6 Char"/>
    <w:basedOn w:val="DefaultParagraphFont"/>
    <w:link w:val="Heading6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243F60"/>
    </w:rPr>
  </w:style>
  <w:style w:type="character" w:customStyle="1" w:styleId="标题7Char">
    <w:name w:val="标题 7 Char"/>
    <w:basedOn w:val="DefaultParagraphFont"/>
    <w:link w:val="Heading7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04040"/>
    </w:rPr>
  </w:style>
  <w:style w:type="character" w:customStyle="1" w:styleId="标题8Char">
    <w:name w:val="标题 8 Char"/>
    <w:basedOn w:val="DefaultParagraphFont"/>
    <w:link w:val="Heading8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color w:val="4F81BD"/>
      <w:sz w:val="20"/>
      <w:szCs w:val="20"/>
    </w:rPr>
  </w:style>
  <w:style w:type="character" w:customStyle="1" w:styleId="标题9Char">
    <w:name w:val="标题 9 Char"/>
    <w:basedOn w:val="DefaultParagraphFont"/>
    <w:link w:val="Heading9"/>
    <w:uiPriority w:val="9"/>
    <w:semiHidden/>
    <w:rsid w:val="00FC693F"/>
    <w:rPr>
      <w:rFonts w:ascii="Calibri" w:eastAsia="ＭＳ ゴシック" w:hAnsi="Calibri" w:asciiTheme="majorHAnsi" w:eastAsiaTheme="majorEastAsia" w:hAnsiTheme="majorHAnsi" w:cs="Times New Roman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明显引用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明显引用Char">
    <w:name w:val="明显引用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NormalTable"/>
    <w:uiPriority w:val="59"/>
    <w:rsid w:val="00FC693F"/>
    <w:pPr>
      <w:spacing w:after="0" w:line="240" w:lineRule="auto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auto" w:themeColor="text1"/>
          <w:left w:val="nil"/>
          <w:bottom w:val="single" w:sz="8" w:space="0" w:color="auto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auto" w:themeColor="text1"/>
          <w:left w:val="nil"/>
          <w:bottom w:val="single" w:sz="8" w:space="0" w:color="auto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Accent1">
    <w:name w:val="Light Shading Accent 1"/>
    <w:basedOn w:val="NormalTable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Accent2">
    <w:name w:val="Light Shading Accent 2"/>
    <w:basedOn w:val="NormalTable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Accent3">
    <w:name w:val="Light Shading Accent 3"/>
    <w:basedOn w:val="NormalTable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Accent4">
    <w:name w:val="Light Shading Accent 4"/>
    <w:basedOn w:val="NormalTable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Accent5">
    <w:name w:val="Light Shading Accent 5"/>
    <w:basedOn w:val="NormalTable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Accent6">
    <w:name w:val="Light Shading Accent 6"/>
    <w:basedOn w:val="NormalTable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NormalTable"/>
    <w:uiPriority w:val="61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</w:tcPr>
    </w:tblStylePr>
    <w:tblStylePr w:type="band1Horz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</w:tcPr>
    </w:tblStylePr>
  </w:style>
  <w:style w:type="table" w:styleId="LightListAccent1">
    <w:name w:val="Light List Accent 1"/>
    <w:basedOn w:val="NormalTable"/>
    <w:uiPriority w:val="61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NormalTable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auto" w:themeColor="text1"/>
          <w:left w:val="single" w:sz="8" w:space="0" w:color="auto" w:themeColor="text1"/>
          <w:bottom w:val="single" w:sz="18" w:space="0" w:color="auto" w:themeColor="text1"/>
          <w:right w:val="single" w:sz="8" w:space="0" w:color="auto" w:themeColor="text1"/>
          <w:insideH w:val="nil"/>
          <w:insideV w:val="single" w:sz="8" w:space="0" w:color="auto" w:themeColor="text1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  <w:insideH w:val="nil"/>
          <w:insideV w:val="single" w:sz="8" w:space="0" w:color="auto" w:themeColor="text1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</w:tcPr>
    </w:tblStylePr>
    <w:tblStylePr w:type="band1Vert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</w:tcBorders>
        <w:shd w:val="clear" w:color="auto" w:fill="C0C0C0"/>
      </w:tcPr>
    </w:tblStylePr>
    <w:tblStylePr w:type="band1Horz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  <w:insideV w:val="single" w:sz="8" w:space="0" w:color="auto" w:themeColor="text1"/>
        </w:tcBorders>
        <w:shd w:val="clear" w:color="auto" w:fill="C0C0C0"/>
      </w:tcPr>
    </w:tblStylePr>
    <w:tblStylePr w:type="band2Horz">
      <w:rPr/>
      <w:tcPr>
        <w:tcBorders>
          <w:top w:val="single" w:sz="8" w:space="0" w:color="auto" w:themeColor="text1"/>
          <w:left w:val="single" w:sz="8" w:space="0" w:color="auto" w:themeColor="text1"/>
          <w:bottom w:val="single" w:sz="8" w:space="0" w:color="auto" w:themeColor="text1"/>
          <w:right w:val="single" w:sz="8" w:space="0" w:color="auto" w:themeColor="text1"/>
          <w:insideV w:val="single" w:sz="8" w:space="0" w:color="auto" w:themeColor="text1"/>
        </w:tcBorders>
      </w:tcPr>
    </w:tblStylePr>
  </w:style>
  <w:style w:type="table" w:styleId="LightGridAccent1">
    <w:name w:val="Light Grid Accent 1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/>
      </w:tcPr>
    </w:tblStylePr>
    <w:tblStylePr w:type="band1Horz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/>
      </w:tcPr>
    </w:tblStylePr>
    <w:tblStylePr w:type="band2Horz">
      <w:r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r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r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/>
      </w:tcPr>
    </w:tblStylePr>
    <w:tblStylePr w:type="band1Horz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/>
      </w:tcPr>
    </w:tblStylePr>
    <w:tblStylePr w:type="band2Horz">
      <w:r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/>
      </w:tcPr>
    </w:tblStylePr>
    <w:tblStylePr w:type="band1Horz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/>
      </w:tcPr>
    </w:tblStylePr>
    <w:tblStylePr w:type="band2Horz">
      <w:r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NormalTable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</w:tblStylePr>
    <w:tblStylePr w:type="lastCol">
      <w:rPr>
        <w:rFonts w:ascii="Calibri" w:eastAsia="ＭＳ ゴシック" w:hAnsi="Calibri" w:asciiTheme="majorHAnsi" w:eastAsiaTheme="majorEastAsia" w:hAnsiTheme="majorHAnsi" w:cs="Times New Roman" w:cstheme="majorBidi"/>
        <w:b/>
        <w:bCs/>
      </w: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r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C0C0C0"/>
      </w:tcPr>
    </w:tblStylePr>
    <w:tblStylePr w:type="band1Horz">
      <w:r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D3DFEE"/>
      </w:tcPr>
    </w:tblStylePr>
    <w:tblStylePr w:type="band1Horz">
      <w:r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EFD3D2"/>
      </w:tcPr>
    </w:tblStylePr>
    <w:tblStylePr w:type="band1Horz">
      <w:r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E6EED5"/>
      </w:tcPr>
    </w:tblStylePr>
    <w:tblStylePr w:type="band1Horz">
      <w:r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DFD8E8"/>
      </w:tcPr>
    </w:tblStylePr>
    <w:tblStylePr w:type="band1Horz">
      <w:r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D2EAF1"/>
      </w:tcPr>
    </w:tblStylePr>
    <w:tblStylePr w:type="band1Horz">
      <w:r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NormalTable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FDE4D0"/>
      </w:tcPr>
    </w:tblStylePr>
    <w:tblStylePr w:type="band1Horz">
      <w:r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NormalTable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/>
      <w:tcPr>
        <w:shd w:val="clear" w:color="auto" w:fill="D8D8D8"/>
      </w:tcPr>
    </w:tblStylePr>
    <w:tblStylePr w:type="neCell">
      <w:r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auto" w:themeColor="tex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auto" w:themeColor="text1"/>
          <w:bottom w:val="single" w:sz="8" w:space="0" w:color="auto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auto" w:themeColor="text1"/>
          <w:bottom w:val="single" w:sz="8" w:space="0" w:color="auto" w:themeColor="text1"/>
        </w:tcBorders>
      </w:tcPr>
    </w:tblStylePr>
    <w:tblStylePr w:type="band1Vert">
      <w:rPr/>
      <w:tcPr>
        <w:shd w:val="clear" w:color="auto" w:fill="C0C0C0"/>
      </w:tcPr>
    </w:tblStylePr>
    <w:tblStylePr w:type="band1Horz">
      <w:rPr/>
      <w:tcPr>
        <w:shd w:val="clear" w:color="auto" w:fill="C0C0C0"/>
      </w:tcPr>
    </w:tblStylePr>
  </w:style>
  <w:style w:type="table" w:styleId="MediumList1Accent1">
    <w:name w:val="Medium List 1 Accent 1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/>
      <w:tcPr>
        <w:shd w:val="clear" w:color="auto" w:fill="D3DFEE"/>
      </w:tcPr>
    </w:tblStylePr>
    <w:tblStylePr w:type="band1Horz">
      <w:rPr/>
      <w:tcPr>
        <w:shd w:val="clear" w:color="auto" w:fill="D3DFEE"/>
      </w:tcPr>
    </w:tblStylePr>
  </w:style>
  <w:style w:type="table" w:styleId="MediumList1Accent2">
    <w:name w:val="Medium List 1 Accent 2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rPr/>
      <w:tcPr>
        <w:shd w:val="clear" w:color="auto" w:fill="EFD3D2"/>
      </w:tcPr>
    </w:tblStylePr>
    <w:tblStylePr w:type="band1Horz">
      <w:rPr/>
      <w:tcPr>
        <w:shd w:val="clear" w:color="auto" w:fill="EFD3D2"/>
      </w:tcPr>
    </w:tblStylePr>
  </w:style>
  <w:style w:type="table" w:styleId="MediumList1Accent3">
    <w:name w:val="Medium List 1 Accent 3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rPr/>
      <w:tcPr>
        <w:shd w:val="clear" w:color="auto" w:fill="E6EED5"/>
      </w:tcPr>
    </w:tblStylePr>
    <w:tblStylePr w:type="band1Horz">
      <w:rPr/>
      <w:tcPr>
        <w:shd w:val="clear" w:color="auto" w:fill="E6EED5"/>
      </w:tcPr>
    </w:tblStylePr>
  </w:style>
  <w:style w:type="table" w:styleId="MediumList1Accent4">
    <w:name w:val="Medium List 1 Accent 4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rPr/>
      <w:tcPr>
        <w:shd w:val="clear" w:color="auto" w:fill="DFD8E8"/>
      </w:tcPr>
    </w:tblStylePr>
    <w:tblStylePr w:type="band1Horz">
      <w:rPr/>
      <w:tcPr>
        <w:shd w:val="clear" w:color="auto" w:fill="DFD8E8"/>
      </w:tcPr>
    </w:tblStylePr>
  </w:style>
  <w:style w:type="table" w:styleId="MediumList1Accent5">
    <w:name w:val="Medium List 1 Accent 5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rPr/>
      <w:tcPr>
        <w:shd w:val="clear" w:color="auto" w:fill="D2EAF1"/>
      </w:tcPr>
    </w:tblStylePr>
    <w:tblStylePr w:type="band1Horz">
      <w:rPr/>
      <w:tcPr>
        <w:shd w:val="clear" w:color="auto" w:fill="D2EAF1"/>
      </w:tcPr>
    </w:tblStylePr>
  </w:style>
  <w:style w:type="table" w:styleId="MediumList1Accent6">
    <w:name w:val="Medium List 1 Accent 6"/>
    <w:basedOn w:val="NormalTable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ＭＳ ゴシック" w:hAnsi="Calibri" w:asciiTheme="majorHAnsi" w:eastAsiaTheme="majorEastAsia" w:hAnsiTheme="majorHAnsi" w:cs="Times New Roman" w:cstheme="majorBidi"/>
      </w: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rPr/>
      <w:tcPr>
        <w:shd w:val="clear" w:color="auto" w:fill="FDE4D0"/>
      </w:tcPr>
    </w:tblStylePr>
    <w:tblStylePr w:type="band1Horz">
      <w:rPr/>
      <w:tcPr>
        <w:shd w:val="clear" w:color="auto" w:fill="FDE4D0"/>
      </w:tcPr>
    </w:tblStylePr>
  </w:style>
  <w:style w:type="table" w:styleId="MediumList2">
    <w:name w:val="Medium List 2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auto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auto" w:themeColor="text1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auto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1">
    <w:name w:val="Medium List 2 Accent 1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2">
    <w:name w:val="Medium List 2 Accent 2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3">
    <w:name w:val="Medium List 2 Accent 3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4">
    <w:name w:val="Medium List 2 Accent 4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5">
    <w:name w:val="Medium List 2 Accent 5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List2Accent6">
    <w:name w:val="Medium List 2 Accent 6"/>
    <w:basedOn w:val="NormalTable"/>
    <w:uiPriority w:val="66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r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/>
      <w:tcPr>
        <w:shd w:val="clear" w:color="auto" w:fill="FFFFFF"/>
      </w:tcPr>
    </w:tblStylePr>
    <w:tblStylePr w:type="swCell">
      <w:rPr/>
      <w:tcPr>
        <w:tcBorders>
          <w:top w:val="nil"/>
        </w:tcBorders>
      </w:tcPr>
    </w:tblStylePr>
  </w:style>
  <w:style w:type="table" w:styleId="MediumGrid1">
    <w:name w:val="Medium Grid 1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808080"/>
      </w:tcPr>
    </w:tblStylePr>
    <w:tblStylePr w:type="band1Horz">
      <w:rPr/>
      <w:tcPr>
        <w:shd w:val="clear" w:color="auto" w:fill="808080"/>
      </w:tcPr>
    </w:tblStylePr>
  </w:style>
  <w:style w:type="table" w:styleId="MediumGrid1Accent1">
    <w:name w:val="Medium Grid 1 Accent 1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A7BFDE"/>
      </w:tcPr>
    </w:tblStylePr>
    <w:tblStylePr w:type="band1Horz">
      <w:rPr/>
      <w:tcPr>
        <w:shd w:val="clear" w:color="auto" w:fill="A7BFDE"/>
      </w:tcPr>
    </w:tblStylePr>
  </w:style>
  <w:style w:type="table" w:styleId="MediumGrid1Accent2">
    <w:name w:val="Medium Grid 1 Accent 2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DFA7A6"/>
      </w:tcPr>
    </w:tblStylePr>
    <w:tblStylePr w:type="band1Horz">
      <w:rPr/>
      <w:tcPr>
        <w:shd w:val="clear" w:color="auto" w:fill="DFA7A6"/>
      </w:tcPr>
    </w:tblStylePr>
  </w:style>
  <w:style w:type="table" w:styleId="MediumGrid1Accent3">
    <w:name w:val="Medium Grid 1 Accent 3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CDDDAC"/>
      </w:tcPr>
    </w:tblStylePr>
    <w:tblStylePr w:type="band1Horz">
      <w:rPr/>
      <w:tcPr>
        <w:shd w:val="clear" w:color="auto" w:fill="CDDDAC"/>
      </w:tcPr>
    </w:tblStylePr>
  </w:style>
  <w:style w:type="table" w:styleId="MediumGrid1Accent4">
    <w:name w:val="Medium Grid 1 Accent 4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BFB1D0"/>
      </w:tcPr>
    </w:tblStylePr>
    <w:tblStylePr w:type="band1Horz">
      <w:rPr/>
      <w:tcPr>
        <w:shd w:val="clear" w:color="auto" w:fill="BFB1D0"/>
      </w:tcPr>
    </w:tblStylePr>
  </w:style>
  <w:style w:type="table" w:styleId="MediumGrid1Accent5">
    <w:name w:val="Medium Grid 1 Accent 5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A5D5E2"/>
      </w:tcPr>
    </w:tblStylePr>
    <w:tblStylePr w:type="band1Horz">
      <w:rPr/>
      <w:tcPr>
        <w:shd w:val="clear" w:color="auto" w:fill="A5D5E2"/>
      </w:tcPr>
    </w:tblStylePr>
  </w:style>
  <w:style w:type="table" w:styleId="MediumGrid1Accent6">
    <w:name w:val="Medium Grid 1 Accent 6"/>
    <w:basedOn w:val="NormalTable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shd w:val="clear" w:color="auto" w:fill="FBCAA2"/>
      </w:tcPr>
    </w:tblStylePr>
    <w:tblStylePr w:type="band1Horz">
      <w:rPr/>
      <w:tcPr>
        <w:shd w:val="clear" w:color="auto" w:fill="FBCAA2"/>
      </w:tcPr>
    </w:tblStylePr>
  </w:style>
  <w:style w:type="table" w:styleId="MediumGrid2">
    <w:name w:val="Medium Grid 2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 w:themeColor="text1"/>
      </w:rPr>
      <w:tcPr>
        <w:shd w:val="clear" w:color="auto" w:fill="E6E6E6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/>
      <w:tcPr>
        <w:shd w:val="clear" w:color="auto" w:fill="808080"/>
      </w:tcPr>
    </w:tblStylePr>
    <w:tblStylePr w:type="band1Horz">
      <w:rPr/>
      <w:tcPr>
        <w:tcBorders>
          <w:insideH w:val="single" w:sz="6" w:space="0" w:color="auto" w:themeColor="text1"/>
          <w:insideV w:val="single" w:sz="6" w:space="0" w:color="auto" w:themeColor="text1"/>
        </w:tcBorders>
        <w:shd w:val="clear" w:color="auto" w:fill="808080"/>
      </w:tcPr>
    </w:tblStylePr>
    <w:tblStylePr w:type="nwCell">
      <w:rPr/>
      <w:tcPr>
        <w:shd w:val="clear" w:color="auto" w:fill="FFFFFF"/>
      </w:tcPr>
    </w:tblStylePr>
  </w:style>
  <w:style w:type="table" w:styleId="MediumGrid2Accent1">
    <w:name w:val="Medium Grid 2 Accent 1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 w:themeColor="text1"/>
      </w:rPr>
      <w:tcPr>
        <w:shd w:val="clear" w:color="auto" w:fill="EDF2F8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/>
      <w:tcPr>
        <w:shd w:val="clear" w:color="auto" w:fill="A7BFDE"/>
      </w:tcPr>
    </w:tblStylePr>
    <w:tblStylePr w:type="band1Horz">
      <w:r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/>
      </w:tcPr>
    </w:tblStylePr>
    <w:tblStylePr w:type="nwCell">
      <w:rPr/>
      <w:tcPr>
        <w:shd w:val="clear" w:color="auto" w:fill="FFFFFF"/>
      </w:tcPr>
    </w:tblStylePr>
  </w:style>
  <w:style w:type="table" w:styleId="MediumGrid2Accent2">
    <w:name w:val="Medium Grid 2 Accent 2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 w:themeColor="text1"/>
      </w:rPr>
      <w:tcPr>
        <w:shd w:val="clear" w:color="auto" w:fill="F8EDED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/>
      <w:tcPr>
        <w:shd w:val="clear" w:color="auto" w:fill="DFA7A6"/>
      </w:tcPr>
    </w:tblStylePr>
    <w:tblStylePr w:type="band1Horz">
      <w:r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rPr/>
      <w:tcPr>
        <w:shd w:val="clear" w:color="auto" w:fill="FFFFFF"/>
      </w:tcPr>
    </w:tblStylePr>
  </w:style>
  <w:style w:type="table" w:styleId="MediumGrid2Accent3">
    <w:name w:val="Medium Grid 2 Accent 3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 w:themeColor="text1"/>
      </w:rPr>
      <w:tcPr>
        <w:shd w:val="clear" w:color="auto" w:fill="F5F8EE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/>
      <w:tcPr>
        <w:shd w:val="clear" w:color="auto" w:fill="CDDDAC"/>
      </w:tcPr>
    </w:tblStylePr>
    <w:tblStylePr w:type="band1Horz">
      <w:r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rPr/>
      <w:tcPr>
        <w:shd w:val="clear" w:color="auto" w:fill="FFFFFF"/>
      </w:tcPr>
    </w:tblStylePr>
  </w:style>
  <w:style w:type="table" w:styleId="MediumGrid2Accent4">
    <w:name w:val="Medium Grid 2 Accent 4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 w:themeColor="text1"/>
      </w:rPr>
      <w:tcPr>
        <w:shd w:val="clear" w:color="auto" w:fill="F2EFF6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/>
      <w:tcPr>
        <w:shd w:val="clear" w:color="auto" w:fill="BFB1D0"/>
      </w:tcPr>
    </w:tblStylePr>
    <w:tblStylePr w:type="band1Horz">
      <w:r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/>
      </w:tcPr>
    </w:tblStylePr>
    <w:tblStylePr w:type="nwCell">
      <w:rPr/>
      <w:tcPr>
        <w:shd w:val="clear" w:color="auto" w:fill="FFFFFF"/>
      </w:tcPr>
    </w:tblStylePr>
  </w:style>
  <w:style w:type="table" w:styleId="MediumGrid2Accent5">
    <w:name w:val="Medium Grid 2 Accent 5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 w:themeColor="text1"/>
      </w:rPr>
      <w:tcPr>
        <w:shd w:val="clear" w:color="auto" w:fill="EDF6F9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/>
      <w:tcPr>
        <w:shd w:val="clear" w:color="auto" w:fill="A5D5E2"/>
      </w:tcPr>
    </w:tblStylePr>
    <w:tblStylePr w:type="band1Horz">
      <w:r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/>
      </w:tcPr>
    </w:tblStylePr>
    <w:tblStylePr w:type="nwCell">
      <w:rPr/>
      <w:tcPr>
        <w:shd w:val="clear" w:color="auto" w:fill="FFFFFF"/>
      </w:tcPr>
    </w:tblStylePr>
  </w:style>
  <w:style w:type="table" w:styleId="MediumGrid2Accent6">
    <w:name w:val="Medium Grid 2 Accent 6"/>
    <w:basedOn w:val="NormalTable"/>
    <w:uiPriority w:val="68"/>
    <w:rsid w:val="00CB0664"/>
    <w:pPr>
      <w:spacing w:after="0" w:line="240" w:lineRule="auto"/>
    </w:pPr>
    <w:rPr>
      <w:rFonts w:ascii="Calibri" w:eastAsia="ＭＳ ゴシック" w:hAnsi="Calibri" w:asciiTheme="majorHAnsi" w:eastAsiaTheme="majorEastAsia" w:hAnsiTheme="majorHAnsi" w:cs="Times New Roman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 w:themeColor="text1"/>
      </w:rPr>
      <w:tcPr>
        <w:shd w:val="clear" w:color="auto" w:fill="FEF4EC"/>
      </w:tcPr>
    </w:tblStylePr>
    <w:tblStylePr w:type="lastRow">
      <w:rPr>
        <w:b/>
        <w:bCs/>
        <w:color w:val="000000" w:themeColor="text1"/>
      </w:rPr>
      <w:tcPr>
        <w:tcBorders>
          <w:top w:val="single" w:sz="12" w:space="0" w:color="auto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/>
      <w:tcPr>
        <w:shd w:val="clear" w:color="auto" w:fill="FBCAA2"/>
      </w:tcPr>
    </w:tblStylePr>
    <w:tblStylePr w:type="band1Horz">
      <w:r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rPr/>
      <w:tcPr>
        <w:shd w:val="clear" w:color="auto" w:fill="FFFFFF"/>
      </w:tcPr>
    </w:tblStylePr>
  </w:style>
  <w:style w:type="table" w:styleId="MediumGrid3">
    <w:name w:val="Medium Grid 3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Accent1">
    <w:name w:val="Medium Grid 3 Accent 1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/>
      </w:tcPr>
    </w:tblStylePr>
  </w:style>
  <w:style w:type="table" w:styleId="MediumGrid3Accent2">
    <w:name w:val="Medium Grid 3 Accent 2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Accent3">
    <w:name w:val="Medium Grid 3 Accent 3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Accent4">
    <w:name w:val="Medium Grid 3 Accent 4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/>
      </w:tcPr>
    </w:tblStylePr>
  </w:style>
  <w:style w:type="table" w:styleId="MediumGrid3Accent5">
    <w:name w:val="Medium Grid 3 Accent 5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/>
      </w:tcPr>
    </w:tblStylePr>
  </w:style>
  <w:style w:type="table" w:styleId="MediumGrid3Accent6">
    <w:name w:val="Medium Grid 3 Accent 6"/>
    <w:basedOn w:val="NormalTable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r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Accent1">
    <w:name w:val="Dark List Accent 1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Accent2">
    <w:name w:val="Dark List Accent 2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Accent3">
    <w:name w:val="Dark List Accent 3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Accent4">
    <w:name w:val="Dark List Accent 4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Accent5">
    <w:name w:val="Dark List Accent 5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Accent6">
    <w:name w:val="Dark List Accent 6"/>
    <w:basedOn w:val="NormalTable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r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r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auto"/>
        <w:bottom w:val="single" w:sz="4" w:space="0" w:color="auto"/>
        <w:right w:val="single" w:sz="4" w:space="0" w:color="auto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auto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/>
      <w:tcPr>
        <w:shd w:val="clear" w:color="auto" w:fill="999999"/>
      </w:tcPr>
    </w:tblStylePr>
    <w:tblStylePr w:type="band1Horz">
      <w:r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C4C74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/>
      <w:tcPr>
        <w:shd w:val="clear" w:color="auto" w:fill="B8CCE4"/>
      </w:tcPr>
    </w:tblStylePr>
    <w:tblStylePr w:type="band1Horz">
      <w:rPr/>
      <w:tcPr>
        <w:shd w:val="clear" w:color="auto" w:fill="A7BFDE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/>
      <w:tcPr>
        <w:shd w:val="clear" w:color="auto" w:fill="E5B8B7"/>
      </w:tcPr>
    </w:tblStylePr>
    <w:tblStylePr w:type="band1Horz">
      <w:rPr/>
      <w:tcPr>
        <w:shd w:val="clear" w:color="auto" w:fill="DFA7A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/>
      <w:tcPr>
        <w:shd w:val="clear" w:color="auto" w:fill="D6E3BC"/>
      </w:tcPr>
    </w:tblStylePr>
    <w:tblStylePr w:type="band1Horz">
      <w:rPr/>
      <w:tcPr>
        <w:shd w:val="clear" w:color="auto" w:fill="CDDDAC"/>
      </w:tcPr>
    </w:tblStylePr>
  </w:style>
  <w:style w:type="table" w:styleId="ColorfulShadingAccent4">
    <w:name w:val="Colorful Shading Accent 4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4C3B62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/>
      <w:tcPr>
        <w:shd w:val="clear" w:color="auto" w:fill="CCC0D9"/>
      </w:tcPr>
    </w:tblStylePr>
    <w:tblStylePr w:type="band1Horz">
      <w:rPr/>
      <w:tcPr>
        <w:shd w:val="clear" w:color="auto" w:fill="BFB1D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276A7C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/>
      <w:tcPr>
        <w:shd w:val="clear" w:color="auto" w:fill="B6DDE8"/>
      </w:tcPr>
    </w:tblStylePr>
    <w:tblStylePr w:type="band1Horz">
      <w:rPr/>
      <w:tcPr>
        <w:shd w:val="clear" w:color="auto" w:fill="A5D5E2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/>
      <w:tcPr>
        <w:shd w:val="clear" w:color="auto" w:fill="FBD4B4"/>
      </w:tcPr>
    </w:tblStylePr>
    <w:tblStylePr w:type="band1Horz">
      <w:rPr/>
      <w:tcPr>
        <w:shd w:val="clear" w:color="auto" w:fill="FBCAA2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/>
      <w:tcPr>
        <w:shd w:val="clear" w:color="auto" w:fill="CCCCCC"/>
      </w:tcPr>
    </w:tblStylePr>
  </w:style>
  <w:style w:type="table" w:styleId="ColorfulListAccent1">
    <w:name w:val="Colorful List Accent 1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/>
      <w:tcPr>
        <w:shd w:val="clear" w:color="auto" w:fill="DBE5F1"/>
      </w:tcPr>
    </w:tblStylePr>
  </w:style>
  <w:style w:type="table" w:styleId="ColorfulListAccent2">
    <w:name w:val="Colorful List Accent 2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/>
      <w:tcPr>
        <w:shd w:val="clear" w:color="auto" w:fill="F2DBDB"/>
      </w:tcPr>
    </w:tblStylePr>
  </w:style>
  <w:style w:type="table" w:styleId="ColorfulListAccent3">
    <w:name w:val="Colorful List Accent 3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664E82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/>
      <w:tcPr>
        <w:shd w:val="clear" w:color="auto" w:fill="EAF1DD"/>
      </w:tcPr>
    </w:tblStylePr>
  </w:style>
  <w:style w:type="table" w:styleId="ColorfulListAccent4">
    <w:name w:val="Colorful List Accent 4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/>
      <w:tcPr>
        <w:shd w:val="clear" w:color="auto" w:fill="E5DFEC"/>
      </w:tcPr>
    </w:tblStylePr>
  </w:style>
  <w:style w:type="table" w:styleId="ColorfulListAccent5">
    <w:name w:val="Colorful List Accent 5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 w:themeColor="accent6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/>
      <w:tcPr>
        <w:shd w:val="clear" w:color="auto" w:fill="DAEEF3"/>
      </w:tcPr>
    </w:tblStylePr>
  </w:style>
  <w:style w:type="table" w:styleId="ColorfulListAccent6">
    <w:name w:val="Colorful List Accent 6"/>
    <w:basedOn w:val="NormalTable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 w:themeColor="background1"/>
      </w:rPr>
      <w:tcPr>
        <w:tcBorders>
          <w:bottom w:val="single" w:sz="12" w:space="0" w:color="FFFFFF" w:themeColor="background1"/>
        </w:tcBorders>
        <w:shd w:val="clear" w:color="auto" w:fill="348DA5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sz="12" w:space="0" w:color="auto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/>
      <w:tcPr>
        <w:shd w:val="clear" w:color="auto" w:fill="FDE9D9"/>
      </w:tcPr>
    </w:tblStylePr>
  </w:style>
  <w:style w:type="table" w:styleId="ColorfulGrid">
    <w:name w:val="Colorful Grid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 w:themeColor="text1"/>
      </w:rPr>
      <w:tcPr>
        <w:shd w:val="clear" w:color="auto" w:fill="999999"/>
      </w:tcPr>
    </w:tblStylePr>
    <w:tblStylePr w:type="firstCol">
      <w:rPr>
        <w:color w:val="FFFFFF" w:themeColor="background1"/>
      </w:rPr>
      <w:tcPr>
        <w:shd w:val="clear" w:color="auto" w:fill="000000"/>
      </w:tcPr>
    </w:tblStylePr>
    <w:tblStylePr w:type="lastCol">
      <w:rPr>
        <w:color w:val="FFFFFF" w:themeColor="background1"/>
      </w:rPr>
      <w:tcPr>
        <w:shd w:val="clear" w:color="auto" w:fill="000000"/>
      </w:tcPr>
    </w:tblStylePr>
    <w:tblStylePr w:type="band1Vert">
      <w:rPr/>
      <w:tcPr>
        <w:shd w:val="clear" w:color="auto" w:fill="808080"/>
      </w:tcPr>
    </w:tblStylePr>
    <w:tblStylePr w:type="band1Horz">
      <w:rPr/>
      <w:tcPr>
        <w:shd w:val="clear" w:color="auto" w:fill="808080"/>
      </w:tcPr>
    </w:tblStylePr>
  </w:style>
  <w:style w:type="table" w:styleId="ColorfulGridAccent1">
    <w:name w:val="Colorful Grid Accent 1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cPr>
        <w:shd w:val="clear" w:color="auto" w:fill="B8CCE4"/>
      </w:tcPr>
    </w:tblStylePr>
    <w:tblStylePr w:type="lastRow">
      <w:rPr>
        <w:b/>
        <w:bCs/>
        <w:color w:val="000000" w:themeColor="text1"/>
      </w:rPr>
      <w:tcPr>
        <w:shd w:val="clear" w:color="auto" w:fill="B8CCE4"/>
      </w:tcPr>
    </w:tblStylePr>
    <w:tblStylePr w:type="firstCol">
      <w:rPr>
        <w:color w:val="FFFFFF" w:themeColor="background1"/>
      </w:rPr>
      <w:tcPr>
        <w:shd w:val="clear" w:color="auto" w:fill="365F91"/>
      </w:tcPr>
    </w:tblStylePr>
    <w:tblStylePr w:type="lastCol">
      <w:rPr>
        <w:color w:val="FFFFFF" w:themeColor="background1"/>
      </w:rPr>
      <w:tcPr>
        <w:shd w:val="clear" w:color="auto" w:fill="365F91"/>
      </w:tcPr>
    </w:tblStylePr>
    <w:tblStylePr w:type="band1Vert">
      <w:rPr/>
      <w:tcPr>
        <w:shd w:val="clear" w:color="auto" w:fill="A7BFDE"/>
      </w:tcPr>
    </w:tblStylePr>
    <w:tblStylePr w:type="band1Horz">
      <w:rPr/>
      <w:tcPr>
        <w:shd w:val="clear" w:color="auto" w:fill="A7BFDE"/>
      </w:tcPr>
    </w:tblStylePr>
  </w:style>
  <w:style w:type="table" w:styleId="ColorfulGridAccent2">
    <w:name w:val="Colorful Grid Accent 2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cPr>
        <w:shd w:val="clear" w:color="auto" w:fill="E5B8B7"/>
      </w:tcPr>
    </w:tblStylePr>
    <w:tblStylePr w:type="lastRow">
      <w:rPr>
        <w:b/>
        <w:bCs/>
        <w:color w:val="000000" w:themeColor="text1"/>
      </w:rPr>
      <w:tcPr>
        <w:shd w:val="clear" w:color="auto" w:fill="E5B8B7"/>
      </w:tcPr>
    </w:tblStylePr>
    <w:tblStylePr w:type="firstCol">
      <w:rPr>
        <w:color w:val="FFFFFF" w:themeColor="background1"/>
      </w:rPr>
      <w:tcPr>
        <w:shd w:val="clear" w:color="auto" w:fill="943634"/>
      </w:tcPr>
    </w:tblStylePr>
    <w:tblStylePr w:type="lastCol">
      <w:rPr>
        <w:color w:val="FFFFFF" w:themeColor="background1"/>
      </w:rPr>
      <w:tcPr>
        <w:shd w:val="clear" w:color="auto" w:fill="943634"/>
      </w:tcPr>
    </w:tblStylePr>
    <w:tblStylePr w:type="band1Vert">
      <w:rPr/>
      <w:tcPr>
        <w:shd w:val="clear" w:color="auto" w:fill="DFA7A6"/>
      </w:tcPr>
    </w:tblStylePr>
    <w:tblStylePr w:type="band1Horz">
      <w:rPr/>
      <w:tcPr>
        <w:shd w:val="clear" w:color="auto" w:fill="DFA7A6"/>
      </w:tcPr>
    </w:tblStylePr>
  </w:style>
  <w:style w:type="table" w:styleId="ColorfulGridAccent3">
    <w:name w:val="Colorful Grid Accent 3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cPr>
        <w:shd w:val="clear" w:color="auto" w:fill="D6E3BC"/>
      </w:tcPr>
    </w:tblStylePr>
    <w:tblStylePr w:type="lastRow">
      <w:rPr>
        <w:b/>
        <w:bCs/>
        <w:color w:val="000000" w:themeColor="text1"/>
      </w:rPr>
      <w:tcPr>
        <w:shd w:val="clear" w:color="auto" w:fill="D6E3BC"/>
      </w:tcPr>
    </w:tblStylePr>
    <w:tblStylePr w:type="firstCol">
      <w:rPr>
        <w:color w:val="FFFFFF" w:themeColor="background1"/>
      </w:rPr>
      <w:tcPr>
        <w:shd w:val="clear" w:color="auto" w:fill="76923C"/>
      </w:tcPr>
    </w:tblStylePr>
    <w:tblStylePr w:type="lastCol">
      <w:rPr>
        <w:color w:val="FFFFFF" w:themeColor="background1"/>
      </w:rPr>
      <w:tcPr>
        <w:shd w:val="clear" w:color="auto" w:fill="76923C"/>
      </w:tcPr>
    </w:tblStylePr>
    <w:tblStylePr w:type="band1Vert">
      <w:rPr/>
      <w:tcPr>
        <w:shd w:val="clear" w:color="auto" w:fill="CDDDAC"/>
      </w:tcPr>
    </w:tblStylePr>
    <w:tblStylePr w:type="band1Horz">
      <w:rPr/>
      <w:tcPr>
        <w:shd w:val="clear" w:color="auto" w:fill="CDDDAC"/>
      </w:tcPr>
    </w:tblStylePr>
  </w:style>
  <w:style w:type="table" w:styleId="ColorfulGridAccent4">
    <w:name w:val="Colorful Grid Accent 4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cPr>
        <w:shd w:val="clear" w:color="auto" w:fill="CCC0D9"/>
      </w:tcPr>
    </w:tblStylePr>
    <w:tblStylePr w:type="lastRow">
      <w:rPr>
        <w:b/>
        <w:bCs/>
        <w:color w:val="000000" w:themeColor="text1"/>
      </w:rPr>
      <w:tcPr>
        <w:shd w:val="clear" w:color="auto" w:fill="CCC0D9"/>
      </w:tcPr>
    </w:tblStylePr>
    <w:tblStylePr w:type="firstCol">
      <w:rPr>
        <w:color w:val="FFFFFF" w:themeColor="background1"/>
      </w:rPr>
      <w:tcPr>
        <w:shd w:val="clear" w:color="auto" w:fill="5F497A"/>
      </w:tcPr>
    </w:tblStylePr>
    <w:tblStylePr w:type="lastCol">
      <w:rPr>
        <w:color w:val="FFFFFF" w:themeColor="background1"/>
      </w:rPr>
      <w:tcPr>
        <w:shd w:val="clear" w:color="auto" w:fill="5F497A"/>
      </w:tcPr>
    </w:tblStylePr>
    <w:tblStylePr w:type="band1Vert">
      <w:rPr/>
      <w:tcPr>
        <w:shd w:val="clear" w:color="auto" w:fill="BFB1D0"/>
      </w:tcPr>
    </w:tblStylePr>
    <w:tblStylePr w:type="band1Horz">
      <w:rPr/>
      <w:tcPr>
        <w:shd w:val="clear" w:color="auto" w:fill="BFB1D0"/>
      </w:tcPr>
    </w:tblStylePr>
  </w:style>
  <w:style w:type="table" w:styleId="ColorfulGridAccent5">
    <w:name w:val="Colorful Grid Accent 5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cPr>
        <w:shd w:val="clear" w:color="auto" w:fill="B6DDE8"/>
      </w:tcPr>
    </w:tblStylePr>
    <w:tblStylePr w:type="lastRow">
      <w:rPr>
        <w:b/>
        <w:bCs/>
        <w:color w:val="000000" w:themeColor="text1"/>
      </w:rPr>
      <w:tcPr>
        <w:shd w:val="clear" w:color="auto" w:fill="B6DDE8"/>
      </w:tcPr>
    </w:tblStylePr>
    <w:tblStylePr w:type="firstCol">
      <w:rPr>
        <w:color w:val="FFFFFF" w:themeColor="background1"/>
      </w:rPr>
      <w:tcPr>
        <w:shd w:val="clear" w:color="auto" w:fill="31849B"/>
      </w:tcPr>
    </w:tblStylePr>
    <w:tblStylePr w:type="lastCol">
      <w:rPr>
        <w:color w:val="FFFFFF" w:themeColor="background1"/>
      </w:rPr>
      <w:tcPr>
        <w:shd w:val="clear" w:color="auto" w:fill="31849B"/>
      </w:tcPr>
    </w:tblStylePr>
    <w:tblStylePr w:type="band1Vert">
      <w:rPr/>
      <w:tcPr>
        <w:shd w:val="clear" w:color="auto" w:fill="A5D5E2"/>
      </w:tcPr>
    </w:tblStylePr>
    <w:tblStylePr w:type="band1Horz">
      <w:rPr/>
      <w:tcPr>
        <w:shd w:val="clear" w:color="auto" w:fill="A5D5E2"/>
      </w:tcPr>
    </w:tblStylePr>
  </w:style>
  <w:style w:type="table" w:styleId="ColorfulGridAccent6">
    <w:name w:val="Colorful Grid Accent 6"/>
    <w:basedOn w:val="NormalTable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cPr>
        <w:shd w:val="clear" w:color="auto" w:fill="FBD4B4"/>
      </w:tcPr>
    </w:tblStylePr>
    <w:tblStylePr w:type="lastRow">
      <w:rPr>
        <w:b/>
        <w:bCs/>
        <w:color w:val="000000" w:themeColor="text1"/>
      </w:rPr>
      <w:tcPr>
        <w:shd w:val="clear" w:color="auto" w:fill="FBD4B4"/>
      </w:tcPr>
    </w:tblStylePr>
    <w:tblStylePr w:type="firstCol">
      <w:rPr>
        <w:color w:val="FFFFFF" w:themeColor="background1"/>
      </w:rPr>
      <w:tcPr>
        <w:shd w:val="clear" w:color="auto" w:fill="E36C0A"/>
      </w:tcPr>
    </w:tblStylePr>
    <w:tblStylePr w:type="lastCol">
      <w:rPr>
        <w:color w:val="FFFFFF" w:themeColor="background1"/>
      </w:rPr>
      <w:tcPr>
        <w:shd w:val="clear" w:color="auto" w:fill="E36C0A"/>
      </w:tcPr>
    </w:tblStylePr>
    <w:tblStylePr w:type="band1Vert">
      <w:rPr/>
      <w:tcPr>
        <w:shd w:val="clear" w:color="auto" w:fill="FBCAA2"/>
      </w:tcPr>
    </w:tblStylePr>
    <w:tblStylePr w:type="band1Horz">
      <w:r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10</Pages>
  <Words>2767</Words>
  <Characters>2961</Characters>
  <Application>Microsoft Office Word</Application>
  <DocSecurity>0</DocSecurity>
  <Lines>109</Lines>
  <Paragraphs>76</Paragraphs>
  <CharactersWithSpaces>5652</CharactersWithSpaces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2026-03-07T15:11:00Z</dcterms:created>
  <dcterms:modified xsi:type="dcterms:W3CDTF">2026-03-08T07:35:00Z</dcterms:modified>
</cp:coreProperties>
</file>