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9E21E5">
      <w:pPr>
        <w:spacing w:line="320" w:lineRule="auto"/>
        <w:ind w:firstLine="600"/>
        <w:jc w:val="center"/>
        <w:textAlignment w:val="center"/>
        <w:rPr>
          <w:rFonts w:ascii="仿宋" w:hAnsi="仿宋" w:eastAsia="仿宋"/>
          <w:sz w:val="52"/>
        </w:rPr>
      </w:pPr>
      <w:bookmarkStart w:id="0" w:name="_GoBack"/>
      <w:bookmarkEnd w:id="0"/>
      <w:r>
        <w:rPr>
          <w:rFonts w:ascii="黑体" w:hAnsi="黑体" w:eastAsia="黑体" w:cs="黑体"/>
          <w:b/>
          <w:color w:val="000000"/>
          <w:sz w:val="48"/>
        </w:rPr>
        <w:t>《杭州市人工智能创新高地建设2026年行动计划》</w:t>
      </w:r>
    </w:p>
    <w:p w14:paraId="352DCA5F">
      <w:pPr>
        <w:spacing w:line="320" w:lineRule="auto"/>
        <w:ind w:firstLine="720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为深入贯彻落实国家《新一代人工智能发展规划》《浙江省人工智能产业发展行动计划（2023—2027年）》，锚定打造全球领先的人工智能创新高地战略目标，结合杭州市产业基础与发展实际，制定本行动计划，实施期限为2024年至2026年。</w:t>
      </w:r>
    </w:p>
    <w:p w14:paraId="57C3E714">
      <w:pPr>
        <w:pStyle w:val="3"/>
        <w:spacing w:line="320" w:lineRule="auto"/>
        <w:ind w:firstLine="723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一、总体要求与发展目标</w:t>
      </w:r>
    </w:p>
    <w:p w14:paraId="1346E3A4">
      <w:pPr>
        <w:pStyle w:val="4"/>
        <w:spacing w:line="320" w:lineRule="auto"/>
        <w:ind w:firstLine="723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（一）总体要求</w:t>
      </w:r>
    </w:p>
    <w:p w14:paraId="110E86D7">
      <w:pPr>
        <w:spacing w:line="320" w:lineRule="auto"/>
        <w:ind w:firstLine="720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坚持“技术策源、场景驱动、产业集聚、安全可控”核心原则，以通用人工智能突破为主攻方向，强化底层技术攻关、应用场景开放、产业生态培育三位一体推进，构建“基础层-技术层-应用层”全链条自主可控产业体系，推动人工智能与实体经济、城市治理、民生服务深度融合，为杭州建设世界一流社会主义现代化国际大都市提供核心技术支撑。</w:t>
      </w:r>
    </w:p>
    <w:p w14:paraId="613CDA31">
      <w:pPr>
        <w:pStyle w:val="4"/>
        <w:spacing w:line="320" w:lineRule="auto"/>
        <w:ind w:firstLine="723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（二）核心目标</w:t>
      </w:r>
    </w:p>
    <w:p w14:paraId="0DB5D085">
      <w:pPr>
        <w:spacing w:line="320" w:lineRule="auto"/>
        <w:ind w:firstLine="720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到2026年，全市人工智能产业核心竞争力进入全球第一方阵，全面建成具有国际影响力的人工智能创新高地：</w:t>
      </w:r>
    </w:p>
    <w:p w14:paraId="49828495">
      <w:pPr>
        <w:spacing w:line="320" w:lineRule="auto"/>
        <w:ind w:firstLine="720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 xml:space="preserve">1. </w:t>
      </w:r>
      <w:r>
        <w:rPr>
          <w:rFonts w:ascii="仿宋" w:hAnsi="仿宋" w:eastAsia="仿宋" w:cs="仿宋"/>
          <w:b/>
          <w:color w:val="000000"/>
          <w:sz w:val="36"/>
        </w:rPr>
        <w:t>产业规模</w:t>
      </w:r>
      <w:r>
        <w:rPr>
          <w:rFonts w:ascii="仿宋" w:hAnsi="仿宋" w:eastAsia="仿宋" w:cs="仿宋"/>
          <w:color w:val="000000"/>
          <w:sz w:val="36"/>
        </w:rPr>
        <w:t>：人工智能核心产业规模突破3500亿元，带动相关产业规模突破1.2万亿元，培育人工智能上市企业25家以上，国家级专精特新“小巨人”人工智能企业80家以上，进入“中国人工智能企业100强”企业数量突破20家，形成3个以上千亿级人工智能细分产业集群。</w:t>
      </w:r>
    </w:p>
    <w:p w14:paraId="5ECD3299">
      <w:pPr>
        <w:spacing w:line="320" w:lineRule="auto"/>
        <w:ind w:firstLine="720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 xml:space="preserve">2. </w:t>
      </w:r>
      <w:r>
        <w:rPr>
          <w:rFonts w:ascii="仿宋" w:hAnsi="仿宋" w:eastAsia="仿宋" w:cs="仿宋"/>
          <w:b/>
          <w:color w:val="000000"/>
          <w:sz w:val="36"/>
        </w:rPr>
        <w:t>技术创新</w:t>
      </w:r>
      <w:r>
        <w:rPr>
          <w:rFonts w:ascii="仿宋" w:hAnsi="仿宋" w:eastAsia="仿宋" w:cs="仿宋"/>
          <w:color w:val="000000"/>
          <w:sz w:val="36"/>
        </w:rPr>
        <w:t>：人工智能领域累计授权发明专利突破2万件，在通用大模型、AI芯片、具身智能、AI for Science等领域取得100项以上填补国内空白的关键技术成果，主导或参与制定人工智能国际、国家标准50项以上，城西科创大走廊成为全球重要的人工智能技术策源地。</w:t>
      </w:r>
    </w:p>
    <w:p w14:paraId="65116725">
      <w:pPr>
        <w:spacing w:line="320" w:lineRule="auto"/>
        <w:ind w:firstLine="720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 xml:space="preserve">3. </w:t>
      </w:r>
      <w:r>
        <w:rPr>
          <w:rFonts w:ascii="仿宋" w:hAnsi="仿宋" w:eastAsia="仿宋" w:cs="仿宋"/>
          <w:b/>
          <w:color w:val="000000"/>
          <w:sz w:val="36"/>
        </w:rPr>
        <w:t>基础设施</w:t>
      </w:r>
      <w:r>
        <w:rPr>
          <w:rFonts w:ascii="仿宋" w:hAnsi="仿宋" w:eastAsia="仿宋" w:cs="仿宋"/>
          <w:color w:val="000000"/>
          <w:sz w:val="36"/>
        </w:rPr>
        <w:t>：全市公共智能算力总规模突破50EFLOPS（FP16精度），建成覆盖全市的低时延算力调度网络，平均算力响应时间压缩至10毫秒以内，公共数据开放规模突破100PB，建成200个以上高质量垂直领域标注数据集，人工智能基础支撑能力达到国内领先水平。</w:t>
      </w:r>
    </w:p>
    <w:p w14:paraId="50D102FE">
      <w:pPr>
        <w:spacing w:line="320" w:lineRule="auto"/>
        <w:ind w:firstLine="720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 xml:space="preserve">4. </w:t>
      </w:r>
      <w:r>
        <w:rPr>
          <w:rFonts w:ascii="仿宋" w:hAnsi="仿宋" w:eastAsia="仿宋" w:cs="仿宋"/>
          <w:b/>
          <w:color w:val="000000"/>
          <w:sz w:val="36"/>
        </w:rPr>
        <w:t>应用渗透</w:t>
      </w:r>
      <w:r>
        <w:rPr>
          <w:rFonts w:ascii="仿宋" w:hAnsi="仿宋" w:eastAsia="仿宋" w:cs="仿宋"/>
          <w:color w:val="000000"/>
          <w:sz w:val="36"/>
        </w:rPr>
        <w:t>：规模以上制造业企业人工智能应用覆盖率达60%，政务服务事项AI辅助办理率达90%，三甲医院AI辅助诊断覆盖率达100%，主城区交通路口AI信号调控覆盖率达100%，教育、养老、文旅等重点民生领域人工智能应用实现全覆盖，全场景人工智能赋能体系基本建成。</w:t>
      </w:r>
    </w:p>
    <w:p w14:paraId="01F292AB">
      <w:pPr>
        <w:pStyle w:val="3"/>
        <w:spacing w:line="320" w:lineRule="auto"/>
        <w:ind w:firstLine="723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二、核心技术攻坚行动</w:t>
      </w:r>
    </w:p>
    <w:p w14:paraId="35655ABE">
      <w:pPr>
        <w:spacing w:line="320" w:lineRule="auto"/>
        <w:ind w:firstLine="720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聚焦人工智能关键核心技术痛点，构建“通用技术+前沿技术+底层硬件”协同攻关体系，实现高水平科技自立自强。</w:t>
      </w:r>
    </w:p>
    <w:p w14:paraId="52406AE5">
      <w:pPr>
        <w:pStyle w:val="4"/>
        <w:spacing w:line="320" w:lineRule="auto"/>
        <w:ind w:firstLine="723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（一）通用人工智能技术攻关</w:t>
      </w:r>
    </w:p>
    <w:p w14:paraId="409473F7">
      <w:pPr>
        <w:spacing w:line="320" w:lineRule="auto"/>
        <w:ind w:firstLine="720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实施“大模型双梯队培育计划”：基础层重点支持之江实验室、阿里达摩院、网易伏羲等机构开展通用大模型研发，突破多模态融合理解、长上下文处理、低资源适配、安全对齐等核心技术，到2026年打造3-5个参数规模超万亿、性能达到国际领先水平的通用大模型产品，平均推理成本较2023年降低60%以上；应用层重点面向智能制造、智慧医疗、智慧金融、智慧政务等垂直领域，培育20个以上适配行业需求、落地效果显著的标杆级行业大模型，降低中小微企业大模型使用门槛30%以上。</w:t>
      </w:r>
    </w:p>
    <w:p w14:paraId="0669C376">
      <w:pPr>
        <w:pStyle w:val="4"/>
        <w:spacing w:line="320" w:lineRule="auto"/>
        <w:ind w:firstLine="723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（二）前沿技术前瞻布局</w:t>
      </w:r>
    </w:p>
    <w:p w14:paraId="7FB51334">
      <w:pPr>
        <w:spacing w:line="320" w:lineRule="auto"/>
        <w:ind w:firstLine="720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重点布局类脑智能、量子人工智能、具身智能、AI for Science等前沿方向：支持西湖大学、浙江大学脑科学与脑医学学院开展类脑计算架构、神经形态芯片研发，到2026年建成1个国际领先的类脑智能研发平台；围绕人形机器人核心需求，突破具身感知、运动控制、人机交互等关键技术，培育5款以上具备商业化落地能力的人形机器人产品；在新药研发、新材料创制、气候模拟、基因测序等领域打造15个以上AI for Science典型应用场景，研发效率较传统模式提升50%以上。</w:t>
      </w:r>
    </w:p>
    <w:p w14:paraId="4A51A2CA">
      <w:pPr>
        <w:pStyle w:val="4"/>
        <w:spacing w:line="320" w:lineRule="auto"/>
        <w:ind w:firstLine="723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（三）关键软硬件自主可控攻关</w:t>
      </w:r>
    </w:p>
    <w:p w14:paraId="24526C8C">
      <w:pPr>
        <w:spacing w:line="320" w:lineRule="auto"/>
        <w:ind w:firstLine="720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实施AI核心软硬件“补链强链计划”：重点支持GPU、NPU、存算一体芯片等人工智能专用芯片研发，到2026年推出3款以上性能达到国际先进水平的自主可控AI芯片，车载、工业级AI芯片国产化率提升至40%以上；支持自主AI框架、算子库、开发工具迭代升级，培育2个以上国内市场占有率TOP5的AI开源框架，构建全栈自主可控的人工智能技术底座。</w:t>
      </w:r>
    </w:p>
    <w:p w14:paraId="48AB92F5">
      <w:pPr>
        <w:pStyle w:val="3"/>
        <w:spacing w:line="320" w:lineRule="auto"/>
        <w:ind w:firstLine="723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三、产业生态培育行动</w:t>
      </w:r>
    </w:p>
    <w:p w14:paraId="188A2ABD">
      <w:pPr>
        <w:spacing w:line="320" w:lineRule="auto"/>
        <w:ind w:firstLine="720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构建“梯次企业培育+全场景开放+特色载体支撑”的产业发展生态，推动人工智能产业规模化集聚发展。</w:t>
      </w:r>
    </w:p>
    <w:p w14:paraId="03E73D63">
      <w:pPr>
        <w:pStyle w:val="4"/>
        <w:spacing w:line="320" w:lineRule="auto"/>
        <w:ind w:firstLine="723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（一）梯次企业培育工程</w:t>
      </w:r>
    </w:p>
    <w:p w14:paraId="7E5A3599">
      <w:pPr>
        <w:spacing w:line="320" w:lineRule="auto"/>
        <w:ind w:firstLine="720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实施人工智能龙头企业“领航计划”：支持阿里巴巴、海康威视、大华股份、网易等头部人工智能企业建设全球研发中心，鼓励龙头企业开放技术、算力、场景资源，带动产业链上下游中小企业协同发展，到2026年培育3家以上营收超千亿元的人工智能领航企业，10家以上营收超百亿元的人工智能骨干企业；实施初创企业“雏鹰计划”，依托未来科技城、滨江人工智能产业园等孵化载体，每年孵化人工智能领域初创企业150家以上，对获得天使轮及以上风险投资的初创企业给予最高100万元的创业补贴，对首次入选“中国人工智能企业100强”的企业给予100万元一次性奖励。</w:t>
      </w:r>
    </w:p>
    <w:p w14:paraId="283D22FA">
      <w:pPr>
        <w:pStyle w:val="4"/>
        <w:spacing w:line="320" w:lineRule="auto"/>
        <w:ind w:firstLine="723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（二）“AI+百业千景”示范工程</w:t>
      </w:r>
    </w:p>
    <w:p w14:paraId="79411EA9">
      <w:pPr>
        <w:spacing w:line="320" w:lineRule="auto"/>
        <w:ind w:firstLine="720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面向实体经济、城市治理、民生服务三大领域，推出1000个以上人工智能应用场景，实行“揭榜挂帅”制度，鼓励企业参与场景建设：</w:t>
      </w:r>
    </w:p>
    <w:p w14:paraId="38600C71">
      <w:pPr>
        <w:spacing w:line="320" w:lineRule="auto"/>
        <w:ind w:firstLine="720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 xml:space="preserve">1. </w:t>
      </w:r>
      <w:r>
        <w:rPr>
          <w:rFonts w:ascii="仿宋" w:hAnsi="仿宋" w:eastAsia="仿宋" w:cs="仿宋"/>
          <w:b/>
          <w:color w:val="000000"/>
          <w:sz w:val="36"/>
        </w:rPr>
        <w:t>AI+智能制造</w:t>
      </w:r>
      <w:r>
        <w:rPr>
          <w:rFonts w:ascii="仿宋" w:hAnsi="仿宋" w:eastAsia="仿宋" w:cs="仿宋"/>
          <w:color w:val="000000"/>
          <w:sz w:val="36"/>
        </w:rPr>
        <w:t>：围绕离散制造、流程制造等领域，支持企业部署AI质量检测、智能调度、预测性维护等应用，到2026年打造500个AI+智能制造标杆场景，建成30家以上人工智能赋能的“未来工厂”，规上制造业企业生产效率平均提升20%以上，不良品率平均降低15%以上。</w:t>
      </w:r>
    </w:p>
    <w:p w14:paraId="1C43BFFD">
      <w:pPr>
        <w:spacing w:line="320" w:lineRule="auto"/>
        <w:ind w:firstLine="720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 xml:space="preserve">2. </w:t>
      </w:r>
      <w:r>
        <w:rPr>
          <w:rFonts w:ascii="仿宋" w:hAnsi="仿宋" w:eastAsia="仿宋" w:cs="仿宋"/>
          <w:b/>
          <w:color w:val="000000"/>
          <w:sz w:val="36"/>
        </w:rPr>
        <w:t>AI+政务服务</w:t>
      </w:r>
      <w:r>
        <w:rPr>
          <w:rFonts w:ascii="仿宋" w:hAnsi="仿宋" w:eastAsia="仿宋" w:cs="仿宋"/>
          <w:color w:val="000000"/>
          <w:sz w:val="36"/>
        </w:rPr>
        <w:t>：推进“城市大脑”迭代升级，依托大模型优化政务服务流程，实现政务咨询、事项办理、政策兑现等服务智能响应，到2026年全市政务服务事项AI辅助办理率达90%，高频服务事项“秒办”覆盖率达100%，企业群众办事时间平均压缩60%以上。</w:t>
      </w:r>
    </w:p>
    <w:p w14:paraId="298BBEE7">
      <w:pPr>
        <w:spacing w:line="320" w:lineRule="auto"/>
        <w:ind w:firstLine="720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 xml:space="preserve">3. </w:t>
      </w:r>
      <w:r>
        <w:rPr>
          <w:rFonts w:ascii="仿宋" w:hAnsi="仿宋" w:eastAsia="仿宋" w:cs="仿宋"/>
          <w:b/>
          <w:color w:val="000000"/>
          <w:sz w:val="36"/>
        </w:rPr>
        <w:t>AI+智慧医疗</w:t>
      </w:r>
      <w:r>
        <w:rPr>
          <w:rFonts w:ascii="仿宋" w:hAnsi="仿宋" w:eastAsia="仿宋" w:cs="仿宋"/>
          <w:color w:val="000000"/>
          <w:sz w:val="36"/>
        </w:rPr>
        <w:t>：支持AI医学影像辅助诊断、临床决策支持、药物研发等应用落地，到2026年所有三甲医院实现AI辅助诊断全覆盖，基层医疗机构AI辅助诊疗覆盖率达80%，AI辅助诊断准确率提升至95%以上，新药研发周期平均缩短30%。</w:t>
      </w:r>
    </w:p>
    <w:p w14:paraId="279C1BA8">
      <w:pPr>
        <w:spacing w:line="320" w:lineRule="auto"/>
        <w:ind w:firstLine="720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 xml:space="preserve">4. </w:t>
      </w:r>
      <w:r>
        <w:rPr>
          <w:rFonts w:ascii="仿宋" w:hAnsi="仿宋" w:eastAsia="仿宋" w:cs="仿宋"/>
          <w:b/>
          <w:color w:val="000000"/>
          <w:sz w:val="36"/>
        </w:rPr>
        <w:t>AI+智慧城市</w:t>
      </w:r>
      <w:r>
        <w:rPr>
          <w:rFonts w:ascii="仿宋" w:hAnsi="仿宋" w:eastAsia="仿宋" w:cs="仿宋"/>
          <w:color w:val="000000"/>
          <w:sz w:val="36"/>
        </w:rPr>
        <w:t>：推进AI在交通治理、生态环保、公共安全等领域应用，主城区交通路口AI信号调控全覆盖，通行效率提升20%以上，重点区域扬尘、水污染AI监测覆盖率达100%，公共安全事件预警准确率提升至90%以上。</w:t>
      </w:r>
    </w:p>
    <w:p w14:paraId="605FF60F">
      <w:pPr>
        <w:spacing w:line="320" w:lineRule="auto"/>
        <w:ind w:firstLine="720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 xml:space="preserve">5. </w:t>
      </w:r>
      <w:r>
        <w:rPr>
          <w:rFonts w:ascii="仿宋" w:hAnsi="仿宋" w:eastAsia="仿宋" w:cs="仿宋"/>
          <w:b/>
          <w:color w:val="000000"/>
          <w:sz w:val="36"/>
        </w:rPr>
        <w:t>AI+民生服务</w:t>
      </w:r>
      <w:r>
        <w:rPr>
          <w:rFonts w:ascii="仿宋" w:hAnsi="仿宋" w:eastAsia="仿宋" w:cs="仿宋"/>
          <w:color w:val="000000"/>
          <w:sz w:val="36"/>
        </w:rPr>
        <w:t>：重点布局智慧教育、智慧养老、智慧文旅等场景，到2026年全市中小学AI智慧教育覆盖率达70%，养老机构AI智能监护覆盖率达80%，A级以上景区智能导览、AI预约服务覆盖率达100%。</w:t>
      </w:r>
    </w:p>
    <w:p w14:paraId="03AC116D">
      <w:pPr>
        <w:pStyle w:val="4"/>
        <w:spacing w:line="320" w:lineRule="auto"/>
        <w:ind w:firstLine="723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（三）产业载体与公共平台建设</w:t>
      </w:r>
    </w:p>
    <w:p w14:paraId="48B617EE">
      <w:pPr>
        <w:spacing w:line="320" w:lineRule="auto"/>
        <w:ind w:firstLine="720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优化“一核多极”产业空间布局：以西溪谷人工智能产业园、未来科技城AI小镇为核心策源区，重点布局大模型、前沿技术研发；以滨江人工智能产业园为核心转化区，重点布局智能视觉、智能安防产业；以钱塘区人工智能+制造集聚区、临平区具身智能产业园为特色承载区，重点布局工业AI、服务机器人、人形机器人产业；各区县结合自身产业特色布局人工智能细分领域，避免同质化竞争，到2026年建成5个以上百亿级人工智能产业集群，10个以上市级人工智能特色园区。</w:t>
      </w:r>
    </w:p>
    <w:p w14:paraId="115119F2">
      <w:pPr>
        <w:spacing w:line="320" w:lineRule="auto"/>
        <w:ind w:firstLine="720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加快公共服务平台升级：升级杭州市公共智能算力服务平台，整合全市算力资源，构建“算力调度+模型训练+应用开发”一体化服务体系，到2026年平台总算力规模突破50EFLOPS，对中小微企业、科研团队算力使用费用给予最高50%的补贴，每年服务AI创新主体1000家以上；建设杭州市大模型评测中心，建立涵盖安全性、可靠性、适配性、伦理合规等维度的评测体系，到2026年完成100款以上大模型产品评测，为大模型落地应用提供权威支撑。</w:t>
      </w:r>
    </w:p>
    <w:p w14:paraId="2F7FD793">
      <w:pPr>
        <w:pStyle w:val="3"/>
        <w:spacing w:line="320" w:lineRule="auto"/>
        <w:ind w:firstLine="723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四、数据要素赋能行动</w:t>
      </w:r>
    </w:p>
    <w:p w14:paraId="70E669F6">
      <w:pPr>
        <w:spacing w:line="320" w:lineRule="auto"/>
        <w:ind w:firstLine="720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打通AI数据“供给-流通-安全”全链条，为人工智能产业发展提供高质量数据要素支撑。</w:t>
      </w:r>
    </w:p>
    <w:p w14:paraId="4A0436BC">
      <w:pPr>
        <w:pStyle w:val="4"/>
        <w:spacing w:line="320" w:lineRule="auto"/>
        <w:ind w:firstLine="723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（一）高质量AI数据集建设</w:t>
      </w:r>
    </w:p>
    <w:p w14:paraId="1920A9BD">
      <w:pPr>
        <w:spacing w:line="320" w:lineRule="auto"/>
        <w:ind w:firstLine="720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实施公共数据开放行动计划：分级分类开放政务、交通、医疗、教育、气象等公共数据，到2026年全市公共数据开放规模突破100PB，开放数据质量合格率达95%以上；支持行业龙头企业、科研机构建设垂直领域标注数据集，重点打造制造、医疗、金融、自动驾驶等领域高质量标注数据集200个以上，免费向中小微企业、科研团队开放100个公共数据集。</w:t>
      </w:r>
    </w:p>
    <w:p w14:paraId="1D70F6F7">
      <w:pPr>
        <w:pStyle w:val="4"/>
        <w:spacing w:line="320" w:lineRule="auto"/>
        <w:ind w:firstLine="723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（二）数据流通体系建设</w:t>
      </w:r>
    </w:p>
    <w:p w14:paraId="40480C2B">
      <w:pPr>
        <w:spacing w:line="320" w:lineRule="auto"/>
        <w:ind w:firstLine="720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依托杭州国际数字交易中心，建立AI数据确权、定价、交易、安全全流程服务体系，制定AI数据交易规则，探索数据知识产权质押、数据资产入表等创新机制，到2026年AI数据年交易规模突破20亿元，累计交易规模突破50亿元，年增速保持30%以上。培育壮大数据标注产业，支持标注企业研发智能标注工具，提升标注效率，到2026年培育10家以上营收超亿元的头部数据标注企业，全行业标注从业人员突破2万人。</w:t>
      </w:r>
    </w:p>
    <w:p w14:paraId="5B59D99E">
      <w:pPr>
        <w:pStyle w:val="4"/>
        <w:spacing w:line="320" w:lineRule="auto"/>
        <w:ind w:firstLine="723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（三）数据安全保障</w:t>
      </w:r>
    </w:p>
    <w:p w14:paraId="098E57D7">
      <w:pPr>
        <w:spacing w:line="320" w:lineRule="auto"/>
        <w:ind w:firstLine="720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建立AI数据全生命周期安全管理体系，推行数据安全分类分级制度，对涉及个人隐私、公共安全的高敏感数据实行全流程溯源管理，到2026年全市重点AI企业数据安全合规率达100%，数据泄露事件发生率较2023年降低80%以上。</w:t>
      </w:r>
    </w:p>
    <w:p w14:paraId="56631572">
      <w:pPr>
        <w:pStyle w:val="3"/>
        <w:spacing w:line="320" w:lineRule="auto"/>
        <w:ind w:firstLine="723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五、创新人才引育行动</w:t>
      </w:r>
    </w:p>
    <w:p w14:paraId="5AD3F962">
      <w:pPr>
        <w:spacing w:line="320" w:lineRule="auto"/>
        <w:ind w:firstLine="720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构建“顶尖人才引领+青年人才支撑+技能人才配套”的人工智能人才体系，打造全球AI人才集聚高地。</w:t>
      </w:r>
    </w:p>
    <w:p w14:paraId="13945709">
      <w:pPr>
        <w:pStyle w:val="4"/>
        <w:spacing w:line="320" w:lineRule="auto"/>
        <w:ind w:firstLine="723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（一）高端人才引进</w:t>
      </w:r>
    </w:p>
    <w:p w14:paraId="59EE082B">
      <w:pPr>
        <w:spacing w:line="320" w:lineRule="auto"/>
        <w:ind w:firstLine="720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实施“AI顶尖人才计划”，对引进的AI领域两院院士、国际顶尖科学家、国家级领军人才给予最高1亿元的项目资助，每年引进AI领域高端人才100名以上，青年创新创业人才3000名以上；对AI领域高层次人才给予子女教育、住房保障、医疗服务等绿色通道，A类人才购房补贴最高达800万元。</w:t>
      </w:r>
    </w:p>
    <w:p w14:paraId="118FAA9D">
      <w:pPr>
        <w:pStyle w:val="4"/>
        <w:spacing w:line="320" w:lineRule="auto"/>
        <w:ind w:firstLine="723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（二）本土人才培养</w:t>
      </w:r>
    </w:p>
    <w:p w14:paraId="01E62028">
      <w:pPr>
        <w:spacing w:line="320" w:lineRule="auto"/>
        <w:ind w:firstLine="720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支持浙江大学、西湖大学、之江实验室、阿里达摩院建设AI一流学科，扩大人工智能相关专业招生规模，到2026年每年培养AI相关专业本科及以上毕业生1万人以上；实施AI技能提升行动计划，依托职业院校、社会培训机构开展AI技能培训，每年培训人次达5万以上，培育AI应用工程师1万名以上。</w:t>
      </w:r>
    </w:p>
    <w:p w14:paraId="3A839904">
      <w:pPr>
        <w:pStyle w:val="4"/>
        <w:spacing w:line="320" w:lineRule="auto"/>
        <w:ind w:firstLine="723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（三）人才激励机制</w:t>
      </w:r>
    </w:p>
    <w:p w14:paraId="54ED53B7">
      <w:pPr>
        <w:spacing w:line="320" w:lineRule="auto"/>
        <w:ind w:firstLine="720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建立AI领域人才价值评价体系，对作出突出贡献的AI技术、产业人才给予最高500万元的政府奖励；支持AI企业实施股权、期权激励，激励收益个人所得税地方留存部分全额返还；建立AI人才职称评审绿色通道，对有突出贡献的青年人才可破格评定高级职称。</w:t>
      </w:r>
    </w:p>
    <w:p w14:paraId="14F757BE">
      <w:pPr>
        <w:pStyle w:val="3"/>
        <w:spacing w:line="320" w:lineRule="auto"/>
        <w:ind w:firstLine="723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六、开放协同创新行动</w:t>
      </w:r>
    </w:p>
    <w:p w14:paraId="5290220C">
      <w:pPr>
        <w:spacing w:line="320" w:lineRule="auto"/>
        <w:ind w:firstLine="720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构建“市域统筹+区域协同+国际合作”的开放创新体系，提升杭州人工智能产业全球影响力。</w:t>
      </w:r>
    </w:p>
    <w:p w14:paraId="5B23CEA0">
      <w:pPr>
        <w:pStyle w:val="4"/>
        <w:spacing w:line="320" w:lineRule="auto"/>
        <w:ind w:firstLine="723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（一）市域协同发展</w:t>
      </w:r>
    </w:p>
    <w:p w14:paraId="5B398900">
      <w:pPr>
        <w:spacing w:line="320" w:lineRule="auto"/>
        <w:ind w:firstLine="720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建立全市人工智能产业统筹发展机制，实行差异化产业布局，建立区县产业协同利益分配机制，避免同质化竞争；推动城西科创大走廊技术成果向滨江、钱塘、临平等产业承载区转化，每年落地AI成果转化项目100个以上，转化金额突破50亿元。</w:t>
      </w:r>
    </w:p>
    <w:p w14:paraId="1C7CC7AE">
      <w:pPr>
        <w:pStyle w:val="4"/>
        <w:spacing w:line="320" w:lineRule="auto"/>
        <w:ind w:firstLine="723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（二）长三角协同创新</w:t>
      </w:r>
    </w:p>
    <w:p w14:paraId="6E42D86E">
      <w:pPr>
        <w:spacing w:line="320" w:lineRule="auto"/>
        <w:ind w:firstLine="720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融入长三角人工智能产业集群，与上海、苏州、合肥共建长三角AI创新共同体，联合开展核心技术攻关，共享算力、数据、场景资源，共同举办长三角人工智能创新大赛，到2026年落地长三角AI协同项目50个以上，联合攻克关键核心技术20项以上。</w:t>
      </w:r>
    </w:p>
    <w:p w14:paraId="16797867">
      <w:pPr>
        <w:pStyle w:val="4"/>
        <w:spacing w:line="320" w:lineRule="auto"/>
        <w:ind w:firstLine="723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（三）国际合作拓展</w:t>
      </w:r>
    </w:p>
    <w:p w14:paraId="5EA2D482">
      <w:pPr>
        <w:spacing w:line="320" w:lineRule="auto"/>
        <w:ind w:firstLine="720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支持AI企业在海外设立研发中心、营销中心，对企业海外研发投入给予最高20%的补贴，最高补贴金额1000万元；引进国际AI头部企业在杭设立区域总部、研发中心，对落地的国际头部AI企业给予最高5000万元的落户奖励；每年举办世界人工智能大会杭州分论坛、中国国际智能产品博览会等高端展会10场以上，国际合作项目年均增长20%以上。</w:t>
      </w:r>
    </w:p>
    <w:p w14:paraId="5856C42B">
      <w:pPr>
        <w:pStyle w:val="3"/>
        <w:spacing w:line="320" w:lineRule="auto"/>
        <w:ind w:firstLine="723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七、治理体系完善行动</w:t>
      </w:r>
    </w:p>
    <w:p w14:paraId="774B784C">
      <w:pPr>
        <w:spacing w:line="320" w:lineRule="auto"/>
        <w:ind w:firstLine="720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构建“监管+伦理+标准+知识产权”四位一体的人工智能治理体系，实现发展与安全并重。</w:t>
      </w:r>
    </w:p>
    <w:p w14:paraId="4431C4C4">
      <w:pPr>
        <w:pStyle w:val="4"/>
        <w:spacing w:line="320" w:lineRule="auto"/>
        <w:ind w:firstLine="723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（一）AI监管体系建设</w:t>
      </w:r>
    </w:p>
    <w:p w14:paraId="1E3EB4FB">
      <w:pPr>
        <w:spacing w:line="320" w:lineRule="auto"/>
        <w:ind w:firstLine="720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严格落实《生成式人工智能服务管理暂行办法》，建立AI产品备案、安全评估、风险监测机制，建设全市AI安全监测平台，实现对全市重点AI应用的全流程监管；建立AI产品准入负面清单，对高风险AI产品实行严格准入管理，到2026年全市重点AI产品备案率达100%。</w:t>
      </w:r>
    </w:p>
    <w:p w14:paraId="1015EE89">
      <w:pPr>
        <w:pStyle w:val="4"/>
        <w:spacing w:line="320" w:lineRule="auto"/>
        <w:ind w:firstLine="723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（二）伦理治理体系建设</w:t>
      </w:r>
    </w:p>
    <w:p w14:paraId="6AF347C4">
      <w:pPr>
        <w:spacing w:line="320" w:lineRule="auto"/>
        <w:ind w:firstLine="720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成立杭州市人工智能伦理委员会，建立AI伦理审查机制，对医疗、自动驾驶、人脸识别等高风险AI应用实行伦理审查全覆盖；建立AI伦理风险举报、处置机制，严厉打击滥用AI技术侵犯个人隐私、危害公共安全的行为。</w:t>
      </w:r>
    </w:p>
    <w:p w14:paraId="17DF4501">
      <w:pPr>
        <w:pStyle w:val="4"/>
        <w:spacing w:line="320" w:lineRule="auto"/>
        <w:ind w:firstLine="723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（三）标准体系建设</w:t>
      </w:r>
    </w:p>
    <w:p w14:paraId="0B0FC14B">
      <w:pPr>
        <w:spacing w:line="320" w:lineRule="auto"/>
        <w:ind w:firstLine="720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支持企业、科研机构参与AI国际、国家、行业标准制定，对主导制定国际标准的单位给予最高100万元的奖励，主导制定国家标准的单位给予最高50万元的奖励；建立杭州AI地方标准体系，到2026年累计发布AI地方标准30项以上，覆盖大模型评测、数据安全、伦理治理等重点领域。</w:t>
      </w:r>
    </w:p>
    <w:p w14:paraId="68E1A30D">
      <w:pPr>
        <w:pStyle w:val="4"/>
        <w:spacing w:line="320" w:lineRule="auto"/>
        <w:ind w:firstLine="723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（四）知识产权保护</w:t>
      </w:r>
    </w:p>
    <w:p w14:paraId="38B6B083">
      <w:pPr>
        <w:spacing w:line="320" w:lineRule="auto"/>
        <w:ind w:firstLine="720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建立AI领域专利快速审查通道，AI专利审查周期压缩至3个月以内；加大AI知识产权侵权惩治力度，落实惩罚性赔偿制度，侵权赔偿额最高提升至500万元；建设AI知识产权公共服务平台，为企业提供专利检索、预警、维权等一站式服务，到2026年全市AI企业知识产权覆盖率达100%。</w:t>
      </w:r>
    </w:p>
    <w:p w14:paraId="2ADC2FC7">
      <w:pPr>
        <w:pStyle w:val="3"/>
        <w:spacing w:line="320" w:lineRule="auto"/>
        <w:ind w:firstLine="723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八、保障措施</w:t>
      </w:r>
    </w:p>
    <w:p w14:paraId="6B115989">
      <w:pPr>
        <w:pStyle w:val="4"/>
        <w:spacing w:line="320" w:lineRule="auto"/>
        <w:ind w:firstLine="723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（一）组织保障</w:t>
      </w:r>
    </w:p>
    <w:p w14:paraId="68CA841D">
      <w:pPr>
        <w:spacing w:line="320" w:lineRule="auto"/>
        <w:ind w:firstLine="720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成立杭州市人工智能创新高地建设领导小组，由市政府主要领导任组长，各相关部门、区县政府主要负责人为成员，建立月度调度、季度考核、年度评估机制，将人工智能发展核心指标纳入区县绩效考核体系，对完成目标任务较好的区县给予通报表彰和政策倾斜。</w:t>
      </w:r>
    </w:p>
    <w:p w14:paraId="1E8E07EE">
      <w:pPr>
        <w:pStyle w:val="4"/>
        <w:spacing w:line="320" w:lineRule="auto"/>
        <w:ind w:firstLine="723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（二）资金保障</w:t>
      </w:r>
    </w:p>
    <w:p w14:paraId="16696D5E">
      <w:pPr>
        <w:spacing w:line="320" w:lineRule="auto"/>
        <w:ind w:firstLine="720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设立总规模100亿元的杭州市人工智能产业发展基金，重点投向大模型、AI芯片、具身智能等核心领域，撬动社会资本投入不低于500亿元；对AI领域核心技术攻关项目给予最高3000万元的财政资助，对AI企业研发费用加计扣除比例提高至100%，算力使用费用纳入研发费用加计扣除范围。</w:t>
      </w:r>
    </w:p>
    <w:p w14:paraId="702EB2CF">
      <w:pPr>
        <w:pStyle w:val="4"/>
        <w:spacing w:line="320" w:lineRule="auto"/>
        <w:ind w:firstLine="723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（三）政策保障</w:t>
      </w:r>
    </w:p>
    <w:p w14:paraId="3382A9F5">
      <w:pPr>
        <w:spacing w:line="320" w:lineRule="auto"/>
        <w:ind w:firstLine="720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出台《杭州市人工智能产业促进条例》，在用地、用电、人才引进、场景开放等方面给予专项政策支持；对人工智能企业实行用电优惠，算力中心用电成本较一般工商业用电降低30%以上；建立AI场景开放清单，每年推出不少于200个政务、公共服务领域AI应用场景，优先采购本土AI企业产品和服务。</w:t>
      </w:r>
    </w:p>
    <w:p w14:paraId="196F906E">
      <w:pPr>
        <w:pStyle w:val="4"/>
        <w:spacing w:line="320" w:lineRule="auto"/>
        <w:ind w:firstLine="723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>（四）容错机制</w:t>
      </w:r>
    </w:p>
    <w:p w14:paraId="79EC0E20">
      <w:pPr>
        <w:spacing w:line="320" w:lineRule="auto"/>
        <w:ind w:firstLine="720" w:firstLineChars="200"/>
        <w:rPr>
          <w:rFonts w:ascii="仿宋" w:hAnsi="仿宋" w:eastAsia="仿宋"/>
          <w:sz w:val="32"/>
        </w:rPr>
      </w:pPr>
      <w:r>
        <w:rPr>
          <w:rFonts w:ascii="仿宋" w:hAnsi="仿宋" w:eastAsia="仿宋" w:cs="仿宋"/>
          <w:color w:val="000000"/>
          <w:sz w:val="36"/>
        </w:rPr>
        <w:t xml:space="preserve">建立人工智能创新容错机制，对AI创新项目、应用场景试点中出现的失误，未谋取私利、未造成重大损失的，免予追究相关责任，鼓励各类创新主体大胆试错、积极探索，营造鼓励创新、宽容失败的发展氛围。 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B73CF7"/>
  </w:rsids>
  <m:mathPr>
    <m:mathFont m:val="Cambria Math"/>
    <m:brkBin m:val="before"/>
    <m:brkBinSub m:val="--"/>
    <m:smallFrac m:val="0"/>
    <m:dispDef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hd w:val="clear" w:color="auto" w:fill="auto"/>
      <w:spacing w:after="200" w:line="276" w:lineRule="auto"/>
    </w:pPr>
    <w:rPr>
      <w:rFonts w:ascii="微软雅黑" w:hAnsi="微软雅黑" w:eastAsia="微软雅黑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/>
      <w:sz w:val="20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/>
      <w:sz w:val="20"/>
      <w:szCs w:val="20"/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shd w:val="clear" w:color="auto" w:fill="auto"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contextualSpacing/>
    </w:pPr>
  </w:style>
  <w:style w:type="paragraph" w:styleId="14">
    <w:name w:val="List Number"/>
    <w:basedOn w:val="1"/>
    <w:unhideWhenUsed/>
    <w:uiPriority w:val="99"/>
    <w:p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paragraph" w:styleId="16">
    <w:name w:val="List Bullet"/>
    <w:basedOn w:val="1"/>
    <w:unhideWhenUsed/>
    <w:uiPriority w:val="99"/>
    <w:p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/>
      <w:spacing w:val="15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auto" w:sz="8" w:space="0"/>
        <w:bottom w:val="single" w:color="auto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65F91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43634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6923C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F497A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49B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36C0A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  <w:insideH w:val="single" w:color="auto" w:sz="8" w:space="0"/>
        <w:insideV w:val="single" w:color="auto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auto" w:sz="8" w:space="0"/>
        <w:bottom w:val="single" w:color="auto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  <w:insideH w:val="single" w:color="auto" w:sz="8" w:space="0"/>
        <w:insideV w:val="single" w:color="auto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6E6E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auto" w:sz="4" w:space="0"/>
        <w:bottom w:val="single" w:color="auto" w:sz="4" w:space="0"/>
        <w:right w:val="single" w:color="auto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C4C74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B62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8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2730A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5F91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634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A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Char"/>
    <w:basedOn w:val="132"/>
    <w:link w:val="25"/>
    <w:uiPriority w:val="99"/>
  </w:style>
  <w:style w:type="character" w:customStyle="1" w:styleId="136">
    <w:name w:val="页脚 Char"/>
    <w:basedOn w:val="132"/>
    <w:link w:val="24"/>
    <w:uiPriority w:val="99"/>
  </w:style>
  <w:style w:type="paragraph" w:styleId="137">
    <w:name w:val="No Spacing"/>
    <w:qFormat/>
    <w:uiPriority w:val="1"/>
    <w:pPr>
      <w:shd w:val="clear" w:color="auto" w:fill="auto"/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65F91"/>
      <w:sz w:val="28"/>
      <w:szCs w:val="28"/>
    </w:rPr>
  </w:style>
  <w:style w:type="character" w:customStyle="1" w:styleId="139">
    <w:name w:val="标题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customStyle="1" w:styleId="140">
    <w:name w:val="标题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/>
    </w:rPr>
  </w:style>
  <w:style w:type="character" w:customStyle="1" w:styleId="141">
    <w:name w:val="标题 Char"/>
    <w:basedOn w:val="132"/>
    <w:link w:val="31"/>
    <w:uiPriority w:val="10"/>
    <w:rPr>
      <w:rFonts w:asciiTheme="majorHAnsi" w:hAnsiTheme="majorHAnsi" w:eastAsiaTheme="majorEastAsia" w:cstheme="majorBidi"/>
      <w:color w:val="17365D"/>
      <w:spacing w:val="5"/>
      <w:kern w:val="28"/>
      <w:sz w:val="52"/>
      <w:szCs w:val="52"/>
    </w:rPr>
  </w:style>
  <w:style w:type="character" w:customStyle="1" w:styleId="142">
    <w:name w:val="副标题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Char"/>
    <w:basedOn w:val="132"/>
    <w:link w:val="19"/>
    <w:uiPriority w:val="99"/>
  </w:style>
  <w:style w:type="character" w:customStyle="1" w:styleId="145">
    <w:name w:val="正文文本 2 Char"/>
    <w:basedOn w:val="132"/>
    <w:link w:val="28"/>
    <w:uiPriority w:val="99"/>
  </w:style>
  <w:style w:type="character" w:customStyle="1" w:styleId="146">
    <w:name w:val="正文文本 3 Char"/>
    <w:basedOn w:val="132"/>
    <w:link w:val="17"/>
    <w:uiPriority w:val="99"/>
    <w:rPr>
      <w:sz w:val="16"/>
      <w:szCs w:val="16"/>
    </w:rPr>
  </w:style>
  <w:style w:type="character" w:customStyle="1" w:styleId="147">
    <w:name w:val="宏文本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/>
    </w:rPr>
  </w:style>
  <w:style w:type="character" w:customStyle="1" w:styleId="149">
    <w:name w:val="引用 Char"/>
    <w:basedOn w:val="132"/>
    <w:link w:val="148"/>
    <w:uiPriority w:val="29"/>
    <w:rPr>
      <w:i/>
      <w:iCs/>
      <w:color w:val="000000"/>
    </w:rPr>
  </w:style>
  <w:style w:type="character" w:customStyle="1" w:styleId="150">
    <w:name w:val="标题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/>
    </w:rPr>
  </w:style>
  <w:style w:type="character" w:customStyle="1" w:styleId="151">
    <w:name w:val="标题 5 Char"/>
    <w:basedOn w:val="132"/>
    <w:link w:val="7"/>
    <w:semiHidden/>
    <w:uiPriority w:val="9"/>
    <w:rPr>
      <w:rFonts w:asciiTheme="majorHAnsi" w:hAnsiTheme="majorHAnsi" w:eastAsiaTheme="majorEastAsia" w:cstheme="majorBidi"/>
      <w:color w:val="243F60"/>
    </w:rPr>
  </w:style>
  <w:style w:type="character" w:customStyle="1" w:styleId="152">
    <w:name w:val="标题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43F60"/>
    </w:rPr>
  </w:style>
  <w:style w:type="character" w:customStyle="1" w:styleId="153">
    <w:name w:val="标题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/>
    </w:rPr>
  </w:style>
  <w:style w:type="character" w:customStyle="1" w:styleId="154">
    <w:name w:val="标题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/>
      <w:sz w:val="20"/>
      <w:szCs w:val="20"/>
    </w:rPr>
  </w:style>
  <w:style w:type="character" w:customStyle="1" w:styleId="155">
    <w:name w:val="标题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7">
    <w:name w:val="明显引用 Char"/>
    <w:basedOn w:val="132"/>
    <w:link w:val="156"/>
    <w:uiPriority w:val="30"/>
    <w:rPr>
      <w:b/>
      <w:bCs/>
      <w:i/>
      <w:iCs/>
      <w:color w:val="4F81BD"/>
    </w:rPr>
  </w:style>
  <w:style w:type="character" w:customStyle="1" w:styleId="158">
    <w:name w:val="Subtle Emphasis"/>
    <w:basedOn w:val="132"/>
    <w:qFormat/>
    <w:uiPriority w:val="19"/>
    <w:rPr>
      <w:i/>
      <w:iCs/>
      <w:color w:val="808080"/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/>
    </w:rPr>
  </w:style>
  <w:style w:type="character" w:customStyle="1" w:styleId="160">
    <w:name w:val="Subtle Reference"/>
    <w:basedOn w:val="132"/>
    <w:qFormat/>
    <w:uiPriority w:val="31"/>
    <w:rPr>
      <w:smallCaps/>
      <w:color w:val="C0504D"/>
      <w:u w:val="single"/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5234</Words>
  <Characters>5636</Characters>
  <Lines>109</Lines>
  <Paragraphs>76</Paragraphs>
  <TotalTime>0</TotalTime>
  <ScaleCrop>false</ScaleCrop>
  <LinksUpToDate>false</LinksUpToDate>
  <CharactersWithSpaces>5652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2026-03-07T15:11:00Z</dcterms:created>
  <dc:creator>Lenovo</dc:creator>
  <cp:lastModifiedBy>Anson</cp:lastModifiedBy>
  <dcterms:modified xsi:type="dcterms:W3CDTF">2026-08-03T03:35:35Z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BCAD2D43FB804539AB6D7DED6370E51F_13</vt:lpwstr>
  </property>
</Properties>
</file>