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604FF">
      <w:pPr>
        <w:spacing w:before="480" w:after="480" w:line="288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2"/>
        </w:rPr>
        <w:t>罗湖问题答疑</w:t>
      </w:r>
    </w:p>
    <w:p w14:paraId="007861BA">
      <w:pPr>
        <w:pStyle w:val="5"/>
        <w:bidi w:val="0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</w:rPr>
        <w:t>1、企业能否总部直接搬迁罗湖，公司整体规划，未来几年预计营收，税收，估值、上市计划等；</w:t>
      </w:r>
      <w:bookmarkEnd w:id="0"/>
    </w:p>
    <w:p w14:paraId="3295592C">
      <w:pPr>
        <w:spacing w:before="120" w:after="120" w:line="288" w:lineRule="auto"/>
        <w:ind w:left="0" w:firstLine="4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总部搬迁与研发中心建设两项议题目前均处于开放可谈状态。公司当前处于产品定型前期，尚未形成跨区域的重资产布局，具备整建制迁移的条件。</w:t>
      </w:r>
    </w:p>
    <w:p w14:paraId="4F9ADC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6EAF703">
      <w:pPr>
        <w:pStyle w:val="6"/>
        <w:numPr>
          <w:ilvl w:val="1"/>
          <w:numId w:val="1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未来三年营收预测</w:t>
      </w:r>
    </w:p>
    <w:p w14:paraId="469B2727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3570" cy="3208655"/>
            <wp:effectExtent l="0" t="0" r="11430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557D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</w:p>
    <w:p w14:paraId="1927E62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模型采用「整机销售＋技能订阅」双轮结构。2026Q3 至 2027Q2 为技术验证与产品定型期，不确认收入；2027Q3 实现首批商业交付；2028 年进入放量与订阅业务启动阶段。</w:t>
      </w:r>
    </w:p>
    <w:p w14:paraId="306E32C8">
      <w:pPr>
        <w:spacing w:before="120" w:after="120" w:line="288" w:lineRule="auto"/>
        <w:jc w:val="left"/>
        <w:rPr>
          <w:rFonts w:hint="eastAsia" w:ascii="宋体" w:hAnsi="宋体" w:eastAsia="宋体" w:cs="宋体"/>
        </w:rPr>
      </w:pPr>
    </w:p>
    <w:p w14:paraId="110D2D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2"/>
          <w:shd w:val="clear" w:fill="DEE0E3"/>
        </w:rPr>
      </w:pPr>
      <w:r>
        <w:rPr>
          <w:rFonts w:hint="eastAsia" w:ascii="宋体" w:hAnsi="宋体" w:eastAsia="宋体" w:cs="宋体"/>
          <w:b/>
          <w:sz w:val="22"/>
          <w:shd w:val="clear" w:fill="DEE0E3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1"/>
        <w:gridCol w:w="1789"/>
        <w:gridCol w:w="1500"/>
        <w:gridCol w:w="1365"/>
        <w:gridCol w:w="963"/>
        <w:gridCol w:w="1392"/>
      </w:tblGrid>
      <w:tr w14:paraId="2B37A7B7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C5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年度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AE6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营业收入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4223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营业成本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00F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毛利</w:t>
            </w:r>
          </w:p>
        </w:tc>
        <w:tc>
          <w:tcPr>
            <w:tcW w:w="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810B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毛利率</w:t>
            </w:r>
          </w:p>
        </w:tc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0B9E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整机出货量</w:t>
            </w:r>
          </w:p>
        </w:tc>
      </w:tr>
      <w:tr w14:paraId="47E22684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95F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2026年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9BBC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6E56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7DB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8684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85D9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 台</w:t>
            </w:r>
          </w:p>
        </w:tc>
      </w:tr>
      <w:tr w14:paraId="211411D1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8CA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2027年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1FA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1,045 万元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5A1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401 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574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644 万元</w:t>
            </w:r>
          </w:p>
        </w:tc>
        <w:tc>
          <w:tcPr>
            <w:tcW w:w="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8C51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62%</w:t>
            </w:r>
          </w:p>
        </w:tc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9044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 台</w:t>
            </w:r>
          </w:p>
        </w:tc>
      </w:tr>
      <w:tr w14:paraId="6D0A8D74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E3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2028年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15BE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6,055 万元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3BC3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2,354 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DF6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3,701 万元</w:t>
            </w:r>
          </w:p>
        </w:tc>
        <w:tc>
          <w:tcPr>
            <w:tcW w:w="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926B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61%</w:t>
            </w:r>
          </w:p>
        </w:tc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F6A7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74 台</w:t>
            </w:r>
          </w:p>
        </w:tc>
      </w:tr>
      <w:tr w14:paraId="2ECC224B">
        <w:tc>
          <w:tcPr>
            <w:tcW w:w="1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51D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三年累计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64D3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7,100 万元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7BDD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2,755 万元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FDF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4,345 万元</w:t>
            </w:r>
          </w:p>
        </w:tc>
        <w:tc>
          <w:tcPr>
            <w:tcW w:w="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DF9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约 61%</w:t>
            </w:r>
          </w:p>
        </w:tc>
        <w:tc>
          <w:tcPr>
            <w:tcW w:w="13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0F8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85 台</w:t>
            </w:r>
          </w:p>
        </w:tc>
      </w:tr>
    </w:tbl>
    <w:p w14:paraId="353E37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sz w:val="22"/>
        </w:rPr>
        <w:t>收入结构说明：</w:t>
      </w:r>
    </w:p>
    <w:p w14:paraId="59C6EC05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文旅餐车场景为首发主力，三年累计出货 75 台，单价由 95 万元／台随规模化降至 76 万元／台。</w:t>
      </w:r>
    </w:p>
    <w:p w14:paraId="5B294BAF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酒店与餐厅场景于 2028Q2 切入，三年累计出货 10 台，单价 90–105 万元／台。</w:t>
      </w:r>
    </w:p>
    <w:p w14:paraId="17FAD87C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技能订阅业务于 2028Q3 上线，订阅单价 5.25 千元／台／季度，2028Q3、Q4 分别订阅 3 台次与 8 台次，全年确认订阅收入 5.8 万元。该业务是长期毛利结构与收入质量改善的关键，规模效在 2029 年之后显现。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2"/>
        <w:gridCol w:w="1495"/>
        <w:gridCol w:w="1828"/>
        <w:gridCol w:w="1380"/>
        <w:gridCol w:w="1485"/>
      </w:tblGrid>
      <w:tr w14:paraId="1B6ECA8B">
        <w:tc>
          <w:tcPr>
            <w:tcW w:w="2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4A1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收入构成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4EAE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8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B92C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59BF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三年累计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8350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累计占比</w:t>
            </w:r>
          </w:p>
        </w:tc>
      </w:tr>
      <w:tr w14:paraId="4AC657B9">
        <w:tc>
          <w:tcPr>
            <w:tcW w:w="2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60F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整机销售收入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C7B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1,045 万元</w:t>
            </w:r>
          </w:p>
        </w:tc>
        <w:tc>
          <w:tcPr>
            <w:tcW w:w="18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7AFA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6,049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B513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7,094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437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99.9%</w:t>
            </w:r>
          </w:p>
        </w:tc>
      </w:tr>
      <w:tr w14:paraId="0C2470A5">
        <w:tc>
          <w:tcPr>
            <w:tcW w:w="2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C2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技能订阅收入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BDBE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  <w:tc>
          <w:tcPr>
            <w:tcW w:w="18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949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5.8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C263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5.8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1D39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0.1%</w:t>
            </w:r>
          </w:p>
        </w:tc>
      </w:tr>
      <w:tr w14:paraId="1209DD12">
        <w:tc>
          <w:tcPr>
            <w:tcW w:w="2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8ED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营业收入合计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1B9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1,045 万元</w:t>
            </w:r>
          </w:p>
        </w:tc>
        <w:tc>
          <w:tcPr>
            <w:tcW w:w="18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C74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6,055 万元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6026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7,100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5605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100%</w:t>
            </w:r>
          </w:p>
        </w:tc>
      </w:tr>
      <w:tr w14:paraId="3A0AE2A4">
        <w:tc>
          <w:tcPr>
            <w:tcW w:w="2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2C2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订阅台次（期内）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3DB6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  <w:tc>
          <w:tcPr>
            <w:tcW w:w="18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BD31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 台次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E50B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 台次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6FDF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</w:tr>
    </w:tbl>
    <w:p w14:paraId="3BF003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A9367D6">
      <w:pPr>
        <w:pStyle w:val="6"/>
        <w:numPr>
          <w:ilvl w:val="1"/>
          <w:numId w:val="1"/>
        </w:numPr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税收贡献测算</w:t>
      </w:r>
    </w:p>
    <w:p w14:paraId="67EBC1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公司处于高强度研发投入期，2028 年末仍为账面亏损状态，因此税收贡献的构成与成熟期企业存在结构性差异。以下按税种分项说明。</w:t>
      </w:r>
    </w:p>
    <w:p w14:paraId="0BABC453">
      <w:pPr>
        <w:pStyle w:val="7"/>
        <w:bidi w:val="0"/>
        <w:rPr>
          <w:rFonts w:hint="eastAsia"/>
        </w:rPr>
      </w:pPr>
      <w:r>
        <w:rPr>
          <w:rFonts w:hint="eastAsia"/>
        </w:rPr>
        <w:t>1.2.1 个人所得税（本阶段税收贡献主体）</w:t>
      </w:r>
    </w:p>
    <w:p w14:paraId="3C9729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研发团队为高薪岗位，平均年薪 80–106 万元，个税贡献显著。按深圳市社保公积金缴纳标准、6 万元／年基本减除费用及专项附加扣除后的应税所得测算，代扣代缴个人所得税如下：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301"/>
        <w:gridCol w:w="1631"/>
        <w:gridCol w:w="1583"/>
        <w:gridCol w:w="1485"/>
      </w:tblGrid>
      <w:tr w14:paraId="123F74ED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E9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年度</w:t>
            </w:r>
          </w:p>
        </w:tc>
        <w:tc>
          <w:tcPr>
            <w:tcW w:w="13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474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期末人数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0A72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薪酬总额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CBBA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代扣个人所得税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12F2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综合税负率</w:t>
            </w:r>
          </w:p>
        </w:tc>
      </w:tr>
      <w:tr w14:paraId="5B17039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C2A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2026年</w:t>
            </w:r>
          </w:p>
        </w:tc>
        <w:tc>
          <w:tcPr>
            <w:tcW w:w="13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7163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 人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E2E6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1,211 万元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04F3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58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25C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4.8%</w:t>
            </w:r>
          </w:p>
        </w:tc>
      </w:tr>
      <w:tr w14:paraId="4A6D5B97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1CC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2027年</w:t>
            </w:r>
          </w:p>
        </w:tc>
        <w:tc>
          <w:tcPr>
            <w:tcW w:w="13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17EE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150 人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B9EF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9,708 万元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19C3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1,410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EAE5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14.5%</w:t>
            </w:r>
          </w:p>
        </w:tc>
      </w:tr>
      <w:tr w14:paraId="032C9469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1C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2028年</w:t>
            </w:r>
          </w:p>
        </w:tc>
        <w:tc>
          <w:tcPr>
            <w:tcW w:w="13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07F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200 人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5711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18,432 万元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5635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3,471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C98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约 18.8%</w:t>
            </w:r>
          </w:p>
        </w:tc>
      </w:tr>
      <w:tr w14:paraId="3E0C7F31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86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三年累计</w:t>
            </w:r>
          </w:p>
        </w:tc>
        <w:tc>
          <w:tcPr>
            <w:tcW w:w="13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DB9A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200 人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8F58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29,351 万元</w:t>
            </w:r>
          </w:p>
        </w:tc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0E88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4,939 万元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9BF4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约 16.8%</w:t>
            </w:r>
          </w:p>
        </w:tc>
      </w:tr>
    </w:tbl>
    <w:p w14:paraId="77D3EDB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color w:val="8F959E"/>
          <w:sz w:val="22"/>
        </w:rPr>
        <w:t>测算假设：按员工当年实际取得的工资薪金收入、分入职批次测算，五险一金个人部分按深圳市缴费上限约 9 万元／年并按当年在职月份折算，基本减除费用 6 万元／年，专项附加扣除 4.8 万元／年，适用综合所得年度税率表。2026 年下半年团队组建未满一年，员工当年实际取得收入较低，适用税率档次显著低于后两年，故综合税负率仅约 4.8%。实际数额随薪酬结构（工资、奖金、股权激励行权）与员工个体扣除情况浮动，股权激励行权环节将产生额外个税，本表未计入。</w:t>
      </w:r>
    </w:p>
    <w:p w14:paraId="0D319382">
      <w:pPr>
        <w:pStyle w:val="7"/>
        <w:bidi w:val="0"/>
        <w:rPr>
          <w:rFonts w:hint="eastAsia" w:cstheme="minorBidi"/>
          <w:b/>
        </w:rPr>
      </w:pPr>
      <w:r>
        <w:rPr>
          <w:rFonts w:hint="eastAsia" w:cstheme="minorBidi"/>
          <w:b/>
        </w:rPr>
        <w:t>1.2.2 增值税</w:t>
      </w:r>
    </w:p>
    <w:p w14:paraId="318426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三年期间整机销售产生销项税额约 923 万元。同期公司在云算力租赁、真机数据采集与标注、专用硬件与测试设备等环节形成大额进项税额，按模型口径分项测算：云端算力 20,792 万元与真机数据采集及标注 3,850 万元属信息技术服务，适用 6%，进项约 1,479 万元；研发相关固定资产 3,425 万元属货物采购，适用 13%，进项约 445 万元；两项合计约 1,924 万元。进项显著大于销项，期间内增值税应纳税额为零，并形成约 1,001 万元期末留抵税额。该留抵将于 2029 年营收规模化后逐步消化，增值税实际缴纳自 2029 年起产生。</w:t>
      </w:r>
    </w:p>
    <w:p w14:paraId="5D524B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7351DF0">
      <w:pPr>
        <w:pStyle w:val="7"/>
        <w:bidi w:val="0"/>
        <w:rPr>
          <w:rFonts w:hint="eastAsia" w:cstheme="minorBidi"/>
          <w:b/>
        </w:rPr>
      </w:pPr>
      <w:r>
        <w:rPr>
          <w:rFonts w:hint="eastAsia" w:cstheme="minorBidi"/>
          <w:b/>
        </w:rPr>
        <w:t>1.2.3 企业所得税</w:t>
      </w:r>
    </w:p>
    <w:p w14:paraId="19FC3C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三年期间累计营业亏损 11.15 亿元，企业所得税应纳税额为零。公司拟申报高新技术企业资质，享受 15% 优惠税率，同时亏损结转弥补期限延长至 10 年。基于当前投入曲线，企业所得税预计自 2030 年前后开始产生。</w:t>
      </w:r>
    </w:p>
    <w:p w14:paraId="40FF4C5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32D5B884">
      <w:pPr>
        <w:rPr>
          <w:rFonts w:hint="eastAsia" w:cstheme="minorBidi"/>
          <w:b/>
        </w:rPr>
      </w:pPr>
      <w:r>
        <w:rPr>
          <w:rFonts w:hint="eastAsia" w:cstheme="minorBidi"/>
          <w:b/>
        </w:rPr>
        <w:br w:type="page"/>
      </w:r>
    </w:p>
    <w:p w14:paraId="7CBF6EA8">
      <w:pPr>
        <w:pStyle w:val="7"/>
        <w:bidi w:val="0"/>
        <w:rPr>
          <w:rFonts w:hint="eastAsia" w:cstheme="minorBidi"/>
          <w:b/>
        </w:rPr>
      </w:pPr>
      <w:r>
        <w:rPr>
          <w:rFonts w:hint="eastAsia" w:cstheme="minorBidi"/>
          <w:b/>
        </w:rPr>
        <w:t>1.2.4 税收贡献汇总与节奏判断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9"/>
        <w:gridCol w:w="1495"/>
        <w:gridCol w:w="1441"/>
        <w:gridCol w:w="1455"/>
        <w:gridCol w:w="2340"/>
      </w:tblGrid>
      <w:tr w14:paraId="47B9656E"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0D4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税种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7BE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2026年</w:t>
            </w:r>
          </w:p>
        </w:tc>
        <w:tc>
          <w:tcPr>
            <w:tcW w:w="14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3692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998E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5F4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三年累计</w:t>
            </w:r>
          </w:p>
        </w:tc>
      </w:tr>
      <w:tr w14:paraId="036430B2"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EE4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个人所得税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C69B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58 万元</w:t>
            </w:r>
          </w:p>
        </w:tc>
        <w:tc>
          <w:tcPr>
            <w:tcW w:w="14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E56E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1,410 万元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03FC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3,471 万元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4292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4,939 万元</w:t>
            </w:r>
          </w:p>
        </w:tc>
      </w:tr>
      <w:tr w14:paraId="6B03F195"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BDC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增值税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D474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4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8C69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A61E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80D4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0（留抵 1,001 万元）</w:t>
            </w:r>
          </w:p>
        </w:tc>
      </w:tr>
      <w:tr w14:paraId="64732921"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518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企业所得税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1E8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4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A891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BAC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DD57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0</w:t>
            </w:r>
          </w:p>
        </w:tc>
      </w:tr>
      <w:tr w14:paraId="0DEDD7E5"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27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合计税收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B4C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58 万元</w:t>
            </w:r>
          </w:p>
        </w:tc>
        <w:tc>
          <w:tcPr>
            <w:tcW w:w="14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7FE9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1,410 万元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7E2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3,471 万元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F64E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4,939 万元</w:t>
            </w:r>
          </w:p>
        </w:tc>
      </w:tr>
      <w:tr w14:paraId="1192646F"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90B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社保公积金</w:t>
            </w:r>
          </w:p>
        </w:tc>
        <w:tc>
          <w:tcPr>
            <w:tcW w:w="149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AFB0E5">
            <w:pPr>
              <w:spacing w:before="120" w:after="120" w:line="288" w:lineRule="auto"/>
              <w:ind w:left="0" w:left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198 万元</w:t>
            </w:r>
          </w:p>
        </w:tc>
        <w:tc>
          <w:tcPr>
            <w:tcW w:w="14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9B894F">
            <w:pPr>
              <w:spacing w:before="120" w:after="120" w:line="288" w:lineRule="auto"/>
              <w:ind w:left="0" w:left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1,654 万元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13017C">
            <w:pPr>
              <w:spacing w:before="120" w:after="120" w:line="288" w:lineRule="auto"/>
              <w:ind w:left="0" w:left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2,673 万元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135FC2">
            <w:pPr>
              <w:spacing w:before="120" w:after="120" w:line="288" w:lineRule="auto"/>
              <w:ind w:left="0" w:left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Arial" w:hAnsi="Arial" w:eastAsia="等线" w:cs="Arial"/>
                <w:b/>
                <w:sz w:val="22"/>
                <w:shd w:val="clear" w:fill="F2F3F5"/>
              </w:rPr>
              <w:t>4,525 万元</w:t>
            </w:r>
          </w:p>
        </w:tc>
      </w:tr>
    </w:tbl>
    <w:p w14:paraId="171185F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B295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8F959E"/>
          <w:sz w:val="22"/>
        </w:rPr>
        <w:t>社保公积金测算口径：因研发岗位薪酬普遍高于社保与公积金缴费基数上限，单位缴费按人数而非薪酬总额线性增长。上表按深圳市现行缴费基数上限测算——养老保险基数上限 27,549 元／月（单位 16%）、医疗保险基数上限 33,633 元／月（单位 6%，另含生育 0.45%）、失业保险 0.7%、工伤保险 0.14%、住房公积金基数上限 44,265 元／月（单位按 12% 上限缴存），合计单位缴费约 14.5 万元／人／年。</w:t>
      </w:r>
    </w:p>
    <w:p w14:paraId="651F2576">
      <w:pPr>
        <w:pStyle w:val="6"/>
        <w:numPr>
          <w:ilvl w:val="1"/>
          <w:numId w:val="1"/>
        </w:numPr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融资节奏与估值</w:t>
      </w:r>
    </w:p>
    <w:p w14:paraId="639392D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模型内已排定三轮融资的到账节奏，累计融资 17–21 亿元。按各轮中值与 2028Q4 的季度净现金消耗约 1.97 亿元测算，2028 年末保有现金储备约 5.6–9.6 亿元（中值约 7.6 亿元），可覆盖至 2029 年第三季度至 2030 年初；若 2029 年研发投入继续上行，覆盖期相应缩短。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"/>
        <w:gridCol w:w="1332"/>
        <w:gridCol w:w="1561"/>
        <w:gridCol w:w="1631"/>
        <w:gridCol w:w="2673"/>
      </w:tblGrid>
      <w:tr w14:paraId="6BBEC69B">
        <w:tc>
          <w:tcPr>
            <w:tcW w:w="10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68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轮次</w:t>
            </w:r>
          </w:p>
        </w:tc>
        <w:tc>
          <w:tcPr>
            <w:tcW w:w="1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3E8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到账时点</w:t>
            </w:r>
          </w:p>
        </w:tc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DB0E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融资金额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AE4F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推算投后估值</w:t>
            </w:r>
          </w:p>
        </w:tc>
        <w:tc>
          <w:tcPr>
            <w:tcW w:w="2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214C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对应里程碑</w:t>
            </w:r>
          </w:p>
        </w:tc>
      </w:tr>
      <w:tr w14:paraId="7D47BA4A">
        <w:tc>
          <w:tcPr>
            <w:tcW w:w="10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825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天使轮</w:t>
            </w:r>
          </w:p>
        </w:tc>
        <w:tc>
          <w:tcPr>
            <w:tcW w:w="1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A7DD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2026Q3</w:t>
            </w:r>
          </w:p>
        </w:tc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105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 亿元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2010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  <w:tc>
          <w:tcPr>
            <w:tcW w:w="2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16A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初始团队组建、场地启用</w:t>
            </w:r>
          </w:p>
        </w:tc>
      </w:tr>
      <w:tr w14:paraId="19FF34D8">
        <w:tc>
          <w:tcPr>
            <w:tcW w:w="10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1BE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第二轮</w:t>
            </w:r>
          </w:p>
        </w:tc>
        <w:tc>
          <w:tcPr>
            <w:tcW w:w="1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5E97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2026Q4–2027Q1</w:t>
            </w:r>
          </w:p>
        </w:tc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DC6D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5–7 亿元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1CF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40–50 亿元</w:t>
            </w:r>
          </w:p>
        </w:tc>
        <w:tc>
          <w:tcPr>
            <w:tcW w:w="2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05CC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团队组建、数据采集体系搭建</w:t>
            </w:r>
          </w:p>
        </w:tc>
      </w:tr>
      <w:tr w14:paraId="44BFFFFA">
        <w:tc>
          <w:tcPr>
            <w:tcW w:w="10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EE8A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第三轮</w:t>
            </w:r>
          </w:p>
        </w:tc>
        <w:tc>
          <w:tcPr>
            <w:tcW w:w="1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3C3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2027Q4–2028H1</w:t>
            </w:r>
          </w:p>
        </w:tc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79B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10–12 亿元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C63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80–100 亿元</w:t>
            </w:r>
          </w:p>
        </w:tc>
        <w:tc>
          <w:tcPr>
            <w:tcW w:w="2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CA3F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产品定型、首批客户签约</w:t>
            </w:r>
          </w:p>
        </w:tc>
      </w:tr>
      <w:tr w14:paraId="47604BD5">
        <w:tc>
          <w:tcPr>
            <w:tcW w:w="10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7E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累计</w:t>
            </w:r>
          </w:p>
        </w:tc>
        <w:tc>
          <w:tcPr>
            <w:tcW w:w="1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3B3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—</w:t>
            </w:r>
          </w:p>
        </w:tc>
        <w:tc>
          <w:tcPr>
            <w:tcW w:w="15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6099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17–21 亿元</w:t>
            </w:r>
          </w:p>
        </w:tc>
        <w:tc>
          <w:tcPr>
            <w:tcW w:w="16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7C8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—</w:t>
            </w:r>
          </w:p>
        </w:tc>
        <w:tc>
          <w:tcPr>
            <w:tcW w:w="2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D33F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798688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06FF57C">
      <w:pPr>
        <w:pStyle w:val="6"/>
        <w:numPr>
          <w:ilvl w:val="1"/>
          <w:numId w:val="1"/>
        </w:numPr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上市计划</w:t>
      </w:r>
    </w:p>
    <w:p w14:paraId="1F6382D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拟定时间表：</w:t>
      </w:r>
    </w:p>
    <w:p w14:paraId="4B3E073D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2029 年上半年：完成股份制改造，引入保荐机构、会计师与律师，规范三年一期财务基础。</w:t>
      </w:r>
    </w:p>
    <w:p w14:paraId="42EF8D91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2029 年下半年至 2030 年：完成 Pre-IPO 轮融资，收入规模冲刺已商业化标准门槛。</w:t>
      </w:r>
    </w:p>
    <w:p w14:paraId="1A164096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2030–2031 年：递交上市申请。</w:t>
      </w:r>
    </w:p>
    <w:p w14:paraId="28FB4F3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3AB413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2979780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0"/>
        </w:rPr>
        <w:t>2、落地罗湖的人员数量，研发人员比例，未来几年的研发投入规模，是否有研发中心建设等；</w:t>
      </w:r>
      <w:bookmarkEnd w:id="1"/>
    </w:p>
    <w:p w14:paraId="06C9CA97">
      <w:pPr>
        <w:pStyle w:val="6"/>
        <w:numPr>
          <w:numId w:val="0"/>
        </w:numPr>
        <w:bidi w:val="0"/>
        <w:ind w:leftChars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2.1 落地罗湖的人员数量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825"/>
        <w:gridCol w:w="750"/>
        <w:gridCol w:w="750"/>
        <w:gridCol w:w="630"/>
        <w:gridCol w:w="720"/>
        <w:gridCol w:w="660"/>
        <w:gridCol w:w="660"/>
        <w:gridCol w:w="660"/>
        <w:gridCol w:w="660"/>
        <w:gridCol w:w="660"/>
      </w:tblGrid>
      <w:tr w14:paraId="5A118D1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CB9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期间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072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26Q3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0625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26Q4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0B9F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27Q1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D89F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27Q2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427F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27Q3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B69A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27Q4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A2B9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28Q1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A8C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28Q2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9C45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28Q3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91C8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28Q4</w:t>
            </w:r>
          </w:p>
        </w:tc>
      </w:tr>
      <w:tr w14:paraId="15CE475D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488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集团人数（人）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0E5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22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ED1E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87DD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4DB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100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4C1E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130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2D3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150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2AEF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165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CC80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180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9E7F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190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DE8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200</w:t>
            </w:r>
          </w:p>
        </w:tc>
      </w:tr>
      <w:tr w14:paraId="16A59AD3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BE1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罗湖人数（人）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931F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CC9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15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372B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25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FB0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35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9958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48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838D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DAEE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68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824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76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94F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83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B6C1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90</w:t>
            </w:r>
          </w:p>
        </w:tc>
      </w:tr>
      <w:tr w14:paraId="77CAF52A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A0D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罗湖占比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10EB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27%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6EF6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33%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7A81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33%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F856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35%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9CB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37%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4D59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760F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41%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2EE8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42%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0E5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44%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7D37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45%</w:t>
            </w:r>
          </w:p>
        </w:tc>
      </w:tr>
      <w:tr w14:paraId="3FA07F66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181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集团平均年薪（万元）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2179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102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385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86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ECF9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82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D457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80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AA83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86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210B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90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0A76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94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A1D6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98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AC2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102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069B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106</w:t>
            </w:r>
          </w:p>
        </w:tc>
      </w:tr>
    </w:tbl>
    <w:p w14:paraId="1D50DD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模型对集团人员扩张给出了明确的季度节奏，由 2026Q3 的 22 人扩张至 2028Q4 的 200 人。罗湖研发中心按逐季递增的方式建设，落地比例由起步期的约三成提升至 2028 年末的 45%。</w:t>
      </w:r>
    </w:p>
    <w:p w14:paraId="1CBF6BF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落地节奏的三个特征：</w:t>
      </w:r>
    </w:p>
    <w:p w14:paraId="60F6AF23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起步阶段（2026年下半年）以硬件团队为主，15 人规模即可完成场地启用、供应商体系搭建与首批数据采集设备部署。</w:t>
      </w:r>
    </w:p>
    <w:p w14:paraId="23957354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2027 年为扩张最快的窗口期，罗湖团队由 15 人增至 60 人，全年净增 45 人，是场地交付与人才配套需求最紧迫的阶段。</w:t>
      </w:r>
    </w:p>
    <w:p w14:paraId="24C3A5CF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罗湖占比逐季提升，反映硬件与数采职能持续向深圳集中。2028 年之后随整机试产与量产落地珠三角，该比例存在进一步上行空间。</w:t>
      </w:r>
    </w:p>
    <w:p w14:paraId="2D62C9C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7293D582">
      <w:pPr>
        <w:pStyle w:val="6"/>
        <w:numPr>
          <w:numId w:val="0"/>
        </w:numPr>
        <w:bidi w:val="0"/>
        <w:ind w:leftChars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2.2 研发人员比例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1230"/>
        <w:gridCol w:w="1350"/>
        <w:gridCol w:w="1350"/>
        <w:gridCol w:w="2220"/>
      </w:tblGrid>
      <w:tr w14:paraId="4B64E0D1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68E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职能条线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2619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集团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A5C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罗湖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4DB8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落地率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ED65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落地依据</w:t>
            </w:r>
          </w:p>
        </w:tc>
      </w:tr>
      <w:tr w14:paraId="440EDAED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705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硬件研发（机械、电控、灵巧手、整机集成）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4196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7EF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4043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90%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F96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深圳供应链与硬件工程人才</w:t>
            </w:r>
          </w:p>
        </w:tc>
      </w:tr>
      <w:tr w14:paraId="4F67F8FB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D2A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算法研发（感知、场景算法、部署优化）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8868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2FDE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D787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25%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0746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贴近硬件与真机做联调</w:t>
            </w:r>
          </w:p>
        </w:tc>
      </w:tr>
      <w:tr w14:paraId="2086D210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22A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数据工程与采集标注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A5F6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1A1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93FD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75%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4761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罗湖实景场景与采集棚</w:t>
            </w:r>
          </w:p>
        </w:tc>
      </w:tr>
      <w:tr w14:paraId="3327C3E4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F5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研发人员小计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703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170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D391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112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0D52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</w:tr>
      <w:tr w14:paraId="4D83C7EC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38F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运营、职能与市场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9CC5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C8C1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1D1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17%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1F6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—</w:t>
            </w:r>
          </w:p>
        </w:tc>
      </w:tr>
      <w:tr w14:paraId="240336D4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6D4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合计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788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200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999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90 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F36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45%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9FC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—</w:t>
            </w:r>
          </w:p>
        </w:tc>
      </w:tr>
    </w:tbl>
    <w:p w14:paraId="26A5FD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788F27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28C988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1164C5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2779B0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20079B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4AC68B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4255E2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color w:val="245BDB"/>
          <w:sz w:val="22"/>
        </w:rPr>
      </w:pPr>
    </w:p>
    <w:p w14:paraId="598C110F">
      <w:pPr>
        <w:pStyle w:val="6"/>
        <w:numPr>
          <w:numId w:val="0"/>
        </w:numPr>
        <w:bidi w:val="0"/>
        <w:ind w:leftChars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2.3 未来三年研发投入规模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620"/>
        <w:gridCol w:w="1620"/>
        <w:gridCol w:w="1620"/>
        <w:gridCol w:w="1620"/>
      </w:tblGrid>
      <w:tr w14:paraId="4AAC6A72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45A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集团口径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F188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2026年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D9B2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8D4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8258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三年累计</w:t>
            </w:r>
          </w:p>
        </w:tc>
      </w:tr>
      <w:tr w14:paraId="0F438A50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3B3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员工薪酬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79C0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1,211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C888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9,708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DF0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18,432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1BB4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29,351 万元</w:t>
            </w:r>
          </w:p>
        </w:tc>
      </w:tr>
      <w:tr w14:paraId="7E4A7AD7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AA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云端算力（GPU＋数据服务器）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75ED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1,060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F0F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5,492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C44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14,240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6DC9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20,792 万元</w:t>
            </w:r>
          </w:p>
        </w:tc>
      </w:tr>
      <w:tr w14:paraId="2175F581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95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数据采集与标注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E60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1,130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7F0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20,920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596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36,300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940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58,350 万元</w:t>
            </w:r>
          </w:p>
        </w:tc>
      </w:tr>
      <w:tr w14:paraId="4589D85A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BA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研发费用合计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8357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3,401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9BC3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36,120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E237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68,973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8A2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108,493 万元</w:t>
            </w:r>
          </w:p>
        </w:tc>
      </w:tr>
      <w:tr w14:paraId="471AB5E0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82F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研发相关固定资产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49F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2,125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742A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650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82F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650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A70C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3,425 万元</w:t>
            </w:r>
          </w:p>
        </w:tc>
      </w:tr>
      <w:tr w14:paraId="056B3D8E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4A0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研发总投入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2310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5,526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CE46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36,770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2D9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69,623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149D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111,918 万元</w:t>
            </w:r>
          </w:p>
        </w:tc>
      </w:tr>
    </w:tbl>
    <w:p w14:paraId="056AF4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i/>
          <w:color w:val="8F959E"/>
          <w:sz w:val="22"/>
        </w:rPr>
      </w:pPr>
      <w:r>
        <w:rPr>
          <w:rFonts w:hint="eastAsia" w:ascii="宋体" w:hAnsi="宋体" w:eastAsia="宋体" w:cs="宋体"/>
          <w:i/>
          <w:color w:val="8F959E"/>
          <w:sz w:val="22"/>
        </w:rPr>
        <w:t>口径说明：员工薪酬取自集团全体员工薪酬，覆盖 200 人，其中研发人员 170 人、运营与职能人员 30 人。在高新技术企业认定与研发费用加计扣除口径下，非研发人员薪酬需另行剔除。</w:t>
      </w:r>
    </w:p>
    <w:p w14:paraId="4F39127D">
      <w:pPr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br w:type="page"/>
      </w:r>
    </w:p>
    <w:p w14:paraId="761D2B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按落地方案分摊至罗湖的研发投入如下，三年累计约 2.71 亿元：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5"/>
        <w:gridCol w:w="1620"/>
        <w:gridCol w:w="1620"/>
        <w:gridCol w:w="1620"/>
        <w:gridCol w:w="1620"/>
      </w:tblGrid>
      <w:tr w14:paraId="75F48568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BC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罗湖口径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971F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2026年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C19A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2027年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DB10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2028年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C11F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三年累计</w:t>
            </w:r>
          </w:p>
        </w:tc>
      </w:tr>
      <w:tr w14:paraId="6D66DD84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2D6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员工薪酬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4B12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389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3E81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3,594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2A5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7,962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6DF4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11,945 万元</w:t>
            </w:r>
          </w:p>
        </w:tc>
      </w:tr>
      <w:tr w14:paraId="6FD8417D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CF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云端算力（按团队分摊）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C90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327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EF5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2,042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225D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6,164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A34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8,533 万元</w:t>
            </w:r>
          </w:p>
        </w:tc>
      </w:tr>
      <w:tr w14:paraId="058E309A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A90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真机数据采集与标注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4107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2641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7B5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3,100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EF557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3,850 万元</w:t>
            </w:r>
          </w:p>
        </w:tc>
      </w:tr>
      <w:tr w14:paraId="2EFB080A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47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研发费用合计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54CF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746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66C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6,356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CF7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17,226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9AB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24,328 万元</w:t>
            </w:r>
          </w:p>
        </w:tc>
      </w:tr>
      <w:tr w14:paraId="57EBED84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1CD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研发相关固定资产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1007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1,700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88A5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982D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520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BEC0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2,740 万元</w:t>
            </w:r>
          </w:p>
        </w:tc>
      </w:tr>
      <w:tr w14:paraId="6B26A08C"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BE5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罗湖研发总投入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8DAB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2,446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B016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6,876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DBD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17,746 万元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20143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F2F3F5"/>
              </w:rPr>
              <w:t>27,068 万元</w:t>
            </w:r>
          </w:p>
        </w:tc>
      </w:tr>
    </w:tbl>
    <w:p w14:paraId="1DEB0E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三项投入的分摊依据：</w:t>
      </w:r>
    </w:p>
    <w:p w14:paraId="18B28B51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薪酬：按各季度罗湖团队人数占集团比例分摊，三年累计 11,945 万元，占集团薪酬总额的 41%。</w:t>
      </w:r>
    </w:p>
    <w:p w14:paraId="5DBA427D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算力：集团 GPU 规模由 128 卡扩张至 1,408 卡，按 3 万元／卡／季度计价。罗湖团队按人数比例分摊 8,533 万元。该项存在与罗湖区或深圳市智算中心开展本地化合作的空间，若采购合同由罗湖主体签署，属地采购额可进一步提升，同时争取算力券支持。</w:t>
      </w:r>
    </w:p>
    <w:p w14:paraId="43F9C338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数据采集：集团累计 58,350 万元，其中 App 有效数据奖励 54,500 万元面向全国社会化数据贡献者发放，不构成属地投入；真机数据采集与标注 3,850 万元全部落于罗湖，依托区内文旅、酒店与餐饮实景场景棚开展。</w:t>
      </w:r>
    </w:p>
    <w:p w14:paraId="74F905FD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研发固定资产：集团累计 3,425 万元，含灵巧手 105 套、力／触觉传感器 110 套、研发用整机 15 台及高精度测试仪器。其中硬件与整机相关部分约 2,740 万元配置于罗湖硬件实验室与测试场，占八成。</w:t>
      </w:r>
    </w:p>
    <w:p w14:paraId="494FE46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2" w:name="heading_2"/>
    </w:p>
    <w:p w14:paraId="7CE028F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</w:p>
    <w:p w14:paraId="077B716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</w:p>
    <w:p w14:paraId="4EF68C0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3、现在及未来重点的头部合作伙伴、后续大致的技术路线周期和产业化周期等。</w:t>
      </w:r>
      <w:bookmarkEnd w:id="2"/>
    </w:p>
    <w:p w14:paraId="4A671A92">
      <w:pPr>
        <w:pStyle w:val="6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lang w:val="en-US" w:eastAsia="zh-CN"/>
        </w:rPr>
        <w:t>3.1</w:t>
      </w:r>
      <w:r>
        <w:rPr>
          <w:rFonts w:hint="eastAsia" w:ascii="宋体" w:hAnsi="宋体" w:eastAsia="宋体" w:cs="宋体"/>
          <w:b/>
        </w:rPr>
        <w:t>重点的头部合作伙伴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1"/>
        <w:gridCol w:w="4449"/>
        <w:gridCol w:w="2400"/>
      </w:tblGrid>
      <w:tr w14:paraId="5B938B9E"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86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合作层级</w:t>
            </w:r>
          </w:p>
        </w:tc>
        <w:tc>
          <w:tcPr>
            <w:tcW w:w="44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C6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合作伙伴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0E3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hd w:val="clear" w:fill="DEE0E3"/>
              </w:rPr>
              <w:t>合作定位</w:t>
            </w:r>
          </w:p>
        </w:tc>
      </w:tr>
      <w:tr w14:paraId="74FBFAFB"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EE0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本体与核心部件层</w:t>
            </w:r>
          </w:p>
        </w:tc>
        <w:tc>
          <w:tcPr>
            <w:tcW w:w="44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50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Wuji 灵巧手、因诺特（灵巧手，深度共创）、RoboParty、星辰智能、天玑、PICO、歌尔光学（数据采集设备）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48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灵巧手与传感环节与深圳本地供应链协同紧密，属地配套率高</w:t>
            </w:r>
          </w:p>
        </w:tc>
      </w:tr>
      <w:tr w14:paraId="3E4A76F9"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842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场景与产业层</w:t>
            </w:r>
          </w:p>
        </w:tc>
        <w:tc>
          <w:tcPr>
            <w:tcW w:w="44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D55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长虹集团（酒店／文旅／家电场景，已启动合作对接）、西湖文旅、洛阳文旅、四川文旅（移动餐饮场景）、香港大学医学院康复实验室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F4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覆盖首发的文旅餐车与酒店餐厅场景，并向康复场景延伸</w:t>
            </w:r>
          </w:p>
        </w:tc>
      </w:tr>
      <w:tr w14:paraId="57E3DC20"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105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云端算力层</w:t>
            </w:r>
          </w:p>
        </w:tc>
        <w:tc>
          <w:tcPr>
            <w:tcW w:w="44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C5E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阿里云（主力）、金山云（洽谈中）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9C8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支撑 GPU 由 128 卡扩张至 1,408 卡的训练与推理需求</w:t>
            </w:r>
          </w:p>
        </w:tc>
      </w:tr>
      <w:tr w14:paraId="648C7173"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7A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学术与产教融合层</w:t>
            </w:r>
          </w:p>
        </w:tc>
        <w:tc>
          <w:tcPr>
            <w:tcW w:w="44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EC9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燕山大学深圳研究院（已落地罗湖，机器人方向）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B6C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罗湖属地科研协同与人才输送</w:t>
            </w:r>
          </w:p>
        </w:tc>
      </w:tr>
    </w:tbl>
    <w:p w14:paraId="287BD44D">
      <w:pPr>
        <w:pStyle w:val="7"/>
        <w:bidi w:val="0"/>
        <w:rPr>
          <w:rFonts w:hint="eastAsia" w:ascii="宋体" w:hAnsi="宋体" w:eastAsia="宋体" w:cs="宋体"/>
          <w:b/>
          <w:sz w:val="28"/>
          <w:szCs w:val="22"/>
        </w:rPr>
      </w:pPr>
      <w:r>
        <w:rPr>
          <w:rFonts w:hint="eastAsia" w:ascii="宋体" w:hAnsi="宋体" w:eastAsia="宋体" w:cs="宋体"/>
          <w:b/>
          <w:sz w:val="28"/>
          <w:szCs w:val="22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b/>
          <w:sz w:val="28"/>
          <w:szCs w:val="22"/>
        </w:rPr>
        <w:t>技术路线周期</w:t>
      </w:r>
    </w:p>
    <w:p w14:paraId="63B43976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57800" cy="2952750"/>
            <wp:effectExtent l="0" t="0" r="0" b="190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4354">
      <w:pPr>
        <w:pStyle w:val="7"/>
        <w:bidi w:val="0"/>
        <w:rPr>
          <w:rFonts w:hint="eastAsia" w:ascii="宋体" w:hAnsi="宋体" w:eastAsia="宋体" w:cs="宋体"/>
          <w:b/>
          <w:sz w:val="28"/>
          <w:szCs w:val="22"/>
        </w:rPr>
      </w:pPr>
      <w:r>
        <w:rPr>
          <w:rFonts w:hint="eastAsia" w:ascii="宋体" w:hAnsi="宋体" w:eastAsia="宋体" w:cs="宋体"/>
          <w:b/>
          <w:sz w:val="28"/>
          <w:szCs w:val="22"/>
          <w:lang w:val="en-US" w:eastAsia="zh-CN"/>
        </w:rPr>
        <w:t xml:space="preserve">3.3 </w:t>
      </w:r>
      <w:bookmarkStart w:id="3" w:name="_GoBack"/>
      <w:bookmarkEnd w:id="3"/>
      <w:r>
        <w:rPr>
          <w:rFonts w:hint="eastAsia" w:ascii="宋体" w:hAnsi="宋体" w:eastAsia="宋体" w:cs="宋体"/>
          <w:b/>
          <w:sz w:val="28"/>
          <w:szCs w:val="22"/>
        </w:rPr>
        <w:t>产业化周期</w:t>
      </w:r>
    </w:p>
    <w:p w14:paraId="706B4E8B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57800" cy="2952750"/>
            <wp:effectExtent l="0" t="0" r="0" b="190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74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875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BCB7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3FD878"/>
    <w:multiLevelType w:val="multilevel"/>
    <w:tmpl w:val="D83FD87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FCFF425"/>
    <w:multiLevelType w:val="singleLevel"/>
    <w:tmpl w:val="DFCFF4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DFFDD4D"/>
    <w:multiLevelType w:val="singleLevel"/>
    <w:tmpl w:val="FDFFDD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DFBF4F"/>
    <w:rsid w:val="6FC72D0B"/>
    <w:rsid w:val="7CFF846E"/>
    <w:rsid w:val="9F7330B4"/>
    <w:rsid w:val="E777326D"/>
    <w:rsid w:val="E95C1810"/>
    <w:rsid w:val="EBFD7067"/>
    <w:rsid w:val="FBFBC940"/>
    <w:rsid w:val="FDD9F663"/>
    <w:rsid w:val="FDFE8569"/>
    <w:rsid w:val="FFAF2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Office_6.10.2.8876_F1E327BC-269C-435d-A152-05C5408002CA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2026-08-06T02:23:00Z</dcterms:created>
  <dc:creator>Apache POI</dc:creator>
  <cp:lastModifiedBy>姚碧莹</cp:lastModifiedBy>
  <dcterms:modified xsi:type="dcterms:W3CDTF">2026-08-06T23:04:19Z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0253CE367ACB566BDA72756A50107422_43</vt:lpwstr>
  </property>
</Properties>
</file>