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</w:rPr>
        <w:t>ROBOX罗湖区落地沟通——问题答疑</w:t>
      </w:r>
    </w:p>
    <w:p>
      <w:pPr>
        <w:jc w:val="center"/>
      </w:pPr>
      <w:r>
        <w:rPr>
          <w:rFonts w:ascii="Microsoft YaHei" w:hAnsi="Microsoft YaHei" w:eastAsia="Microsoft YaHei"/>
          <w:color w:val="808080"/>
          <w:sz w:val="20"/>
        </w:rPr>
        <w:t>2026年8月</w:t>
      </w:r>
    </w:p>
    <w:p/>
    <w:p>
      <w:pPr>
        <w:spacing w:before="320" w:after="80"/>
      </w:pPr>
      <w:r>
        <w:rPr>
          <w:rFonts w:ascii="Microsoft YaHei" w:hAnsi="Microsoft YaHei" w:eastAsia="Microsoft YaHei"/>
          <w:b/>
          <w:color w:val="1F3B73"/>
          <w:sz w:val="24"/>
        </w:rPr>
        <w:t>Q1</w:t>
      </w:r>
      <w:r>
        <w:rPr>
          <w:rFonts w:ascii="Microsoft YaHei" w:hAnsi="Microsoft YaHei" w:eastAsia="Microsoft YaHei"/>
          <w:b/>
          <w:sz w:val="24"/>
        </w:rPr>
        <w:t xml:space="preserve">  企业能否总部直接搬迁罗湖？公司整体规划，未来几年预计营收、税收、估值、上市计划等？</w:t>
      </w:r>
    </w:p>
    <w:p>
      <w:pPr>
        <w:spacing w:before="0" w:after="160"/>
        <w:pBdr>
          <w:bottom w:val="single" w:sz="6" w:color="4472C4"/>
        </w:pBdr>
      </w:pPr>
    </w:p>
    <w:p>
      <w:pPr>
        <w:pStyle w:val="Heading4"/>
      </w:pPr>
      <w:r>
        <w:rPr>
          <w:rFonts w:ascii="Microsoft YaHei" w:hAnsi="Microsoft YaHei" w:eastAsia="Microsoft YaHei"/>
        </w:rPr>
        <w:t>总部搬迁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公司当前处于产品定型前期，尚未形成跨区域重资产布局，具备整建制迁移条件。总部搬迁与研发中心建设议题目前均处于开放可谈状态。</w:t>
      </w:r>
    </w:p>
    <w:p>
      <w:pPr>
        <w:pStyle w:val="Heading4"/>
      </w:pPr>
      <w:r>
        <w:rPr>
          <w:rFonts w:ascii="Microsoft YaHei" w:hAnsi="Microsoft YaHei" w:eastAsia="Microsoft YaHei"/>
        </w:rPr>
        <w:t>未来三年营收预测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4533"/>
        <w:gridCol w:w="4533"/>
      </w:tblGrid>
      <w:tr>
        <w:tc>
          <w:tcPr>
            <w:tcW w:type="dxa" w:w="453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453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营业收入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2026年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2027年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1,045万元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2028年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6,055万元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三年累计</w:t>
            </w:r>
          </w:p>
        </w:tc>
        <w:tc>
          <w:tcPr>
            <w:tcW w:type="dxa" w:w="4533"/>
          </w:tcPr>
          <w:p>
            <w:r>
              <w:rPr>
                <w:rFonts w:ascii="Microsoft YaHei" w:hAnsi="Microsoft YaHei" w:eastAsia="Microsoft YaHei"/>
                <w:sz w:val="18"/>
              </w:rPr>
              <w:t>7,100万元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税收贡献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2026年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2027年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2028年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三年累计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税收合计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8"/>
              </w:rPr>
              <w:t>58万元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8"/>
              </w:rPr>
              <w:t>1,410万元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8"/>
              </w:rPr>
              <w:t>3,471万元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8"/>
              </w:rPr>
              <w:t>4,939万元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社保公积金（单位）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8"/>
              </w:rPr>
              <w:t>198万元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8"/>
              </w:rPr>
              <w:t>1,654万元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8"/>
              </w:rPr>
              <w:t>2,673万元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8"/>
              </w:rPr>
              <w:t>4,525万元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融资节奏与估值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轮次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到账时点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融资金额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投后估值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里程碑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天使轮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2026Q3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2亿元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团队组建、场地启用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第二轮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2026Q4–2027Q1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5–7亿元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40–50亿元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数据采集体系搭建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第三轮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2027Q4–2028H1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10–12亿元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80–100亿元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产品定型、首批客户签约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累计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17–21亿元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上市计划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022"/>
        <w:gridCol w:w="3022"/>
        <w:gridCol w:w="3022"/>
      </w:tblGrid>
      <w:tr>
        <w:tc>
          <w:tcPr>
            <w:tcW w:type="dxa" w:w="302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2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02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核心工作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股份制改造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2029年上半年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完成股改，引入保荐机构、会计师与律师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Pre-IPO轮融资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2029下半年–2030年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完成Pre-IPO轮融资，收入冲刺商业化门槛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递交上市申请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2030–2031年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拟选科创板或港股18C路径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rFonts w:ascii="Microsoft YaHei" w:hAnsi="Microsoft YaHei" w:eastAsia="Microsoft YaHei"/>
          <w:b/>
          <w:color w:val="1F3B73"/>
          <w:sz w:val="24"/>
        </w:rPr>
        <w:t>Q2</w:t>
      </w:r>
      <w:r>
        <w:rPr>
          <w:rFonts w:ascii="Microsoft YaHei" w:hAnsi="Microsoft YaHei" w:eastAsia="Microsoft YaHei"/>
          <w:b/>
          <w:sz w:val="24"/>
        </w:rPr>
        <w:t xml:space="preserve">  落地罗湖的人员数量、研发人员比例、未来几年研发投入规模、是否有研发中心建设？</w:t>
      </w:r>
    </w:p>
    <w:p>
      <w:pPr>
        <w:spacing w:before="0" w:after="160"/>
        <w:pBdr>
          <w:bottom w:val="single" w:sz="6" w:color="4472C4"/>
        </w:pBdr>
      </w:pPr>
    </w:p>
    <w:p>
      <w:pPr>
        <w:pStyle w:val="Heading4"/>
      </w:pPr>
      <w:r>
        <w:rPr>
          <w:rFonts w:ascii="Microsoft YaHei" w:hAnsi="Microsoft YaHei" w:eastAsia="Microsoft YaHei"/>
        </w:rPr>
        <w:t>人员数量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时点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集团人数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罗湖人数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罗湖占比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平均年薪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2026Q3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22人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6人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27%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102万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2026Q4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45人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15人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33%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86万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2027Q4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150人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60人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40%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90万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2028Q4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200人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90人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45%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106万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研发人员比例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职能条线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集团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罗湖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落地率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硬件研发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50人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45人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90%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算法研发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100人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25人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25%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数据工程与采集标注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15人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75%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研发人员小计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170人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85人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50%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运营、职能与市场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30人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5人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17%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合计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90人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研发人员占比85%（170/200）。</w:t>
      </w:r>
    </w:p>
    <w:p>
      <w:pPr>
        <w:pStyle w:val="Heading4"/>
      </w:pPr>
      <w:r>
        <w:rPr>
          <w:rFonts w:ascii="Microsoft YaHei" w:hAnsi="Microsoft YaHei" w:eastAsia="Microsoft YaHei"/>
        </w:rPr>
        <w:t>研发投入规模（集团口径）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投入项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2026年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2027年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2028年</w:t>
            </w:r>
          </w:p>
        </w:tc>
        <w:tc>
          <w:tcPr>
            <w:tcW w:type="dxa" w:w="1813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三年累计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员工薪酬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1,211万元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9,708万元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18,432万元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29,351万元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云端算力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1,060万元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5,492万元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14,240万元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20,792万元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数据采集与标注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1,130万元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20,920万元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36,300万元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58,350万元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研发费用合计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3,401万元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36,120万元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68,973万元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108,493万元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研发固定资产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2,125万元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650万元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650万元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3,425万元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研发总投入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5,526万元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36,770万元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69,623万元</w:t>
            </w:r>
          </w:p>
        </w:tc>
        <w:tc>
          <w:tcPr>
            <w:tcW w:type="dxa" w:w="1813"/>
          </w:tcPr>
          <w:p>
            <w:r>
              <w:rPr>
                <w:rFonts w:ascii="Microsoft YaHei" w:hAnsi="Microsoft YaHei" w:eastAsia="Microsoft YaHei"/>
                <w:sz w:val="17"/>
              </w:rPr>
              <w:t>111,918万元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研发中心建设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核心职能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启动期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2026Q3–Q4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15人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场地启用、供应商体系搭建、首批设备部署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扩展期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2027年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60人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硬件实验室、真机采集棚、场景验证区投入运营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规模化期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2028年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90人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整机集成测试、场景验证、数据采集标注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研发固定资产2,740万元配置于罗湖，后续量产落地珠三角时，罗湖作为"研发+测试+供应链管理"中枢。</w:t>
      </w:r>
    </w:p>
    <w:p>
      <w:r>
        <w:br w:type="page"/>
      </w:r>
    </w:p>
    <w:p>
      <w:pPr>
        <w:spacing w:before="320" w:after="80"/>
      </w:pPr>
      <w:r>
        <w:rPr>
          <w:rFonts w:ascii="Microsoft YaHei" w:hAnsi="Microsoft YaHei" w:eastAsia="Microsoft YaHei"/>
          <w:b/>
          <w:color w:val="1F3B73"/>
          <w:sz w:val="24"/>
        </w:rPr>
        <w:t>Q3</w:t>
      </w:r>
      <w:r>
        <w:rPr>
          <w:rFonts w:ascii="Microsoft YaHei" w:hAnsi="Microsoft YaHei" w:eastAsia="Microsoft YaHei"/>
          <w:b/>
          <w:sz w:val="24"/>
        </w:rPr>
        <w:t xml:space="preserve">  重点头部合作伙伴、技术路线周期和产业化周期？</w:t>
      </w:r>
    </w:p>
    <w:p>
      <w:pPr>
        <w:spacing w:before="0" w:after="160"/>
        <w:pBdr>
          <w:bottom w:val="single" w:sz="6" w:color="4472C4"/>
        </w:pBdr>
      </w:pPr>
    </w:p>
    <w:p>
      <w:pPr>
        <w:pStyle w:val="Heading4"/>
      </w:pPr>
      <w:r>
        <w:rPr>
          <w:rFonts w:ascii="Microsoft YaHei" w:hAnsi="Microsoft YaHei" w:eastAsia="Microsoft YaHei"/>
        </w:rPr>
        <w:t>重点头部合作伙伴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3022"/>
        <w:gridCol w:w="3022"/>
        <w:gridCol w:w="3022"/>
      </w:tblGrid>
      <w:tr>
        <w:tc>
          <w:tcPr>
            <w:tcW w:type="dxa" w:w="302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合作层级</w:t>
            </w:r>
          </w:p>
        </w:tc>
        <w:tc>
          <w:tcPr>
            <w:tcW w:type="dxa" w:w="302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合作伙伴</w:t>
            </w:r>
          </w:p>
        </w:tc>
        <w:tc>
          <w:tcPr>
            <w:tcW w:type="dxa" w:w="302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合作定位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本体与核心部件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因诺特（灵巧手）、天玑、PICO、歌尔光学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灵巧手与传感环节，深圳供应链协同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场景与产业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长虹集团、西湖文旅、洛阳文旅、四川文旅、香港大学医学院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首发文旅餐车与酒店餐厅场景，向康复延伸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云端算力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阿里云（主力）、金山云（洽谈中）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GPU由128卡扩张至1,408卡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学术与产教融合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鹏山大学深圳研究院</w:t>
            </w:r>
          </w:p>
        </w:tc>
        <w:tc>
          <w:tcPr>
            <w:tcW w:type="dxa" w:w="3022"/>
          </w:tcPr>
          <w:p>
            <w:r>
              <w:rPr>
                <w:rFonts w:ascii="Microsoft YaHei" w:hAnsi="Microsoft YaHei" w:eastAsia="Microsoft YaHei"/>
                <w:sz w:val="17"/>
              </w:rPr>
              <w:t>属地科研协同与人才输送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技术路线周期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时间窗口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核心里程碑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数据规模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一期：System 2大脑训练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2026Q3–2027Q2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122B参数大脑模型v1.0发布；Ego数据采集体系搭建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约1万小时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二期：System 1端侧商用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2027Q2–2028Q1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端侧模型商用部署；首批文旅餐车场景交付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约10万小时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三期：System 0与全栈协同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2028Q1–2028Q4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行为基础模型上线；酒店/餐厅批量交付；技能订阅启动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约50万小时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四期：家庭场景验证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2029年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三层全链路协同验证；家庭场景试点启动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50万小时+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产业化周期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时间窗口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核心场景</w:t>
            </w:r>
          </w:p>
        </w:tc>
        <w:tc>
          <w:tcPr>
            <w:tcW w:type="dxa" w:w="2266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商业模式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第一阶段：商业服务验证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2026Q3–2028Q4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文旅餐车(首发)、酒店布草折叠、餐饮制作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整机销售+技能订阅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第二阶段：场景规模化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2029年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康养喂饭、后厨切配、客房整理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算法授权+数据服务+认证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第三阶段：家庭进入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2030–2031年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康养护理、做菜、家务</w:t>
            </w:r>
          </w:p>
        </w:tc>
        <w:tc>
          <w:tcPr>
            <w:tcW w:type="dxa" w:w="2266"/>
          </w:tcPr>
          <w:p>
            <w:r>
              <w:rPr>
                <w:rFonts w:ascii="Microsoft YaHei" w:hAnsi="Microsoft YaHei" w:eastAsia="Microsoft YaHei"/>
                <w:sz w:val="17"/>
              </w:rPr>
              <w:t>技能包订阅(月费)+数据资产交易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真机数据采集与标注（三年3,850万元）全部落于罗湖，依托区内文旅、酒店与餐饮实景场景棚开展。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