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ROBOX罗湖区落地沟通——问题答疑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20"/>
        </w:rPr>
        <w:t>2026年8月</w:t>
      </w:r>
    </w:p>
    <w:p/>
    <w:p>
      <w:pPr>
        <w:spacing w:before="320" w:after="80"/>
      </w:pPr>
      <w:r>
        <w:rPr>
          <w:rFonts w:ascii="Microsoft YaHei" w:hAnsi="Microsoft YaHei" w:eastAsia="Microsoft YaHei"/>
          <w:b/>
          <w:color w:val="1F3B73"/>
          <w:sz w:val="24"/>
        </w:rPr>
        <w:t>Q1</w:t>
      </w:r>
      <w:r>
        <w:rPr>
          <w:rFonts w:ascii="Microsoft YaHei" w:hAnsi="Microsoft YaHei" w:eastAsia="Microsoft YaHei"/>
          <w:b/>
          <w:sz w:val="24"/>
        </w:rPr>
        <w:t xml:space="preserve">  企业能否总部直接搬迁罗湖？公司整体规划，未来几年预计营收、税收、估值、上市计划等如何？</w:t>
      </w:r>
    </w:p>
    <w:p>
      <w:pPr>
        <w:spacing w:before="0" w:after="160"/>
        <w:pBdr>
          <w:bottom w:val="single" w:sz="6" w:color="4472C4"/>
        </w:pBdr>
      </w:pPr>
    </w:p>
    <w:p>
      <w:pPr>
        <w:pStyle w:val="Heading4"/>
      </w:pPr>
      <w:r>
        <w:rPr>
          <w:rFonts w:ascii="Microsoft YaHei" w:hAnsi="Microsoft YaHei" w:eastAsia="Microsoft YaHei"/>
        </w:rPr>
        <w:t>总部搬迁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总部搬迁与研发中心建设两项议题目前均处于开放可谈状态。公司当前处于产品定型前期，尚未形成跨区域的重资产布局，具备整建制迁移条件。</w:t>
      </w:r>
    </w:p>
    <w:p>
      <w:pPr>
        <w:pStyle w:val="Heading4"/>
      </w:pPr>
      <w:r>
        <w:rPr>
          <w:rFonts w:ascii="Microsoft YaHei" w:hAnsi="Microsoft YaHei" w:eastAsia="Microsoft YaHei"/>
        </w:rPr>
        <w:t>未来三年营收预测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收入模型采用"整机销售＋技能订阅"双轮结构。2026Q3至2027Q2为技术验证与产品定型期，不确认收入；2027Q3实现首批商业交付；2028年进入放量与技能订阅启动阶段。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营业收入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毛利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毛利率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整机出货量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2026年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0台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2027年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1,045万元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644万元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约62%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11台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2028年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6,055万元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3,701万元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约61%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74台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三年累计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7,100万元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4,345万元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约61%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85台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收入结构说明：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首发场景：</w:t>
      </w:r>
      <w:r>
        <w:rPr>
          <w:rFonts w:ascii="Microsoft YaHei" w:hAnsi="Microsoft YaHei" w:eastAsia="Microsoft YaHei"/>
          <w:sz w:val="20"/>
        </w:rPr>
        <w:t>文旅餐车场景为首发主力，三年累计出货75台，单价由95万元/台随规模化降至76万元/台。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第二场景：</w:t>
      </w:r>
      <w:r>
        <w:rPr>
          <w:rFonts w:ascii="Microsoft YaHei" w:hAnsi="Microsoft YaHei" w:eastAsia="Microsoft YaHei"/>
          <w:sz w:val="20"/>
        </w:rPr>
        <w:t>酒店与餐厅场景于2028Q2切入，三年累计出货10台，单价90–105万元/台。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技能订阅：</w:t>
      </w:r>
      <w:r>
        <w:rPr>
          <w:rFonts w:ascii="Microsoft YaHei" w:hAnsi="Microsoft YaHei" w:eastAsia="Microsoft YaHei"/>
          <w:sz w:val="20"/>
        </w:rPr>
        <w:t>2028Q3上线，订阅单价5.25千元/台/季度，2028年确认订阅收入5.8万元。规模效应在2029年后显现，是长期毛利结构改善的关键。</w:t>
      </w:r>
    </w:p>
    <w:p>
      <w:pPr>
        <w:pStyle w:val="Heading4"/>
      </w:pPr>
      <w:r>
        <w:rPr>
          <w:rFonts w:ascii="Microsoft YaHei" w:hAnsi="Microsoft YaHei" w:eastAsia="Microsoft YaHei"/>
        </w:rPr>
        <w:t>税收贡献测算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公司处于高强度研发投入期，2028年末仍为账面亏损状态，因此税收贡献构成与成熟期企业存在结构性差异。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98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税种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2026年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2027年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2028年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三年累计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个人所得税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58万元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1,410万元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3,471万元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4,939万元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增值税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0（留抵1,001万元）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企业所得税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税收合计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58万元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1,410万元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3,471万元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4,939万元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社保公积金（单位）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198万元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1,654万元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2,673万元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4,525万元</w:t>
            </w:r>
          </w:p>
        </w:tc>
      </w:tr>
    </w:tbl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个人所得税：</w:t>
      </w:r>
      <w:r>
        <w:rPr>
          <w:rFonts w:ascii="Microsoft YaHei" w:hAnsi="Microsoft YaHei" w:eastAsia="Microsoft YaHei"/>
          <w:sz w:val="20"/>
        </w:rPr>
        <w:t>研发团队为高薪岗位，平均年薪80–106万元，个税贡献显著。本阶段税收主体为个人所得税，综合税负率由2026年约4.8%提升至2028年约18.8%。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增值税：</w:t>
      </w:r>
      <w:r>
        <w:rPr>
          <w:rFonts w:ascii="Microsoft YaHei" w:hAnsi="Microsoft YaHei" w:eastAsia="Microsoft YaHei"/>
          <w:sz w:val="20"/>
        </w:rPr>
        <w:t>三年期间整机销售销项税额约923万元，但同期算力租赁（6%税率）、数据采集、设备采购等进项税额约1,924万元，进项远大于销项，期间内增值税应纳税额为零，形成约1,001万元期末留抵税额，自2029年营收规模化后逐步消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企业所得税：</w:t>
      </w:r>
      <w:r>
        <w:rPr>
          <w:rFonts w:ascii="Microsoft YaHei" w:hAnsi="Microsoft YaHei" w:eastAsia="Microsoft YaHei"/>
          <w:sz w:val="20"/>
        </w:rPr>
        <w:t>三年累计营业亏损11.15亿元，企业所得税为零。公司拟申报高新技术企业15%优惠税率，亏损结转弥补期限延长至10年，预计自2030年前后开始产生。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社保公积金：</w:t>
      </w:r>
      <w:r>
        <w:rPr>
          <w:rFonts w:ascii="Microsoft YaHei" w:hAnsi="Microsoft YaHei" w:eastAsia="Microsoft YaHei"/>
          <w:sz w:val="20"/>
        </w:rPr>
        <w:t>按深圳市缴费基数上限测算，养老保险基数上限27,549元/月、医疗保险33,633元/月、住房公积金44,265元/月，合计单位缴费约14.5万元/人/年。</w:t>
      </w:r>
    </w:p>
    <w:p>
      <w:pPr>
        <w:pStyle w:val="Heading4"/>
      </w:pPr>
      <w:r>
        <w:rPr>
          <w:rFonts w:ascii="Microsoft YaHei" w:hAnsi="Microsoft YaHei" w:eastAsia="Microsoft YaHei"/>
        </w:rPr>
        <w:t>融资节奏与估值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到账时点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融资金额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推算投后估值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对应里程碑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天使轮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2026Q3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2亿元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初始团队组建、场地启用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第二轮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2026Q4–2027Q1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5–7亿元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40–50亿元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团队组建、数据采集体系搭建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第三轮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2027Q4–2028H1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10–12亿元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80–100亿元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产品定型、首批客户签约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累计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17–21亿元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按各轮中值与2028Q4季度净现金消耗约1.97亿元测算，2028年末保有现金储备约5.6–9.6亿元（中值约7.6亿元），可覆盖至2029年Q3至2030年初。</w:t>
      </w:r>
    </w:p>
    <w:p>
      <w:pPr>
        <w:pStyle w:val="Heading4"/>
      </w:pPr>
      <w:r>
        <w:rPr>
          <w:rFonts w:ascii="Microsoft YaHei" w:hAnsi="Microsoft YaHei" w:eastAsia="Microsoft YaHei"/>
        </w:rPr>
        <w:t>上市计划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核心工作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股份制改造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2029年上半年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完成股改，引入保荐机构、会计师与律师，规范三年一期财务基础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Pre-IPO轮融资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2029下半年至2030年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完成Pre-IPO轮融资，收入规模冲刺商业化标准门槛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递交上市申请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2030–2031年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递交上市申请（拟选科创板或港股18C路径）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rFonts w:ascii="Microsoft YaHei" w:hAnsi="Microsoft YaHei" w:eastAsia="Microsoft YaHei"/>
          <w:b/>
          <w:color w:val="1F3B73"/>
          <w:sz w:val="24"/>
        </w:rPr>
        <w:t>Q2</w:t>
      </w:r>
      <w:r>
        <w:rPr>
          <w:rFonts w:ascii="Microsoft YaHei" w:hAnsi="Microsoft YaHei" w:eastAsia="Microsoft YaHei"/>
          <w:b/>
          <w:sz w:val="24"/>
        </w:rPr>
        <w:t xml:space="preserve">  落地罗湖的人员数量、研发人员比例、未来几年研发投入规模、是否有研发中心建设等？</w:t>
      </w:r>
    </w:p>
    <w:p>
      <w:pPr>
        <w:spacing w:before="0" w:after="160"/>
        <w:pBdr>
          <w:bottom w:val="single" w:sz="6" w:color="4472C4"/>
        </w:pBdr>
      </w:pPr>
    </w:p>
    <w:p>
      <w:pPr>
        <w:pStyle w:val="Heading4"/>
      </w:pPr>
      <w:r>
        <w:rPr>
          <w:rFonts w:ascii="Microsoft YaHei" w:hAnsi="Microsoft YaHei" w:eastAsia="Microsoft YaHei"/>
        </w:rPr>
        <w:t>落地罗湖的人员数量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集团人员由2026Q3的22人扩张至2028Q4的200人。罗湖研发中心按逐季递增方式建设，落地比例由起步期约三成提升至2028年末的45%。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集团人数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罗湖人数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罗湖占比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集团平均年薪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2026Q3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22人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6人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27%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102万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2026Q4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45人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15人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33%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86万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2027Q4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150人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60人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40%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90万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2028Q4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200人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90人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45%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106万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落地节奏的三个特征：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起步阶段：</w:t>
      </w:r>
      <w:r>
        <w:rPr>
          <w:rFonts w:ascii="Microsoft YaHei" w:hAnsi="Microsoft YaHei" w:eastAsia="Microsoft YaHei"/>
          <w:sz w:val="20"/>
        </w:rPr>
        <w:t>2026年下半年以硬件团队为主，15人规模即可完成场地启用、供应商体系搭建与首批数据采集设备部署。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扩张期：</w:t>
      </w:r>
      <w:r>
        <w:rPr>
          <w:rFonts w:ascii="Microsoft YaHei" w:hAnsi="Microsoft YaHei" w:eastAsia="Microsoft YaHei"/>
          <w:sz w:val="20"/>
        </w:rPr>
        <w:t>2027年为扩张最快窗口期，罗湖团队由15人增至60人，全年净增45人，是场地交付与人才配套需求最紧迫的阶段。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占比趋势：</w:t>
      </w:r>
      <w:r>
        <w:rPr>
          <w:rFonts w:ascii="Microsoft YaHei" w:hAnsi="Microsoft YaHei" w:eastAsia="Microsoft YaHei"/>
          <w:sz w:val="20"/>
        </w:rPr>
        <w:t>罗湖占比逐季提升，反映硬件与数采职能持续向深圳集中。2028年后随整机试产与量产落地珠三角，该比例存在进一步上行空间。</w:t>
      </w:r>
    </w:p>
    <w:p>
      <w:pPr>
        <w:pStyle w:val="Heading4"/>
      </w:pPr>
      <w:r>
        <w:rPr>
          <w:rFonts w:ascii="Microsoft YaHei" w:hAnsi="Microsoft YaHei" w:eastAsia="Microsoft YaHei"/>
        </w:rPr>
        <w:t>研发人员比例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职能条线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集团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罗湖</w:t>
            </w:r>
          </w:p>
        </w:tc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落地率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落地依据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硬件研发（机械、电控、灵巧手、整机集成）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50人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45人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17"/>
              </w:rPr>
              <w:t>90%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深圳供应链与硬件工程人才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算法研发（感知、场景算法、部署优化）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100人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25人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17"/>
              </w:rPr>
              <w:t>25%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贴近硬件与真机做联调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数据工程与采集标注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20人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15人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17"/>
              </w:rPr>
              <w:t>75%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罗湖实景场景与采集棚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研发人员小计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170人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85人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17"/>
              </w:rPr>
              <w:t>50%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运营、职能与市场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30人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5人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17"/>
              </w:rPr>
              <w:t>17%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200人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7"/>
              </w:rPr>
              <w:t>90人</w:t>
            </w:r>
          </w:p>
        </w:tc>
        <w:tc>
          <w:tcPr>
            <w:tcW w:type="dxa" w:w="850"/>
          </w:tcPr>
          <w:p>
            <w:r>
              <w:rPr>
                <w:rFonts w:ascii="Microsoft YaHei" w:hAnsi="Microsoft YaHei" w:eastAsia="Microsoft YaHei"/>
                <w:sz w:val="17"/>
              </w:rPr>
              <w:t>45%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研发人员占比为85%（170/200），属典型AI/机器人研发型企业结构。罗湖落地的研发人员以硬件研发（90%落地率）和数据采集标注（75%落地率）为主，算法研发部分留在杭州总部（25%落地率），后续随真机联调需求可逐步增加。</w:t>
      </w:r>
    </w:p>
    <w:p>
      <w:pPr>
        <w:pStyle w:val="Heading4"/>
      </w:pPr>
      <w:r>
        <w:rPr>
          <w:rFonts w:ascii="Microsoft YaHei" w:hAnsi="Microsoft YaHei" w:eastAsia="Microsoft YaHei"/>
        </w:rPr>
        <w:t>未来三年研发投入规模</w:t>
      </w:r>
    </w:p>
    <w:p>
      <w:pPr>
        <w:pStyle w:val="Heading5"/>
      </w:pPr>
      <w:r>
        <w:rPr>
          <w:rFonts w:ascii="Microsoft YaHei" w:hAnsi="Microsoft YaHei" w:eastAsia="Microsoft YaHei"/>
        </w:rPr>
        <w:t>集团口径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55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投入项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2026年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2027年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2028年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三年累计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员工薪酬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1,211万元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9,708万元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18,432万元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29,351万元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云端算力（GPU＋数据服务器）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1,060万元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5,492万元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14,240万元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20,792万元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数据采集与标注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1,130万元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20,920万元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36,300万元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58,350万元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研发费用合计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3,401万元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36,120万元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68,973万元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108,493万元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研发相关固定资产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2,125万元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650万元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650万元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3,425万元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研发总投入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5,526万元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36,770万元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69,623万元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111,918万元</w:t>
            </w:r>
          </w:p>
        </w:tc>
      </w:tr>
    </w:tbl>
    <w:p>
      <w:pPr>
        <w:pStyle w:val="Heading5"/>
      </w:pPr>
      <w:r>
        <w:rPr>
          <w:rFonts w:ascii="Microsoft YaHei" w:hAnsi="Microsoft YaHei" w:eastAsia="Microsoft YaHei"/>
        </w:rPr>
        <w:t>罗湖口径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55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投入项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2026年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2027年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2028年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三年累计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员工薪酬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389万元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3,594万元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7,962万元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11,945万元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云端算力（按团队分摊）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327万元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2,042万元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6,164万元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8,533万元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真机数据采集与标注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720万元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3,100万元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3,850万元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研发费用合计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746万元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6,356万元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17,226万元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24,328万元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研发相关固定资产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1,700万元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520万元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520万元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2,740万元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7"/>
              </w:rPr>
              <w:t>罗湖研发总投入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2,446万元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6,876万元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17,746万元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7"/>
              </w:rPr>
              <w:t>27,068万元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三项投入的分摊依据：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薪酬：</w:t>
      </w:r>
      <w:r>
        <w:rPr>
          <w:rFonts w:ascii="Microsoft YaHei" w:hAnsi="Microsoft YaHei" w:eastAsia="Microsoft YaHei"/>
          <w:sz w:val="20"/>
        </w:rPr>
        <w:t>按各季度罗湖团队人数占集团比例分摊，三年累计11,945万元，占集团薪酬总额41%。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算力：</w:t>
      </w:r>
      <w:r>
        <w:rPr>
          <w:rFonts w:ascii="Microsoft YaHei" w:hAnsi="Microsoft YaHei" w:eastAsia="Microsoft YaHei"/>
          <w:sz w:val="20"/>
        </w:rPr>
        <w:t>GPU由128卡扩张至1,408卡，按3万元/卡/季度计价。罗湖团队按人数比例分摊8,533万元。存在与罗湖区或深圳市智算中心开展本地化合作的空间，若采购合同由罗湖主体签署，属地采购额可进一步提升。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数据采集：</w:t>
      </w:r>
      <w:r>
        <w:rPr>
          <w:rFonts w:ascii="Microsoft YaHei" w:hAnsi="Microsoft YaHei" w:eastAsia="Microsoft YaHei"/>
          <w:sz w:val="20"/>
        </w:rPr>
        <w:t>集团累计58,350万元，其中App有效数据奖励54,500万元面向全国社会化采集者发放，不构成属地投入；真机数据采集与标注3,850万元全部落于罗湖，依托区内文旅、酒店与餐饮实景场景棚开展。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研发固定资产：</w:t>
      </w:r>
      <w:r>
        <w:rPr>
          <w:rFonts w:ascii="Microsoft YaHei" w:hAnsi="Microsoft YaHei" w:eastAsia="Microsoft YaHei"/>
          <w:sz w:val="20"/>
        </w:rPr>
        <w:t>集团累计3,425万元，含灵巧手105套、力/触觉传感器110套、研发用整机15台及高精度测试仪器。其中硬件与整机相关部分约2,740万元配置于罗湖硬件实验室与测试场，占八成。</w:t>
      </w:r>
    </w:p>
    <w:p>
      <w:pPr>
        <w:pStyle w:val="Heading4"/>
      </w:pPr>
      <w:r>
        <w:rPr>
          <w:rFonts w:ascii="Microsoft YaHei" w:hAnsi="Microsoft YaHei" w:eastAsia="Microsoft YaHei"/>
        </w:rPr>
        <w:t>研发中心建设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罗湖研发中心是公司深圳布局的核心载体，承担"硬件研发→真机数据采集→本体适配→场景验证→认证测试"全链条职能。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启动期（2026Q3–2026Q4）：15人规模启用场地，配置首批灵巧手与传感器设备，搭建供应商体系与数据采集设备部署。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扩展期（2027年）：60人规模，硬件实验室、真机采集棚、场景验证区投入运营。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规模化期（2028年）：90人规模，承担整机集成测试、场景验证、数据采集标注核心职能。后续量产落地珠三角时，罗湖作为"研发+测试+供应链管理"中枢。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研发固定资产2,740万元（八成配置于罗湖），覆盖灵巧手、传感器、研发用整机及高精度测试仪器。</w:t>
      </w:r>
    </w:p>
    <w:p>
      <w:r>
        <w:br w:type="page"/>
      </w:r>
    </w:p>
    <w:p>
      <w:pPr>
        <w:spacing w:before="320" w:after="80"/>
      </w:pPr>
      <w:r>
        <w:rPr>
          <w:rFonts w:ascii="Microsoft YaHei" w:hAnsi="Microsoft YaHei" w:eastAsia="Microsoft YaHei"/>
          <w:b/>
          <w:color w:val="1F3B73"/>
          <w:sz w:val="24"/>
        </w:rPr>
        <w:t>Q3</w:t>
      </w:r>
      <w:r>
        <w:rPr>
          <w:rFonts w:ascii="Microsoft YaHei" w:hAnsi="Microsoft YaHei" w:eastAsia="Microsoft YaHei"/>
          <w:b/>
          <w:sz w:val="24"/>
        </w:rPr>
        <w:t xml:space="preserve">  现在及未来重点的头部合作伙伴、后续大致的技术路线周期和产业化周期等？</w:t>
      </w:r>
    </w:p>
    <w:p>
      <w:pPr>
        <w:spacing w:before="0" w:after="160"/>
        <w:pBdr>
          <w:bottom w:val="single" w:sz="6" w:color="4472C4"/>
        </w:pBdr>
      </w:pPr>
    </w:p>
    <w:p>
      <w:pPr>
        <w:pStyle w:val="Heading4"/>
      </w:pPr>
      <w:r>
        <w:rPr>
          <w:rFonts w:ascii="Microsoft YaHei" w:hAnsi="Microsoft YaHei" w:eastAsia="Microsoft YaHei"/>
        </w:rPr>
        <w:t>重点头部合作伙伴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合作层级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合作伙伴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合作定位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7"/>
              </w:rPr>
              <w:t>本体与核心部件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7"/>
              </w:rPr>
              <w:t>因诺特（灵巧手，深度共创）、Wuji灵巧手、天玑、星辰智能、RoboParty、PICO、歌尔光学（数据采集设备）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灵巧手与传感环节，深圳供应链协同紧密，属地配套率高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7"/>
              </w:rPr>
              <w:t>场景与产业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7"/>
              </w:rPr>
              <w:t>长虹集团（酒店/文旅/家电，已启动对接）、西湖文旅、洛阳文旅、四川文旅（移动餐饮）、香港大学医学院（康复）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覆盖首发文旅餐车与酒店餐厅场景，并向康复场景延伸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7"/>
              </w:rPr>
              <w:t>云端算力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7"/>
              </w:rPr>
              <w:t>阿里云（主力）、金山云（洽谈中）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支撑GPU由128卡扩张至1,408卡的训练与推理需求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7"/>
              </w:rPr>
              <w:t>学术与产教融合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7"/>
              </w:rPr>
              <w:t>鹏山大学深圳研究院（已落地罗湖，机器人方向）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7"/>
              </w:rPr>
              <w:t>罗湖属地科研协同与人才输送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</w:rPr>
        <w:t>技术路线周期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ROBOX核心技术体系为"System 2/1/0"三层分层架构，以全AR (Autoregressive，自回归)架构实现从认知推理到运动控制的端到端打通。技术路线按"大脑训练→端侧部署→场景验证"三步推进：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时间窗口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核心里程碑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关键技术指标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数据规模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一期：System 2大脑训练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2026Q3–2027Q2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Rainbow Brain 122B参数大脑模型v1.0发布；Ego (Egocentric，第一视角)数据采集体系搭建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6"/>
              </w:rPr>
              <w:t>AR架构，参数scaling无上限；ViLoS消融实验VLA成功率90.6%；TacWM (Tactile World Model，触觉世界模型)数据管线打通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16"/>
              </w:rPr>
              <w:t>约1万小时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二期：System 1端侧商用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2027Q2–2028Q1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System 1 VLA端侧模型商用部署；首批文旅餐车场景交付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6"/>
              </w:rPr>
              <w:t>从System 2蒸馏，同一AR架构；System 2与System 1通过latent space (潜空间)通信，非自然语言交互；多机器人co-training验证完成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16"/>
              </w:rPr>
              <w:t>约10万小时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三期：System 0与全栈协同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2028Q1–2028Q4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System 0行为基础模型上线；酒店/餐厅场景批量交付；技能订阅启动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6"/>
              </w:rPr>
              <w:t>高频电机控制优于NVIDIA SONIC；Action VAE (Variational Autoencoder，变分自编码器)实现连续动作生成，消除chunk-to-chunk抖动；触觉数据规模化采集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16"/>
              </w:rPr>
              <w:t>约50万小时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四期：家庭场景验证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2029年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System 2/1/0三层全链路协同验证；家庭场景试点启动；"Powered by ROBOX"认证体系搭建</w:t>
            </w:r>
          </w:p>
        </w:tc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sz w:val="16"/>
              </w:rPr>
              <w:t>Unified Action Space (统一动作空间)跨本体适配；数据飞轮(部署→采集→训练→部署)闭环</w:t>
            </w:r>
          </w:p>
        </w:tc>
        <w:tc>
          <w:tcPr>
            <w:tcW w:type="dxa" w:w="1020"/>
          </w:tcPr>
          <w:p>
            <w:r>
              <w:rPr>
                <w:rFonts w:ascii="Microsoft YaHei" w:hAnsi="Microsoft YaHei" w:eastAsia="Microsoft YaHei"/>
                <w:sz w:val="16"/>
              </w:rPr>
              <w:t>50万小时+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技术路线的三个特征：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1. 全AR架构：</w:t>
      </w:r>
      <w:r>
        <w:rPr>
          <w:rFonts w:ascii="Microsoft YaHei" w:hAnsi="Microsoft YaHei" w:eastAsia="Microsoft YaHei"/>
          <w:sz w:val="20"/>
        </w:rPr>
        <w:t>System 2和System 1均采用纯AR (Autoregressive)架构而非diffusion，解决了VLA模型的scaling瓶颈。模型参数可持续扩大，不受diffusion架构的推理延迟限制。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2. 潜空间通信：</w:t>
      </w:r>
      <w:r>
        <w:rPr>
          <w:rFonts w:ascii="Microsoft YaHei" w:hAnsi="Microsoft YaHei" w:eastAsia="Microsoft YaHei"/>
          <w:sz w:val="20"/>
        </w:rPr>
        <w:t>System 2与System 1之间通过latent space (潜空间)而非自然语言传递信息——行业首创的架构选择，大幅降低通信带宽和推理延迟，适合端侧部署。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3. 数据驱动闭环：</w:t>
      </w:r>
      <w:r>
        <w:rPr>
          <w:rFonts w:ascii="Microsoft YaHei" w:hAnsi="Microsoft YaHei" w:eastAsia="Microsoft YaHei"/>
          <w:sz w:val="20"/>
        </w:rPr>
        <w:t>Ego (Egocentric，第一视角)数据是核心技术壁垒。ROBOX于2024年启动采集，领先行业6-12个月（NVIDIA EgoSkill于2026年2月才发布）。数据管线：手机APP采集→原子动作提取→3D资产恢复→仿真学习(视觉-触觉对齐)→真机部署→触觉手套规模化采集。部署越多→数据越多→模型越强→部署越多，形成正循环。</w:t>
      </w:r>
    </w:p>
    <w:p>
      <w:pPr>
        <w:pStyle w:val="Heading4"/>
      </w:pPr>
      <w:r>
        <w:rPr>
          <w:rFonts w:ascii="Microsoft YaHei" w:hAnsi="Microsoft YaHei" w:eastAsia="Microsoft YaHei"/>
        </w:rPr>
        <w:t>产业化周期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ROBOX产业化按"商业服务→家庭"三阶段推进，当前处于第一阶段启动期：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时间窗口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核心场景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商业模式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落地里程碑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第一阶段：商业服务验证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2026Q3–2028Q4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6"/>
              </w:rPr>
              <w:t>文旅餐车(首发)、酒店布草折叠、餐饮制作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整机销售+技能订阅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2027Q3首批文旅餐车交付；2028Q2酒店/餐厅场景切入；2028Q3技能订阅上线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第二阶段：场景规模化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2029年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6"/>
              </w:rPr>
              <w:t>康养喂饭、后厨切配、客房整理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算法授权+数据服务+认证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数据达50万小时；"Powered by ROBOX"认证体系启动；向本体厂商批量输出手眼脑协同方案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第三阶段：家庭进入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6"/>
              </w:rPr>
              <w:t>2030–2031年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6"/>
              </w:rPr>
              <w:t>康养护理、做菜、家务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6"/>
              </w:rPr>
              <w:t>技能包订阅(月费模式)+数据资产交易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6"/>
              </w:rPr>
              <w:t>家庭场景试点转规模化；技能包月订阅(目标6,000元/月)；数据资产交易规模化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sz w:val="21"/>
        </w:rPr>
        <w:t>产业化路径的关键节点：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1. 首发场景选择逻辑：</w:t>
      </w:r>
      <w:r>
        <w:rPr>
          <w:rFonts w:ascii="Microsoft YaHei" w:hAnsi="Microsoft YaHei" w:eastAsia="Microsoft YaHei"/>
          <w:sz w:val="20"/>
        </w:rPr>
        <w:t>文旅餐车作为首发，因其场景标准化程度高、作业流程可分解为原子动作、容错率较高（非安全关键场景）。通过首发验证System 2/1/0全链路在真实场景的可靠性，为后续高难度场景(酒店/餐饮/康养)积累数据。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2. 技能订阅启动时机：</w:t>
      </w:r>
      <w:r>
        <w:rPr>
          <w:rFonts w:ascii="Microsoft YaHei" w:hAnsi="Microsoft YaHei" w:eastAsia="Microsoft YaHei"/>
          <w:sz w:val="20"/>
        </w:rPr>
        <w:t>2028Q3上线技能订阅，前提是部署机器人数达到临界量(11台次)。订阅模式是长期毛利结构改善的关键——从一次性硬件销售转为持续性软件收入，2029年后规模效应显现。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3. 数据飞轮与产业化协同：</w:t>
      </w:r>
      <w:r>
        <w:rPr>
          <w:rFonts w:ascii="Microsoft YaHei" w:hAnsi="Microsoft YaHei" w:eastAsia="Microsoft YaHei"/>
          <w:sz w:val="20"/>
        </w:rPr>
        <w:t>每个部署场景同时是数据采集节点。真机数据采集与标注(三年3,850万元)全部落于罗湖，依托区内文旅、酒店与餐饮实景场景棚开展。部署越多→采集越多→模型越强→新场景可拓展越多，形成正循环。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sz w:val="20"/>
        </w:rPr>
        <w:t>4. 罗湖区产业带动：</w:t>
      </w:r>
      <w:r>
        <w:rPr>
          <w:rFonts w:ascii="Microsoft YaHei" w:hAnsi="Microsoft YaHei" w:eastAsia="Microsoft YaHei"/>
          <w:sz w:val="20"/>
        </w:rPr>
        <w:t>随产业化推进，罗湖研发中心将承担"场景验证→数据采集→本体适配→认证测试"核心职能。硬件与整机相关研发固定资产(2,740万元)八成配置于罗湖，后续量产落地珠三角时，罗湖可作为"研发+测试+供应链管理"中枢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