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CD3CD"/>
    <w:p w14:paraId="425C01F6"/>
    <w:p w14:paraId="69FF3A80">
      <w:pPr>
        <w:jc w:val="center"/>
      </w:pPr>
      <w:r>
        <w:rPr>
          <w:rFonts w:ascii="微软雅黑" w:hAnsi="微软雅黑" w:eastAsia="微软雅黑"/>
          <w:b/>
          <w:color w:val="1A3C6E"/>
          <w:sz w:val="52"/>
        </w:rPr>
        <w:t>RoboX Robotics</w:t>
      </w:r>
    </w:p>
    <w:p w14:paraId="1DE47929">
      <w:pPr>
        <w:jc w:val="center"/>
      </w:pPr>
      <w:r>
        <w:rPr>
          <w:rFonts w:ascii="微软雅黑" w:hAnsi="微软雅黑" w:eastAsia="微软雅黑"/>
          <w:b/>
          <w:color w:val="1A3C6E"/>
          <w:sz w:val="36"/>
        </w:rPr>
        <w:t>落地政策分析与沟通策略建议</w:t>
      </w:r>
    </w:p>
    <w:p w14:paraId="75575106"/>
    <w:p w14:paraId="31B1B56F">
      <w:pPr>
        <w:jc w:val="center"/>
      </w:pPr>
      <w:r>
        <w:rPr>
          <w:rFonts w:ascii="微软雅黑" w:hAnsi="微软雅黑" w:eastAsia="微软雅黑"/>
          <w:color w:val="999999"/>
          <w:sz w:val="24"/>
        </w:rPr>
        <w:t>2026年7月24日</w:t>
      </w:r>
    </w:p>
    <w:p w14:paraId="126F3242">
      <w:r>
        <w:br w:type="page"/>
      </w:r>
    </w:p>
    <w:p w14:paraId="5A88A0DF">
      <w:pPr>
        <w:pStyle w:val="3"/>
      </w:pPr>
      <w:r>
        <w:rPr>
          <w:rFonts w:ascii="微软雅黑" w:hAnsi="微软雅黑" w:eastAsia="微软雅黑"/>
        </w:rPr>
        <w:t>一、杭州及余杭相关政策分类梳理</w:t>
      </w:r>
    </w:p>
    <w:p w14:paraId="7F052CB9">
      <w:pPr>
        <w:ind w:firstLine="420"/>
      </w:pPr>
      <w:r>
        <w:rPr>
          <w:rFonts w:ascii="微软雅黑" w:hAnsi="微软雅黑" w:eastAsia="微软雅黑"/>
        </w:rPr>
        <w:t>以下将涉及RoboX的政策按行政层级和类别进行系统分类。特别说明：海创未来人才计划是余杭区独有政策，非杭州市级通用政策；西湖区对应的人才计划为"西湖英才"。每条政策后标注官方出处。</w:t>
      </w:r>
    </w:p>
    <w:p w14:paraId="67DD9317">
      <w:pPr>
        <w:pStyle w:val="4"/>
      </w:pPr>
      <w:r>
        <w:rPr>
          <w:rFonts w:ascii="微软雅黑" w:hAnsi="微软雅黑" w:eastAsia="微软雅黑"/>
        </w:rPr>
        <w:t>1.1 杭州市级普惠政策（余杭区、西湖区通用）</w:t>
      </w:r>
    </w:p>
    <w:p w14:paraId="10DBAB63">
      <w:pPr>
        <w:pStyle w:val="5"/>
      </w:pPr>
      <w:r>
        <w:rPr>
          <w:rFonts w:ascii="微软雅黑" w:hAnsi="微软雅黑" w:eastAsia="微软雅黑"/>
        </w:rPr>
        <w:t>算力券政策</w:t>
      </w:r>
    </w:p>
    <w:p w14:paraId="61CEA7BD">
      <w:pPr>
        <w:ind w:firstLine="420"/>
      </w:pPr>
      <w:r>
        <w:rPr>
          <w:rFonts w:ascii="微软雅黑" w:hAnsi="微软雅黑" w:eastAsia="微软雅黑"/>
        </w:rPr>
        <w:t>杭州市每年设立2.5亿元算力券资金池，对企业购买智算服务和模型服务的实际合同金额补贴30%。浙江省另有5亿元算力券池，单个企业最高可获800万元补贴。</w:t>
      </w:r>
    </w:p>
    <w:p w14:paraId="05EF5AA4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【政策出处】杭州市经信局《2026年杭州市算力券兑付申报通知》（jxj.hangzhou.gov.cn，2026年）；浙江省发改委《2025年浙江省人工智能券（算力券）兑付申报通知》（fzggw.zj.gov.cn，2025年5月16日）。</w:t>
      </w:r>
    </w:p>
    <w:p w14:paraId="6F637C00">
      <w:pPr>
        <w:pStyle w:val="5"/>
      </w:pPr>
      <w:r>
        <w:rPr>
          <w:rFonts w:ascii="微软雅黑" w:hAnsi="微软雅黑" w:eastAsia="微软雅黑"/>
        </w:rPr>
        <w:t>AI首试首用政策</w:t>
      </w:r>
    </w:p>
    <w:p w14:paraId="16A6794F">
      <w:pPr>
        <w:ind w:firstLine="420"/>
      </w:pPr>
      <w:r>
        <w:rPr>
          <w:rFonts w:ascii="微软雅黑" w:hAnsi="微软雅黑" w:eastAsia="微软雅黑"/>
        </w:rPr>
        <w:t>鼓励AI产品在杭州进行国内市场首次测试应用。符合条件的产品按销售合同金额的30%给予补贴，单个产品最高100万元。同时设有容错免责机制。</w:t>
      </w:r>
    </w:p>
    <w:p w14:paraId="2AEE6CE1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杭州市人民政府《杭州市人工智能创新高地实施方案（2025年版）》（hangzhou.gov.cn，2025年6月20日）；西湖区配套出台《杭州市西湖区鼓励人工智能新产品首试首用专项扶持管理办法》（西湖区经信局，2026年4月28日，依据西经信〔2025〕10号）。</w:t>
      </w:r>
    </w:p>
    <w:p w14:paraId="6F0E9D04">
      <w:pPr>
        <w:pStyle w:val="5"/>
      </w:pPr>
      <w:r>
        <w:rPr>
          <w:rFonts w:ascii="微软雅黑" w:hAnsi="微软雅黑" w:eastAsia="微软雅黑"/>
        </w:rPr>
        <w:t>AI+标杆场景与产品奖励</w:t>
      </w:r>
    </w:p>
    <w:p w14:paraId="47D50D40">
      <w:pPr>
        <w:ind w:firstLine="420"/>
      </w:pPr>
      <w:r>
        <w:rPr>
          <w:rFonts w:ascii="微软雅黑" w:hAnsi="微软雅黑" w:eastAsia="微软雅黑"/>
        </w:rPr>
        <w:t>2026年杭州计划打造10个以上"AI+"标杆应用场景，每个项目最高500万元联合创新支持。最多5个优秀智能终端/装备产品可获每个最高300万元奖励。</w:t>
      </w:r>
    </w:p>
    <w:p w14:paraId="43509C05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杭州市经信局《杭州市人工智能终端产业行动方案（2026-2027年）》（jxj.hangzhou.gov.cn，2026年）；智能终端产品奖励依据杭州市发改委《2025年智能终端和智能装备单品奖励评审公示》（drc.hangzhou.gov.cn，2025年）。</w:t>
      </w:r>
    </w:p>
    <w:p w14:paraId="34D02A59">
      <w:pPr>
        <w:pStyle w:val="4"/>
      </w:pPr>
      <w:r>
        <w:rPr>
          <w:rFonts w:ascii="微软雅黑" w:hAnsi="微软雅黑" w:eastAsia="微软雅黑"/>
        </w:rPr>
        <w:t>1.2 余杭区专属政策</w:t>
      </w:r>
    </w:p>
    <w:p w14:paraId="71F3428A">
      <w:r>
        <w:rPr>
          <w:rFonts w:ascii="微软雅黑" w:hAnsi="微软雅黑" w:eastAsia="微软雅黑"/>
          <w:b/>
          <w:color w:val="C0392B"/>
        </w:rPr>
        <w:t>注意：海创未来是余杭区独有的人才引进计划，由余杭区委人才办发布和执行，非杭州市级通用政策。西湖区对应的人才计划为"西湖英才"。</w:t>
      </w:r>
    </w:p>
    <w:p w14:paraId="0EE3FE83">
      <w:pPr>
        <w:pStyle w:val="5"/>
      </w:pPr>
      <w:r>
        <w:rPr>
          <w:rFonts w:ascii="微软雅黑" w:hAnsi="微软雅黑" w:eastAsia="微软雅黑"/>
        </w:rPr>
        <w:t>海创未来领军人才计划（余杭区，AI专项赛道，2026版）</w:t>
      </w:r>
    </w:p>
    <w:p w14:paraId="098D10DA">
      <w:pPr>
        <w:ind w:firstLine="420"/>
      </w:pPr>
      <w:r>
        <w:rPr>
          <w:rFonts w:ascii="微软雅黑" w:hAnsi="微软雅黑" w:eastAsia="微软雅黑"/>
        </w:rPr>
        <w:t>这是余杭区最重要的人才引进政策，2026年新设了AI专项评审赛道。分为三档：</w:t>
      </w:r>
    </w:p>
    <w:p w14:paraId="679838B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551"/>
        <w:gridCol w:w="2551"/>
      </w:tblGrid>
      <w:tr w14:paraId="64C84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67F0857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2268" w:type="dxa"/>
            <w:shd w:val="clear" w:color="auto" w:fill="1A3C6E"/>
          </w:tcPr>
          <w:p w14:paraId="3D6B76A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顶尖人才</w:t>
            </w:r>
          </w:p>
        </w:tc>
        <w:tc>
          <w:tcPr>
            <w:tcW w:w="2551" w:type="dxa"/>
            <w:shd w:val="clear" w:color="auto" w:fill="1A3C6E"/>
          </w:tcPr>
          <w:p w14:paraId="7111FCB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领军人才</w:t>
            </w:r>
          </w:p>
        </w:tc>
        <w:tc>
          <w:tcPr>
            <w:tcW w:w="2551" w:type="dxa"/>
            <w:shd w:val="clear" w:color="auto" w:fill="1A3C6E"/>
          </w:tcPr>
          <w:p w14:paraId="4BDF130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杰出人才</w:t>
            </w:r>
          </w:p>
        </w:tc>
      </w:tr>
      <w:tr w14:paraId="634DE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32A8D3">
            <w:r>
              <w:rPr>
                <w:rFonts w:ascii="微软雅黑" w:hAnsi="微软雅黑" w:eastAsia="微软雅黑"/>
                <w:sz w:val="18"/>
              </w:rPr>
              <w:t>研发费用补贴</w:t>
            </w:r>
          </w:p>
        </w:tc>
        <w:tc>
          <w:tcPr>
            <w:tcW w:w="2268" w:type="dxa"/>
          </w:tcPr>
          <w:p w14:paraId="13FBC64E">
            <w:r>
              <w:rPr>
                <w:rFonts w:ascii="微软雅黑" w:hAnsi="微软雅黑" w:eastAsia="微软雅黑"/>
                <w:sz w:val="18"/>
              </w:rPr>
              <w:t>三年3000万元</w:t>
            </w:r>
          </w:p>
        </w:tc>
        <w:tc>
          <w:tcPr>
            <w:tcW w:w="2551" w:type="dxa"/>
          </w:tcPr>
          <w:p w14:paraId="693F174B">
            <w:pPr>
              <w:rPr>
                <w:color w:val="0000FF"/>
              </w:rPr>
            </w:pPr>
            <w:r>
              <w:rPr>
                <w:rFonts w:ascii="微软雅黑" w:hAnsi="微软雅黑" w:eastAsia="微软雅黑"/>
                <w:color w:val="0000FF"/>
                <w:sz w:val="18"/>
              </w:rPr>
              <w:t>三年1200万元</w:t>
            </w:r>
          </w:p>
        </w:tc>
        <w:tc>
          <w:tcPr>
            <w:tcW w:w="2551" w:type="dxa"/>
          </w:tcPr>
          <w:p w14:paraId="16E54946">
            <w:r>
              <w:rPr>
                <w:rFonts w:ascii="微软雅黑" w:hAnsi="微软雅黑" w:eastAsia="微软雅黑"/>
                <w:sz w:val="18"/>
              </w:rPr>
              <w:t>三年600万元</w:t>
            </w:r>
          </w:p>
        </w:tc>
      </w:tr>
      <w:tr w14:paraId="3A7BA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13C38F2C">
            <w:r>
              <w:rPr>
                <w:rFonts w:ascii="微软雅黑" w:hAnsi="微软雅黑" w:eastAsia="微软雅黑"/>
                <w:sz w:val="18"/>
              </w:rPr>
              <w:t>房租补贴</w:t>
            </w:r>
          </w:p>
        </w:tc>
        <w:tc>
          <w:tcPr>
            <w:tcW w:w="2268" w:type="dxa"/>
            <w:shd w:val="clear" w:color="auto" w:fill="F0F4F8"/>
          </w:tcPr>
          <w:p w14:paraId="69611795">
            <w:r>
              <w:rPr>
                <w:rFonts w:ascii="微软雅黑" w:hAnsi="微软雅黑" w:eastAsia="微软雅黑"/>
                <w:sz w:val="18"/>
              </w:rPr>
              <w:t>三年600万元</w:t>
            </w:r>
          </w:p>
        </w:tc>
        <w:tc>
          <w:tcPr>
            <w:tcW w:w="2551" w:type="dxa"/>
            <w:shd w:val="clear" w:color="auto" w:fill="F0F4F8"/>
          </w:tcPr>
          <w:p w14:paraId="1AB97D77">
            <w:pPr>
              <w:rPr>
                <w:color w:val="0000FF"/>
              </w:rPr>
            </w:pPr>
            <w:r>
              <w:rPr>
                <w:rFonts w:ascii="微软雅黑" w:hAnsi="微软雅黑" w:eastAsia="微软雅黑"/>
                <w:color w:val="0000FF"/>
                <w:sz w:val="18"/>
              </w:rPr>
              <w:t>三年300万元</w:t>
            </w:r>
          </w:p>
        </w:tc>
        <w:tc>
          <w:tcPr>
            <w:tcW w:w="2551" w:type="dxa"/>
            <w:shd w:val="clear" w:color="auto" w:fill="F0F4F8"/>
          </w:tcPr>
          <w:p w14:paraId="41F8DD3C">
            <w:r>
              <w:rPr>
                <w:rFonts w:ascii="微软雅黑" w:hAnsi="微软雅黑" w:eastAsia="微软雅黑"/>
                <w:sz w:val="18"/>
              </w:rPr>
              <w:t>三年150万元</w:t>
            </w:r>
          </w:p>
        </w:tc>
      </w:tr>
      <w:tr w14:paraId="3010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963C07F">
            <w:r>
              <w:rPr>
                <w:rFonts w:ascii="微软雅黑" w:hAnsi="微软雅黑" w:eastAsia="微软雅黑"/>
                <w:sz w:val="18"/>
              </w:rPr>
              <w:t>贷款贴息</w:t>
            </w:r>
          </w:p>
        </w:tc>
        <w:tc>
          <w:tcPr>
            <w:tcW w:w="2268" w:type="dxa"/>
          </w:tcPr>
          <w:p w14:paraId="3914F942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551" w:type="dxa"/>
          </w:tcPr>
          <w:p w14:paraId="6EAB848A">
            <w:pPr>
              <w:rPr>
                <w:color w:val="0000FF"/>
              </w:rPr>
            </w:pPr>
            <w:r>
              <w:rPr>
                <w:rFonts w:ascii="微软雅黑" w:hAnsi="微软雅黑" w:eastAsia="微软雅黑"/>
                <w:color w:val="0000FF"/>
                <w:sz w:val="18"/>
              </w:rPr>
              <w:t>最高1000万元（LPR 50%）</w:t>
            </w:r>
          </w:p>
        </w:tc>
        <w:tc>
          <w:tcPr>
            <w:tcW w:w="2551" w:type="dxa"/>
          </w:tcPr>
          <w:p w14:paraId="5F6DB9F9">
            <w:r>
              <w:rPr>
                <w:rFonts w:ascii="微软雅黑" w:hAnsi="微软雅黑" w:eastAsia="微软雅黑"/>
                <w:sz w:val="18"/>
              </w:rPr>
              <w:t>最高500万元</w:t>
            </w:r>
          </w:p>
        </w:tc>
      </w:tr>
      <w:tr w14:paraId="6F91F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077EDE66">
            <w:r>
              <w:rPr>
                <w:rFonts w:ascii="微软雅黑" w:hAnsi="微软雅黑" w:eastAsia="微软雅黑"/>
                <w:sz w:val="18"/>
              </w:rPr>
              <w:t>天使引导基金</w:t>
            </w:r>
          </w:p>
        </w:tc>
        <w:tc>
          <w:tcPr>
            <w:tcW w:w="2268" w:type="dxa"/>
            <w:shd w:val="clear" w:color="auto" w:fill="F0F4F8"/>
          </w:tcPr>
          <w:p w14:paraId="7FD2A60D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551" w:type="dxa"/>
            <w:shd w:val="clear" w:color="auto" w:fill="F0F4F8"/>
          </w:tcPr>
          <w:p w14:paraId="218BD5D7">
            <w:pPr>
              <w:rPr>
                <w:color w:val="0000FF"/>
              </w:rPr>
            </w:pPr>
            <w:r>
              <w:rPr>
                <w:rFonts w:ascii="微软雅黑" w:hAnsi="微软雅黑" w:eastAsia="微软雅黑"/>
                <w:color w:val="0000FF"/>
                <w:sz w:val="18"/>
              </w:rPr>
              <w:t>最高1000万元</w:t>
            </w:r>
          </w:p>
        </w:tc>
        <w:tc>
          <w:tcPr>
            <w:tcW w:w="2551" w:type="dxa"/>
            <w:shd w:val="clear" w:color="auto" w:fill="F0F4F8"/>
          </w:tcPr>
          <w:p w14:paraId="30DEEDAE">
            <w:r>
              <w:rPr>
                <w:rFonts w:ascii="微软雅黑" w:hAnsi="微软雅黑" w:eastAsia="微软雅黑"/>
                <w:sz w:val="18"/>
              </w:rPr>
              <w:t>最高1000万元</w:t>
            </w:r>
          </w:p>
        </w:tc>
      </w:tr>
      <w:tr w14:paraId="5C8FF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EAA3197">
            <w:r>
              <w:rPr>
                <w:rFonts w:ascii="微软雅黑" w:hAnsi="微软雅黑" w:eastAsia="微软雅黑"/>
                <w:sz w:val="18"/>
              </w:rPr>
              <w:t>人才认定</w:t>
            </w:r>
          </w:p>
        </w:tc>
        <w:tc>
          <w:tcPr>
            <w:tcW w:w="2268" w:type="dxa"/>
          </w:tcPr>
          <w:p w14:paraId="4A1AEFA0">
            <w:r>
              <w:rPr>
                <w:rFonts w:ascii="微软雅黑" w:hAnsi="微软雅黑" w:eastAsia="微软雅黑"/>
                <w:sz w:val="18"/>
              </w:rPr>
              <w:t>直接认定2个C类</w:t>
            </w:r>
          </w:p>
        </w:tc>
        <w:tc>
          <w:tcPr>
            <w:tcW w:w="2551" w:type="dxa"/>
          </w:tcPr>
          <w:p w14:paraId="24DA9C52">
            <w:pPr>
              <w:rPr>
                <w:color w:val="0000FF"/>
              </w:rPr>
            </w:pPr>
            <w:r>
              <w:rPr>
                <w:rFonts w:ascii="微软雅黑" w:hAnsi="微软雅黑" w:eastAsia="微软雅黑"/>
                <w:color w:val="0000FF"/>
                <w:sz w:val="18"/>
              </w:rPr>
              <w:t>直接认定2个D类</w:t>
            </w:r>
          </w:p>
        </w:tc>
        <w:tc>
          <w:tcPr>
            <w:tcW w:w="2551" w:type="dxa"/>
          </w:tcPr>
          <w:p w14:paraId="690BCD4A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2CE2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59715940">
            <w:r>
              <w:rPr>
                <w:rFonts w:ascii="微软雅黑" w:hAnsi="微软雅黑" w:eastAsia="微软雅黑"/>
                <w:sz w:val="18"/>
              </w:rPr>
              <w:t>服务券</w:t>
            </w:r>
          </w:p>
        </w:tc>
        <w:tc>
          <w:tcPr>
            <w:tcW w:w="2268" w:type="dxa"/>
            <w:shd w:val="clear" w:color="auto" w:fill="F0F4F8"/>
          </w:tcPr>
          <w:p w14:paraId="47653A82">
            <w:r>
              <w:rPr>
                <w:rFonts w:ascii="微软雅黑" w:hAnsi="微软雅黑" w:eastAsia="微软雅黑"/>
                <w:sz w:val="18"/>
              </w:rPr>
              <w:t>每年2万元</w:t>
            </w:r>
          </w:p>
        </w:tc>
        <w:tc>
          <w:tcPr>
            <w:tcW w:w="2551" w:type="dxa"/>
            <w:shd w:val="clear" w:color="auto" w:fill="F0F4F8"/>
          </w:tcPr>
          <w:p w14:paraId="1ACFAB29">
            <w:pPr>
              <w:rPr>
                <w:color w:val="0000FF"/>
              </w:rPr>
            </w:pPr>
            <w:r>
              <w:rPr>
                <w:rFonts w:ascii="微软雅黑" w:hAnsi="微软雅黑" w:eastAsia="微软雅黑"/>
                <w:color w:val="0000FF"/>
                <w:sz w:val="18"/>
              </w:rPr>
              <w:t>每年2万元</w:t>
            </w:r>
          </w:p>
        </w:tc>
        <w:tc>
          <w:tcPr>
            <w:tcW w:w="2551" w:type="dxa"/>
            <w:shd w:val="clear" w:color="auto" w:fill="F0F4F8"/>
          </w:tcPr>
          <w:p w14:paraId="70EDBD76">
            <w:r>
              <w:rPr>
                <w:rFonts w:ascii="微软雅黑" w:hAnsi="微软雅黑" w:eastAsia="微软雅黑"/>
                <w:sz w:val="18"/>
              </w:rPr>
              <w:t>每年2万元</w:t>
            </w:r>
          </w:p>
        </w:tc>
      </w:tr>
    </w:tbl>
    <w:p w14:paraId="6742E8C0">
      <w:pPr>
        <w:ind w:firstLine="420"/>
      </w:pPr>
      <w:r>
        <w:rPr>
          <w:rFonts w:ascii="微软雅黑" w:hAnsi="微软雅黑" w:eastAsia="微软雅黑"/>
        </w:rPr>
        <w:t>申报门槛：</w:t>
      </w:r>
      <w:r>
        <w:rPr>
          <w:rFonts w:ascii="微软雅黑" w:hAnsi="微软雅黑" w:eastAsia="微软雅黑"/>
          <w:color w:val="0000FF"/>
        </w:rPr>
        <w:t>领军人才要求博士+知名机构高级职称或C类以上人才；</w:t>
      </w:r>
      <w:r>
        <w:rPr>
          <w:rFonts w:ascii="微软雅黑" w:hAnsi="微软雅黑" w:eastAsia="微软雅黑"/>
        </w:rPr>
        <w:t>杰出人才要求博士+海归5年内+海外正式工作经历。持股要求15%以上，本地注册未满2年。</w:t>
      </w:r>
    </w:p>
    <w:p w14:paraId="0CD7435E">
      <w:r>
        <w:rPr>
          <w:rFonts w:ascii="微软雅黑" w:hAnsi="微软雅黑" w:eastAsia="微软雅黑"/>
          <w:b/>
        </w:rPr>
        <w:t>重要升级路径：杰出人才项目获得2000万元以上风险投资后，可升级为领军人才补贴标准。RoboX天使轮融资远超2000万门槛，如以杰出人才身份申报可直接升级。</w:t>
      </w:r>
    </w:p>
    <w:p w14:paraId="196D6853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余杭区委人才办《余杭区"海创未来"高层次人才创新创业项目扶持政策指导意见》（余人才办〔2024〕1号，2024年）；2026年AI专项赛道征集通知发布于yuhang.gov.cn/col/col1229175434/art/2026/art_a77c925934bc45c482222c4833bf8517.html。</w:t>
      </w:r>
    </w:p>
    <w:p w14:paraId="3D0576A1">
      <w:pPr>
        <w:pStyle w:val="5"/>
      </w:pPr>
      <w:r>
        <w:rPr>
          <w:rFonts w:ascii="微软雅黑" w:hAnsi="微软雅黑" w:eastAsia="微软雅黑"/>
        </w:rPr>
        <w:t>创新创业项目扶持（余杭区普惠类）</w:t>
      </w:r>
    </w:p>
    <w:p w14:paraId="76822FFF">
      <w:pPr>
        <w:ind w:firstLine="420"/>
      </w:pPr>
      <w:r>
        <w:rPr>
          <w:rFonts w:ascii="微软雅黑" w:hAnsi="微软雅黑" w:eastAsia="微软雅黑"/>
        </w:rPr>
        <w:t>三年最高150万元工作场所租金补助（单企业最高50万元/年，按实缴租金60%补贴，最高2元/天/㎡，人均补助面积10㎡）。三年最高600万元研发补助（研发设备20%+研发费用30%，单企业最高200万元/年）。三年最高500万元贷款贴息。最高1000万元天使引导基金。每年2万元服务券。</w:t>
      </w:r>
    </w:p>
    <w:p w14:paraId="5C06472A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【政策出处】余杭区委人才办《余杭区"海创未来"高层次人才创新创业项目扶持政策指导意见》（余人才办〔2024〕1号，2024年）——此为海创未来政策的杰出人才档具体标准。</w:t>
      </w:r>
    </w:p>
    <w:p w14:paraId="458D1C45">
      <w:pPr>
        <w:pStyle w:val="5"/>
      </w:pPr>
      <w:r>
        <w:rPr>
          <w:rFonts w:ascii="微软雅黑" w:hAnsi="微软雅黑" w:eastAsia="微软雅黑"/>
        </w:rPr>
        <w:t>2026年经济高质量发展政策（余杭区）</w:t>
      </w:r>
    </w:p>
    <w:p w14:paraId="236BB6AF">
      <w:pPr>
        <w:ind w:firstLine="420"/>
      </w:pPr>
      <w:r>
        <w:rPr>
          <w:rFonts w:ascii="微软雅黑" w:hAnsi="微软雅黑" w:eastAsia="微软雅黑"/>
        </w:rPr>
        <w:t>AI软硬一体化项目按总投资额20%补贴。智能终端/装备研发按市级评审配套，单项最高225万元。国家高新技术企业首次认定最高60万元，重新认定20万元。研发费用补贴最高700万元。具身智能科技攻关项目单项最高500万元。产学研合作项目单个主体最高100万元。算力券/模型券/语料券每年各5000万元。</w:t>
      </w:r>
    </w:p>
    <w:p w14:paraId="04BDCBBE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【政策出处】杭州市余杭区人民政府《推动经济高质量发展若干政策（2026年版）》（余政发〔2026〕5号，2026年3月24日签发、3月31日公开发布。yuhang.gov.cn/col/col1229174782/art/2026/art_4fc449b48d7f4888b6aff616a2e8984e.html）</w:t>
      </w:r>
    </w:p>
    <w:p w14:paraId="2047DC22">
      <w:pPr>
        <w:pStyle w:val="5"/>
      </w:pPr>
      <w:r>
        <w:rPr>
          <w:rFonts w:ascii="微软雅黑" w:hAnsi="微软雅黑" w:eastAsia="微软雅黑"/>
        </w:rPr>
        <w:t>办公场地租金补贴（余杭区）</w:t>
      </w:r>
    </w:p>
    <w:p w14:paraId="0BA564F0">
      <w:pPr>
        <w:ind w:firstLine="420"/>
      </w:pPr>
      <w:r>
        <w:rPr>
          <w:rFonts w:ascii="微软雅黑" w:hAnsi="微软雅黑" w:eastAsia="微软雅黑"/>
        </w:rPr>
        <w:t>补贴标准为1元/㎡/天或实缴租金60%（取低者），商业用地最高2元/㎡/天。单企业最高补贴面积1000㎡，人均限额10㎡（仅计办公面积），最长3年。需在市级以上认定孵化器内，且为国家高企或省科技型中小企业。</w:t>
      </w:r>
    </w:p>
    <w:p w14:paraId="232DA9D8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余杭区科学技术局《2026年1-6月余杭区科技型企业租金补助申报通知》（yuhang.gov.cn/col/col1229512213/art/2026/art_5062e076c55241b2830ae95d0aab0c46.html，2026年7月17日发布）；政策依据为《余杭区企业空间要素保障政策指导意见》。</w:t>
      </w:r>
    </w:p>
    <w:p w14:paraId="459697A7">
      <w:pPr>
        <w:pStyle w:val="5"/>
      </w:pPr>
      <w:r>
        <w:rPr>
          <w:rFonts w:ascii="微软雅黑" w:hAnsi="微软雅黑" w:eastAsia="微软雅黑"/>
        </w:rPr>
        <w:t>政府产业基金（余杭区，2026版管理办法）</w:t>
      </w:r>
    </w:p>
    <w:p w14:paraId="3789A124">
      <w:pPr>
        <w:ind w:firstLine="420"/>
      </w:pPr>
      <w:r>
        <w:rPr>
          <w:rFonts w:ascii="微软雅黑" w:hAnsi="微软雅黑" w:eastAsia="微软雅黑"/>
        </w:rPr>
        <w:t>直接投资：有社会资本参与时最高6000万元，无社会资本时最高2000万元。政府持股上限30%，不做控股股东。投资方向包括AI、视觉智能、具身智能机器人、半导体、生物医药、先进制造。投资理念为"投早、投小、投长期、投硬科技"。审批层级：3000万以下标准委员会，3000万-1亿升级评审，5亿以上需区委常委会审批。</w:t>
      </w:r>
    </w:p>
    <w:p w14:paraId="66E981E0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【政策出处】杭州市余杭区人民政府办公室《余杭区区级政府投资基金管理办法》（余政发〔2026〕5号，2026年1月16日签发、1月23日公开发布。yuhang.gov.cn/col/col1229174782/art/2026/art_69d7af8936ea41efa36148929353210c.html）</w:t>
      </w:r>
    </w:p>
    <w:p w14:paraId="6308C759">
      <w:pPr>
        <w:pStyle w:val="5"/>
      </w:pPr>
      <w:r>
        <w:rPr>
          <w:rFonts w:ascii="微软雅黑" w:hAnsi="微软雅黑" w:eastAsia="微软雅黑"/>
        </w:rPr>
        <w:t>具身智能专项支持（余杭区）</w:t>
      </w:r>
    </w:p>
    <w:p w14:paraId="73E84431">
      <w:pPr>
        <w:ind w:firstLine="420"/>
      </w:pPr>
      <w:r>
        <w:rPr>
          <w:rFonts w:ascii="微软雅黑" w:hAnsi="微软雅黑" w:eastAsia="微软雅黑"/>
        </w:rPr>
        <w:t>余杭区已建立杭州机器人学校、具身智能机器人创新中心、人形机器人产业联盟，发布了3批场景清单（41个政府需求+90个企业能力）。</w:t>
      </w:r>
      <w:r>
        <w:rPr>
          <w:rFonts w:ascii="微软雅黑" w:hAnsi="微软雅黑" w:eastAsia="微软雅黑"/>
          <w:color w:val="0000FF"/>
        </w:rPr>
        <w:t>AI+场景示范项目按项目投资额30%补助、最高500万元。关键技术攻关（"最强大脑""最强本体"）重大项目最高500万元/项。</w:t>
      </w:r>
      <w:r>
        <w:rPr>
          <w:rFonts w:ascii="微软雅黑" w:hAnsi="微软雅黑" w:eastAsia="微软雅黑"/>
        </w:rPr>
        <w:t>正在筹建区级具身智能联盟。</w:t>
      </w:r>
    </w:p>
    <w:p w14:paraId="67522882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杭州市余杭区人民政府《余杭区加快建设人工智能创新高地核心承载地实施方案（2025年版）》（余政发〔2025〕44号，2025年10月17日签发、10月27日公开发布。yuhang.gov.cn/art/2025/10/27/art_1229174782_1862109.html）；杭州市经信局《杭州市具身智能机器人"强链补链"三年行动方案（2025-2027年）》（2026年6月4日征求意见稿）。余杭区本级《具身智能机器人及其他智能终端产业集群"强链补链"行动方案（2026-2028年）》截至2026年Q1尚在起草中。</w:t>
      </w:r>
    </w:p>
    <w:p w14:paraId="7843C9A9">
      <w:pPr>
        <w:pStyle w:val="4"/>
      </w:pPr>
      <w:r>
        <w:rPr>
          <w:rFonts w:ascii="微软雅黑" w:hAnsi="微软雅黑" w:eastAsia="微软雅黑"/>
        </w:rPr>
        <w:t>1.3 西湖区政策</w:t>
      </w:r>
    </w:p>
    <w:p w14:paraId="5CD83B6B">
      <w:pPr>
        <w:ind w:firstLine="420"/>
      </w:pPr>
      <w:r>
        <w:rPr>
          <w:rFonts w:ascii="微软雅黑" w:hAnsi="微软雅黑" w:eastAsia="微软雅黑"/>
        </w:rPr>
        <w:t>西湖区对应的人才计划为"西湖英才"（非海创未来），目前已进行到第23批项目征集。创业启动资金分四档：A类500万元、B类300万元、C类100万元、D类50万元。</w:t>
      </w:r>
    </w:p>
    <w:p w14:paraId="26DEADF1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杭州市西湖区人民政府办公室《第二十三批"西湖英才"项目征集公告》（hzxh.gov.cn，2025年12月发布，申报截止2026年1月23日）；第22批入选名单见hzxh.gov.cn/col/col1229564994/art/2025/art_7ca893e4f75246dc8ae29ed42c24cb73.html（2025年10月公布，54个项目入选）。</w:t>
      </w:r>
    </w:p>
    <w:p w14:paraId="5839C4EF">
      <w:pPr>
        <w:ind w:firstLine="420"/>
      </w:pPr>
      <w:r>
        <w:rPr>
          <w:rFonts w:ascii="微软雅黑" w:hAnsi="微软雅黑" w:eastAsia="微软雅黑"/>
        </w:rPr>
        <w:t>青鸟计划（种子期扶持）：单项最高200万元，首期拨付50%，覆盖概念验证费50%、办公租金30%、专项技术保险50%、后续研发费30%。门槛为本地注册独立法人、成立6年内、上年营收2000万以下、核心团队含E类以上人才。设有2年周期尽职免责机制。</w:t>
      </w:r>
    </w:p>
    <w:p w14:paraId="7200DD52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【政策出处】杭州市西湖区科学技术局《关于印发〈西湖区"青鸟计划"实施细则〉的通知》（hzxh.gov.cn/art/2025/3/5/art_1229564945_1849819.html，2025年3月5日）。</w:t>
      </w:r>
    </w:p>
    <w:p w14:paraId="4AD9EF56">
      <w:pPr>
        <w:ind w:firstLine="420"/>
      </w:pPr>
      <w:r>
        <w:rPr>
          <w:rFonts w:ascii="微软雅黑" w:hAnsi="微软雅黑" w:eastAsia="微软雅黑"/>
        </w:rPr>
        <w:t>飞天计划（高成长扶持）：分三个梯队培育高成长企业。飞天企业（估值超10亿美元、营收超5亿元）年度研发支出超1亿元部分按25%资助，三年最高补助3000万元。另提供租金减免、金融直投（单项2000万元以内）、上市支持等八大核心扶持措施。</w:t>
      </w:r>
    </w:p>
    <w:p w14:paraId="3C2480E5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【政策出处】杭州市西湖区科学技术局、西湖区财政局联合发文《关于印发〈西湖区飞天企业培育工程实施意见〉的通知》（hzxh.gov.cn/art/2024/1/22/art_1229562293_1840052.html，2024年1月22日）。</w:t>
      </w:r>
    </w:p>
    <w:p w14:paraId="581A7F46">
      <w:pPr>
        <w:ind w:firstLine="420"/>
      </w:pPr>
      <w:r>
        <w:rPr>
          <w:rFonts w:ascii="微软雅黑" w:hAnsi="微软雅黑" w:eastAsia="微软雅黑"/>
        </w:rPr>
        <w:t>云谷杯AI大赛：一等奖1名获三年最高500万补贴，二等奖2名各最高350万，三等奖3名各最高210万。获奖项目须在一年内完成当地成果转化。赛事本身为活动载体，补贴落地后按紫金港科技城人才政策分三年拨付。</w:t>
      </w:r>
    </w:p>
    <w:p w14:paraId="0EBBF3C7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【政策出处】杭州紫金港科技城管理委员会、杭州西湖云创集团有限公司主办（2025年9-11月），非区政府行政规范性文件，属赛事活动载体。</w:t>
      </w:r>
    </w:p>
    <w:p w14:paraId="2A59CB37">
      <w:pPr>
        <w:ind w:firstLine="420"/>
      </w:pPr>
      <w:r>
        <w:rPr>
          <w:rFonts w:ascii="微软雅黑" w:hAnsi="微软雅黑" w:eastAsia="微软雅黑"/>
        </w:rPr>
        <w:t>AI首试首用（西湖区区级版）：AI新产品首次投放国内市场并率先在西湖区场景开展试验验证，按销售合同实际支付金额的30%给予补助，同一产品最高100万元。配套容错免责制度。</w:t>
      </w:r>
    </w:p>
    <w:p w14:paraId="3DB0FE20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【政策出处】《杭州市西湖区鼓励人工智能新产品首试首用专项扶持管理办法》（西湖区经信局，2026年4月28日发布，依据西经信〔2025〕10号《西湖区进一步推动人工智能产业发展的若干措施》）。</w:t>
      </w:r>
    </w:p>
    <w:p w14:paraId="073AF05B">
      <w:pPr>
        <w:pStyle w:val="4"/>
      </w:pPr>
      <w:r>
        <w:rPr>
          <w:rFonts w:ascii="微软雅黑" w:hAnsi="微软雅黑" w:eastAsia="微软雅黑"/>
        </w:rPr>
        <w:t>1.4 人才计划体系总览</w:t>
      </w:r>
    </w:p>
    <w:p w14:paraId="4697D0F9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850"/>
        <w:gridCol w:w="850"/>
        <w:gridCol w:w="1984"/>
        <w:gridCol w:w="1984"/>
      </w:tblGrid>
      <w:tr w14:paraId="3D08B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63DD38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人才计划</w:t>
            </w:r>
          </w:p>
        </w:tc>
        <w:tc>
          <w:tcPr>
            <w:tcW w:w="1417" w:type="dxa"/>
            <w:shd w:val="clear" w:color="auto" w:fill="1A3C6E"/>
          </w:tcPr>
          <w:p w14:paraId="633474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三年合计</w:t>
            </w:r>
          </w:p>
        </w:tc>
        <w:tc>
          <w:tcPr>
            <w:tcW w:w="850" w:type="dxa"/>
            <w:shd w:val="clear" w:color="auto" w:fill="1A3C6E"/>
          </w:tcPr>
          <w:p w14:paraId="36EBD3B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个人部分</w:t>
            </w:r>
          </w:p>
        </w:tc>
        <w:tc>
          <w:tcPr>
            <w:tcW w:w="850" w:type="dxa"/>
            <w:shd w:val="clear" w:color="auto" w:fill="1A3C6E"/>
          </w:tcPr>
          <w:p w14:paraId="5D62D9D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单位部分</w:t>
            </w:r>
          </w:p>
        </w:tc>
        <w:tc>
          <w:tcPr>
            <w:tcW w:w="1984" w:type="dxa"/>
            <w:shd w:val="clear" w:color="auto" w:fill="1A3C6E"/>
          </w:tcPr>
          <w:p w14:paraId="1B3FFA6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资格要求</w:t>
            </w:r>
          </w:p>
        </w:tc>
        <w:tc>
          <w:tcPr>
            <w:tcW w:w="1984" w:type="dxa"/>
            <w:shd w:val="clear" w:color="auto" w:fill="1A3C6E"/>
          </w:tcPr>
          <w:p w14:paraId="2D8AE9C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出处</w:t>
            </w:r>
          </w:p>
        </w:tc>
      </w:tr>
      <w:tr w14:paraId="19602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A303288">
            <w:r>
              <w:rPr>
                <w:rFonts w:ascii="微软雅黑" w:hAnsi="微软雅黑" w:eastAsia="微软雅黑"/>
                <w:sz w:val="18"/>
              </w:rPr>
              <w:t>国家千人计划</w:t>
            </w:r>
          </w:p>
        </w:tc>
        <w:tc>
          <w:tcPr>
            <w:tcW w:w="1417" w:type="dxa"/>
          </w:tcPr>
          <w:p w14:paraId="6D45368D">
            <w:r>
              <w:rPr>
                <w:rFonts w:ascii="微软雅黑" w:hAnsi="微软雅黑" w:eastAsia="微软雅黑"/>
                <w:sz w:val="18"/>
              </w:rPr>
              <w:t>400万元</w:t>
            </w:r>
          </w:p>
        </w:tc>
        <w:tc>
          <w:tcPr>
            <w:tcW w:w="850" w:type="dxa"/>
          </w:tcPr>
          <w:p w14:paraId="1BD0246C">
            <w:r>
              <w:rPr>
                <w:rFonts w:ascii="微软雅黑" w:hAnsi="微软雅黑" w:eastAsia="微软雅黑"/>
                <w:sz w:val="18"/>
              </w:rPr>
              <w:t>350万元</w:t>
            </w:r>
          </w:p>
        </w:tc>
        <w:tc>
          <w:tcPr>
            <w:tcW w:w="850" w:type="dxa"/>
          </w:tcPr>
          <w:p w14:paraId="58763D2C">
            <w:r>
              <w:rPr>
                <w:rFonts w:ascii="微软雅黑" w:hAnsi="微软雅黑" w:eastAsia="微软雅黑"/>
                <w:sz w:val="18"/>
              </w:rPr>
              <w:t>50万元</w:t>
            </w:r>
          </w:p>
        </w:tc>
        <w:tc>
          <w:tcPr>
            <w:tcW w:w="1984" w:type="dxa"/>
          </w:tcPr>
          <w:p w14:paraId="44CFF159">
            <w:r>
              <w:rPr>
                <w:rFonts w:ascii="微软雅黑" w:hAnsi="微软雅黑" w:eastAsia="微软雅黑"/>
                <w:sz w:val="18"/>
              </w:rPr>
              <w:t>海外高校/科研机构任教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或世界500强高管，回国5年内</w:t>
            </w:r>
          </w:p>
        </w:tc>
        <w:tc>
          <w:tcPr>
            <w:tcW w:w="1984" w:type="dxa"/>
          </w:tcPr>
          <w:p w14:paraId="7741AAC5">
            <w:r>
              <w:rPr>
                <w:rFonts w:ascii="微软雅黑" w:hAnsi="微软雅黑" w:eastAsia="微软雅黑"/>
                <w:sz w:val="18"/>
              </w:rPr>
              <w:t>国家级人才工程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杭州载体为521计划</w:t>
            </w:r>
          </w:p>
        </w:tc>
      </w:tr>
      <w:tr w14:paraId="6AA5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D8D4817">
            <w:r>
              <w:rPr>
                <w:rFonts w:ascii="微软雅黑" w:hAnsi="微软雅黑" w:eastAsia="微软雅黑"/>
                <w:sz w:val="18"/>
              </w:rPr>
              <w:t>省千人计划</w:t>
            </w:r>
          </w:p>
        </w:tc>
        <w:tc>
          <w:tcPr>
            <w:tcW w:w="1417" w:type="dxa"/>
            <w:shd w:val="clear" w:color="auto" w:fill="F0F4F8"/>
          </w:tcPr>
          <w:p w14:paraId="065A239E">
            <w:r>
              <w:rPr>
                <w:rFonts w:ascii="微软雅黑" w:hAnsi="微软雅黑" w:eastAsia="微软雅黑"/>
                <w:sz w:val="18"/>
              </w:rPr>
              <w:t>300万元</w:t>
            </w:r>
          </w:p>
        </w:tc>
        <w:tc>
          <w:tcPr>
            <w:tcW w:w="850" w:type="dxa"/>
            <w:shd w:val="clear" w:color="auto" w:fill="F0F4F8"/>
          </w:tcPr>
          <w:p w14:paraId="7C8EBAE3">
            <w:r>
              <w:rPr>
                <w:rFonts w:ascii="微软雅黑" w:hAnsi="微软雅黑" w:eastAsia="微软雅黑"/>
                <w:sz w:val="18"/>
              </w:rPr>
              <w:t>250万元</w:t>
            </w:r>
          </w:p>
        </w:tc>
        <w:tc>
          <w:tcPr>
            <w:tcW w:w="850" w:type="dxa"/>
            <w:shd w:val="clear" w:color="auto" w:fill="F0F4F8"/>
          </w:tcPr>
          <w:p w14:paraId="532CC328">
            <w:r>
              <w:rPr>
                <w:rFonts w:ascii="微软雅黑" w:hAnsi="微软雅黑" w:eastAsia="微软雅黑"/>
                <w:sz w:val="18"/>
              </w:rPr>
              <w:t>50万元</w:t>
            </w:r>
          </w:p>
        </w:tc>
        <w:tc>
          <w:tcPr>
            <w:tcW w:w="1984" w:type="dxa"/>
            <w:shd w:val="clear" w:color="auto" w:fill="F0F4F8"/>
          </w:tcPr>
          <w:p w14:paraId="3882FAED"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w="1984" w:type="dxa"/>
            <w:shd w:val="clear" w:color="auto" w:fill="F0F4F8"/>
          </w:tcPr>
          <w:p w14:paraId="26323D89">
            <w:r>
              <w:rPr>
                <w:rFonts w:ascii="微软雅黑" w:hAnsi="微软雅黑" w:eastAsia="微软雅黑"/>
                <w:sz w:val="18"/>
              </w:rPr>
              <w:t>省级人才工程</w:t>
            </w:r>
          </w:p>
        </w:tc>
      </w:tr>
      <w:tr w14:paraId="2DF03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952D10">
            <w:r>
              <w:rPr>
                <w:rFonts w:ascii="微软雅黑" w:hAnsi="微软雅黑" w:eastAsia="微软雅黑"/>
                <w:sz w:val="18"/>
              </w:rPr>
              <w:t>市521计划/西湖明珠</w:t>
            </w:r>
          </w:p>
        </w:tc>
        <w:tc>
          <w:tcPr>
            <w:tcW w:w="1417" w:type="dxa"/>
          </w:tcPr>
          <w:p w14:paraId="2FC0A34F">
            <w:r>
              <w:rPr>
                <w:rFonts w:ascii="微软雅黑" w:hAnsi="微软雅黑" w:eastAsia="微软雅黑"/>
                <w:sz w:val="18"/>
              </w:rPr>
              <w:t>200万元+</w:t>
            </w:r>
          </w:p>
        </w:tc>
        <w:tc>
          <w:tcPr>
            <w:tcW w:w="850" w:type="dxa"/>
          </w:tcPr>
          <w:p w14:paraId="7E816847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850" w:type="dxa"/>
          </w:tcPr>
          <w:p w14:paraId="56E4BBB2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1984" w:type="dxa"/>
          </w:tcPr>
          <w:p w14:paraId="3D34D2D0"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w="1984" w:type="dxa"/>
          </w:tcPr>
          <w:p w14:paraId="1E9C2A36">
            <w:r>
              <w:rPr>
                <w:rFonts w:ascii="微软雅黑" w:hAnsi="微软雅黑" w:eastAsia="微软雅黑"/>
                <w:sz w:val="18"/>
              </w:rPr>
              <w:t>杭州市委办公厅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杭政办〔2010〕</w:t>
            </w:r>
          </w:p>
        </w:tc>
      </w:tr>
      <w:tr w14:paraId="4B29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8C42CC6">
            <w:r>
              <w:rPr>
                <w:rFonts w:ascii="微软雅黑" w:hAnsi="微软雅黑" w:eastAsia="微软雅黑"/>
                <w:sz w:val="18"/>
              </w:rPr>
              <w:t>海创未来顶尖人才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（余杭区独有）</w:t>
            </w:r>
          </w:p>
        </w:tc>
        <w:tc>
          <w:tcPr>
            <w:tcW w:w="1417" w:type="dxa"/>
            <w:shd w:val="clear" w:color="auto" w:fill="F0F4F8"/>
          </w:tcPr>
          <w:p w14:paraId="2FE84E83">
            <w:r>
              <w:rPr>
                <w:rFonts w:ascii="微软雅黑" w:hAnsi="微软雅黑" w:eastAsia="微软雅黑"/>
                <w:sz w:val="18"/>
              </w:rPr>
              <w:t>研发3000万+房租600万</w:t>
            </w:r>
          </w:p>
        </w:tc>
        <w:tc>
          <w:tcPr>
            <w:tcW w:w="850" w:type="dxa"/>
            <w:shd w:val="clear" w:color="auto" w:fill="F0F4F8"/>
          </w:tcPr>
          <w:p w14:paraId="004F1F8F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850" w:type="dxa"/>
            <w:shd w:val="clear" w:color="auto" w:fill="F0F4F8"/>
          </w:tcPr>
          <w:p w14:paraId="3506867A">
            <w:r>
              <w:rPr>
                <w:rFonts w:ascii="微软雅黑" w:hAnsi="微软雅黑" w:eastAsia="微软雅黑"/>
                <w:sz w:val="18"/>
              </w:rPr>
              <w:t>2个C类</w:t>
            </w:r>
          </w:p>
        </w:tc>
        <w:tc>
          <w:tcPr>
            <w:tcW w:w="1984" w:type="dxa"/>
            <w:shd w:val="clear" w:color="auto" w:fill="F0F4F8"/>
          </w:tcPr>
          <w:p w14:paraId="6ACDD0B4">
            <w:r>
              <w:rPr>
                <w:rFonts w:ascii="微软雅黑" w:hAnsi="微软雅黑" w:eastAsia="微软雅黑"/>
                <w:sz w:val="18"/>
              </w:rPr>
              <w:t>最高档</w:t>
            </w:r>
          </w:p>
        </w:tc>
        <w:tc>
          <w:tcPr>
            <w:tcW w:w="1984" w:type="dxa"/>
            <w:shd w:val="clear" w:color="auto" w:fill="F0F4F8"/>
          </w:tcPr>
          <w:p w14:paraId="523B10E8">
            <w:r>
              <w:rPr>
                <w:rFonts w:ascii="微软雅黑" w:hAnsi="微软雅黑" w:eastAsia="微软雅黑"/>
                <w:sz w:val="18"/>
              </w:rPr>
              <w:t>余人才办〔2024〕1号</w:t>
            </w:r>
          </w:p>
        </w:tc>
      </w:tr>
      <w:tr w14:paraId="178C1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F598E7">
            <w:r>
              <w:rPr>
                <w:rFonts w:ascii="微软雅黑" w:hAnsi="微软雅黑" w:eastAsia="微软雅黑"/>
                <w:sz w:val="18"/>
              </w:rPr>
              <w:t>海创未来领军人才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（余杭区独有）</w:t>
            </w:r>
          </w:p>
        </w:tc>
        <w:tc>
          <w:tcPr>
            <w:tcW w:w="1417" w:type="dxa"/>
          </w:tcPr>
          <w:p w14:paraId="0076D831">
            <w:r>
              <w:rPr>
                <w:rFonts w:ascii="微软雅黑" w:hAnsi="微软雅黑" w:eastAsia="微软雅黑"/>
                <w:sz w:val="18"/>
              </w:rPr>
              <w:t>研发1200万+房租300万</w:t>
            </w:r>
          </w:p>
        </w:tc>
        <w:tc>
          <w:tcPr>
            <w:tcW w:w="850" w:type="dxa"/>
          </w:tcPr>
          <w:p w14:paraId="7AD8B5FC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850" w:type="dxa"/>
          </w:tcPr>
          <w:p w14:paraId="0570A2FC">
            <w:r>
              <w:rPr>
                <w:rFonts w:ascii="微软雅黑" w:hAnsi="微软雅黑" w:eastAsia="微软雅黑"/>
                <w:sz w:val="18"/>
              </w:rPr>
              <w:t>2个D类</w:t>
            </w:r>
          </w:p>
        </w:tc>
        <w:tc>
          <w:tcPr>
            <w:tcW w:w="1984" w:type="dxa"/>
          </w:tcPr>
          <w:p w14:paraId="4A79F59E">
            <w:r>
              <w:rPr>
                <w:rFonts w:ascii="微软雅黑" w:hAnsi="微软雅黑" w:eastAsia="微软雅黑"/>
                <w:sz w:val="18"/>
              </w:rPr>
              <w:t>博士+高级职称</w:t>
            </w:r>
          </w:p>
        </w:tc>
        <w:tc>
          <w:tcPr>
            <w:tcW w:w="1984" w:type="dxa"/>
          </w:tcPr>
          <w:p w14:paraId="395FAEFA">
            <w:r>
              <w:rPr>
                <w:rFonts w:ascii="微软雅黑" w:hAnsi="微软雅黑" w:eastAsia="微软雅黑"/>
                <w:sz w:val="18"/>
              </w:rPr>
              <w:t>余人才办〔2024〕1号</w:t>
            </w:r>
          </w:p>
        </w:tc>
      </w:tr>
      <w:tr w14:paraId="7904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2C667AD2">
            <w:r>
              <w:rPr>
                <w:rFonts w:ascii="微软雅黑" w:hAnsi="微软雅黑" w:eastAsia="微软雅黑"/>
                <w:sz w:val="18"/>
              </w:rPr>
              <w:t>海创未来杰出人才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（余杭区独有）</w:t>
            </w:r>
          </w:p>
        </w:tc>
        <w:tc>
          <w:tcPr>
            <w:tcW w:w="1417" w:type="dxa"/>
            <w:shd w:val="clear" w:color="auto" w:fill="F0F4F8"/>
          </w:tcPr>
          <w:p w14:paraId="6E9C9452">
            <w:r>
              <w:rPr>
                <w:rFonts w:ascii="微软雅黑" w:hAnsi="微软雅黑" w:eastAsia="微软雅黑"/>
                <w:sz w:val="18"/>
              </w:rPr>
              <w:t>研发600万+房租150万</w:t>
            </w:r>
          </w:p>
        </w:tc>
        <w:tc>
          <w:tcPr>
            <w:tcW w:w="850" w:type="dxa"/>
            <w:shd w:val="clear" w:color="auto" w:fill="F0F4F8"/>
          </w:tcPr>
          <w:p w14:paraId="00437F5C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850" w:type="dxa"/>
            <w:shd w:val="clear" w:color="auto" w:fill="F0F4F8"/>
          </w:tcPr>
          <w:p w14:paraId="5CDE7610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1984" w:type="dxa"/>
            <w:shd w:val="clear" w:color="auto" w:fill="F0F4F8"/>
          </w:tcPr>
          <w:p w14:paraId="4BBE2968">
            <w:r>
              <w:rPr>
                <w:rFonts w:ascii="微软雅黑" w:hAnsi="微软雅黑" w:eastAsia="微软雅黑"/>
                <w:sz w:val="18"/>
              </w:rPr>
              <w:t>博士+海归</w:t>
            </w:r>
          </w:p>
        </w:tc>
        <w:tc>
          <w:tcPr>
            <w:tcW w:w="1984" w:type="dxa"/>
            <w:shd w:val="clear" w:color="auto" w:fill="F0F4F8"/>
          </w:tcPr>
          <w:p w14:paraId="685CC3AA">
            <w:r>
              <w:rPr>
                <w:rFonts w:ascii="微软雅黑" w:hAnsi="微软雅黑" w:eastAsia="微软雅黑"/>
                <w:sz w:val="18"/>
              </w:rPr>
              <w:t>余人才办〔2024〕1号</w:t>
            </w:r>
          </w:p>
        </w:tc>
      </w:tr>
      <w:tr w14:paraId="6416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2253DB">
            <w:r>
              <w:rPr>
                <w:rFonts w:ascii="微软雅黑" w:hAnsi="微软雅黑" w:eastAsia="微软雅黑"/>
                <w:sz w:val="18"/>
              </w:rPr>
              <w:t>西湖英才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（西湖区）</w:t>
            </w:r>
          </w:p>
        </w:tc>
        <w:tc>
          <w:tcPr>
            <w:tcW w:w="1417" w:type="dxa"/>
          </w:tcPr>
          <w:p w14:paraId="540422F3">
            <w:r>
              <w:rPr>
                <w:rFonts w:ascii="微软雅黑" w:hAnsi="微软雅黑" w:eastAsia="微软雅黑"/>
                <w:sz w:val="18"/>
              </w:rPr>
              <w:t>A类500万/B类300万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C类100万/D类50万</w:t>
            </w:r>
          </w:p>
        </w:tc>
        <w:tc>
          <w:tcPr>
            <w:tcW w:w="850" w:type="dxa"/>
          </w:tcPr>
          <w:p w14:paraId="46206B55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850" w:type="dxa"/>
          </w:tcPr>
          <w:p w14:paraId="49E0B91B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1984" w:type="dxa"/>
          </w:tcPr>
          <w:p w14:paraId="2D5A3F05">
            <w:r>
              <w:rPr>
                <w:rFonts w:ascii="微软雅黑" w:hAnsi="微软雅黑" w:eastAsia="微软雅黑"/>
                <w:sz w:val="18"/>
              </w:rPr>
              <w:t>按征集公告</w:t>
            </w:r>
          </w:p>
        </w:tc>
        <w:tc>
          <w:tcPr>
            <w:tcW w:w="1984" w:type="dxa"/>
          </w:tcPr>
          <w:p w14:paraId="51615FEE">
            <w:r>
              <w:rPr>
                <w:rFonts w:ascii="微软雅黑" w:hAnsi="微软雅黑" w:eastAsia="微软雅黑"/>
                <w:sz w:val="18"/>
              </w:rPr>
              <w:t>西湖区人民政府办公室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第23批征集公告</w:t>
            </w:r>
          </w:p>
        </w:tc>
      </w:tr>
    </w:tbl>
    <w:p w14:paraId="21462496">
      <w:pPr>
        <w:ind w:firstLine="420"/>
      </w:pPr>
      <w:r>
        <w:rPr>
          <w:rFonts w:ascii="微软雅黑" w:hAnsi="微软雅黑" w:eastAsia="微软雅黑"/>
        </w:rPr>
        <w:t>关键优势：各级人才计划与海创未来可同时申报、叠加享受，互不冲突。</w:t>
      </w:r>
    </w:p>
    <w:p w14:paraId="160532B5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国家/省千人计划为国家级和省级人才工程统称；杭州市具体实施载体为《杭州市全球引才"521"计划实施意见》（中共杭州市委办公厅、杭州市人民政府办公厅，2010年3月22日）及后续"西湖明珠工程"。入选国家/省千人计划人选直接纳入521计划管理。</w:t>
      </w:r>
    </w:p>
    <w:p w14:paraId="166ACCF7">
      <w:pPr>
        <w:pStyle w:val="4"/>
      </w:pPr>
      <w:r>
        <w:rPr>
          <w:rFonts w:ascii="微软雅黑" w:hAnsi="微软雅黑" w:eastAsia="微软雅黑"/>
        </w:rPr>
        <w:t>1.5 余杭区 vs 西湖区对比</w:t>
      </w:r>
    </w:p>
    <w:p w14:paraId="66BBE91E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3685"/>
      </w:tblGrid>
      <w:tr w14:paraId="2837A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3C61CD5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3685" w:type="dxa"/>
            <w:shd w:val="clear" w:color="auto" w:fill="1A3C6E"/>
          </w:tcPr>
          <w:p w14:paraId="2A5C14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余杭区</w:t>
            </w:r>
          </w:p>
        </w:tc>
        <w:tc>
          <w:tcPr>
            <w:tcW w:w="3685" w:type="dxa"/>
            <w:shd w:val="clear" w:color="auto" w:fill="1A3C6E"/>
          </w:tcPr>
          <w:p w14:paraId="062E27E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西湖区</w:t>
            </w:r>
          </w:p>
        </w:tc>
      </w:tr>
      <w:tr w14:paraId="4FA01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9823AF">
            <w:r>
              <w:rPr>
                <w:rFonts w:ascii="微软雅黑" w:hAnsi="微软雅黑" w:eastAsia="微软雅黑"/>
                <w:sz w:val="18"/>
              </w:rPr>
              <w:t>AI产业规模</w:t>
            </w:r>
          </w:p>
        </w:tc>
        <w:tc>
          <w:tcPr>
            <w:tcW w:w="3685" w:type="dxa"/>
          </w:tcPr>
          <w:p w14:paraId="7EB6909C">
            <w:r>
              <w:rPr>
                <w:rFonts w:ascii="微软雅黑" w:hAnsi="微软雅黑" w:eastAsia="微软雅黑"/>
                <w:sz w:val="18"/>
              </w:rPr>
              <w:t>1500亿元+，浙江GDP第一区</w:t>
            </w:r>
          </w:p>
        </w:tc>
        <w:tc>
          <w:tcPr>
            <w:tcW w:w="3685" w:type="dxa"/>
          </w:tcPr>
          <w:p w14:paraId="7430150A">
            <w:r>
              <w:rPr>
                <w:rFonts w:ascii="微软雅黑" w:hAnsi="微软雅黑" w:eastAsia="微软雅黑"/>
                <w:sz w:val="18"/>
              </w:rPr>
              <w:t>较小但增长中</w:t>
            </w:r>
          </w:p>
        </w:tc>
      </w:tr>
      <w:tr w14:paraId="004E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7C1FE502">
            <w:r>
              <w:rPr>
                <w:rFonts w:ascii="微软雅黑" w:hAnsi="微软雅黑" w:eastAsia="微软雅黑"/>
                <w:sz w:val="18"/>
              </w:rPr>
              <w:t>具身智能定位</w:t>
            </w:r>
          </w:p>
        </w:tc>
        <w:tc>
          <w:tcPr>
            <w:tcW w:w="3685" w:type="dxa"/>
            <w:shd w:val="clear" w:color="auto" w:fill="F0F4F8"/>
          </w:tcPr>
          <w:p w14:paraId="4ADD32F2">
            <w:r>
              <w:rPr>
                <w:rFonts w:ascii="微软雅黑" w:hAnsi="微软雅黑" w:eastAsia="微软雅黑"/>
                <w:sz w:val="18"/>
              </w:rPr>
              <w:t>明确重点：机器人学校、创新中心、联盟、单项500万</w:t>
            </w:r>
          </w:p>
        </w:tc>
        <w:tc>
          <w:tcPr>
            <w:tcW w:w="3685" w:type="dxa"/>
            <w:shd w:val="clear" w:color="auto" w:fill="F0F4F8"/>
          </w:tcPr>
          <w:p w14:paraId="31DC9690">
            <w:r>
              <w:rPr>
                <w:rFonts w:ascii="微软雅黑" w:hAnsi="微软雅黑" w:eastAsia="微软雅黑"/>
                <w:sz w:val="18"/>
              </w:rPr>
              <w:t>非主要方向</w:t>
            </w:r>
          </w:p>
        </w:tc>
      </w:tr>
      <w:tr w14:paraId="3C4A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C2E3218">
            <w:r>
              <w:rPr>
                <w:rFonts w:ascii="微软雅黑" w:hAnsi="微软雅黑" w:eastAsia="微软雅黑"/>
                <w:sz w:val="18"/>
              </w:rPr>
              <w:t>人才计划</w:t>
            </w:r>
          </w:p>
        </w:tc>
        <w:tc>
          <w:tcPr>
            <w:tcW w:w="3685" w:type="dxa"/>
          </w:tcPr>
          <w:p w14:paraId="69106433">
            <w:r>
              <w:rPr>
                <w:rFonts w:ascii="微软雅黑" w:hAnsi="微软雅黑" w:eastAsia="微软雅黑"/>
                <w:sz w:val="18"/>
              </w:rPr>
              <w:t>海创未来（余人才办〔2024〕1号）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最高研发3000万+房租600万</w:t>
            </w:r>
          </w:p>
        </w:tc>
        <w:tc>
          <w:tcPr>
            <w:tcW w:w="3685" w:type="dxa"/>
          </w:tcPr>
          <w:p w14:paraId="578167DA">
            <w:r>
              <w:rPr>
                <w:rFonts w:ascii="微软雅黑" w:hAnsi="微软雅黑" w:eastAsia="微软雅黑"/>
                <w:sz w:val="18"/>
              </w:rPr>
              <w:t>西湖英才+青鸟计划（200万种子）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+飞天计划（3000万成长）</w:t>
            </w:r>
          </w:p>
        </w:tc>
      </w:tr>
      <w:tr w14:paraId="4D935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54C8C208">
            <w:r>
              <w:rPr>
                <w:rFonts w:ascii="微软雅黑" w:hAnsi="微软雅黑" w:eastAsia="微软雅黑"/>
                <w:sz w:val="18"/>
              </w:rPr>
              <w:t>办公补贴</w:t>
            </w:r>
          </w:p>
        </w:tc>
        <w:tc>
          <w:tcPr>
            <w:tcW w:w="3685" w:type="dxa"/>
            <w:shd w:val="clear" w:color="auto" w:fill="F0F4F8"/>
          </w:tcPr>
          <w:p w14:paraId="4EF35223">
            <w:r>
              <w:rPr>
                <w:rFonts w:ascii="微软雅黑" w:hAnsi="微软雅黑" w:eastAsia="微软雅黑"/>
                <w:sz w:val="18"/>
              </w:rPr>
              <w:t>1元/㎡/天或60%租金（区科技局）</w:t>
            </w:r>
          </w:p>
        </w:tc>
        <w:tc>
          <w:tcPr>
            <w:tcW w:w="3685" w:type="dxa"/>
            <w:shd w:val="clear" w:color="auto" w:fill="F0F4F8"/>
          </w:tcPr>
          <w:p w14:paraId="0EBB9EB6">
            <w:r>
              <w:rPr>
                <w:rFonts w:ascii="微软雅黑" w:hAnsi="微软雅黑" w:eastAsia="微软雅黑"/>
                <w:sz w:val="18"/>
              </w:rPr>
              <w:t>30%租金（青鸟计划，区科技局）</w:t>
            </w:r>
          </w:p>
        </w:tc>
      </w:tr>
      <w:tr w14:paraId="65A9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DE41373">
            <w:r>
              <w:rPr>
                <w:rFonts w:ascii="微软雅黑" w:hAnsi="微软雅黑" w:eastAsia="微软雅黑"/>
                <w:sz w:val="18"/>
              </w:rPr>
              <w:t>政府基金</w:t>
            </w:r>
          </w:p>
        </w:tc>
        <w:tc>
          <w:tcPr>
            <w:tcW w:w="3685" w:type="dxa"/>
          </w:tcPr>
          <w:p w14:paraId="4B20F4B3">
            <w:r>
              <w:rPr>
                <w:rFonts w:ascii="微软雅黑" w:hAnsi="微软雅黑" w:eastAsia="微软雅黑"/>
                <w:sz w:val="18"/>
              </w:rPr>
              <w:t>直投最高6000万（余政发〔2026〕5号）</w:t>
            </w:r>
          </w:p>
        </w:tc>
        <w:tc>
          <w:tcPr>
            <w:tcW w:w="3685" w:type="dxa"/>
          </w:tcPr>
          <w:p w14:paraId="00608EC9">
            <w:r>
              <w:rPr>
                <w:rFonts w:ascii="微软雅黑" w:hAnsi="微软雅黑" w:eastAsia="微软雅黑"/>
                <w:sz w:val="18"/>
              </w:rPr>
              <w:t>文档较少，场景支持为主</w:t>
            </w:r>
          </w:p>
        </w:tc>
      </w:tr>
      <w:tr w14:paraId="1B00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21DB91D1">
            <w:r>
              <w:rPr>
                <w:rFonts w:ascii="微软雅黑" w:hAnsi="微软雅黑" w:eastAsia="微软雅黑"/>
                <w:sz w:val="18"/>
              </w:rPr>
              <w:t>经济纲领</w:t>
            </w:r>
          </w:p>
        </w:tc>
        <w:tc>
          <w:tcPr>
            <w:tcW w:w="3685" w:type="dxa"/>
            <w:shd w:val="clear" w:color="auto" w:fill="F0F4F8"/>
          </w:tcPr>
          <w:p w14:paraId="610EE5A8">
            <w:r>
              <w:rPr>
                <w:rFonts w:ascii="微软雅黑" w:hAnsi="微软雅黑" w:eastAsia="微软雅黑"/>
                <w:sz w:val="18"/>
              </w:rPr>
              <w:t>余政发〔2026〕5号</w:t>
            </w:r>
          </w:p>
        </w:tc>
        <w:tc>
          <w:tcPr>
            <w:tcW w:w="3685" w:type="dxa"/>
            <w:shd w:val="clear" w:color="auto" w:fill="F0F4F8"/>
          </w:tcPr>
          <w:p w14:paraId="45CBA53E">
            <w:r>
              <w:rPr>
                <w:rFonts w:ascii="微软雅黑" w:hAnsi="微软雅黑" w:eastAsia="微软雅黑"/>
                <w:sz w:val="18"/>
              </w:rPr>
              <w:t>西政发〔2025〕（150亿财政资金）</w:t>
            </w:r>
          </w:p>
        </w:tc>
      </w:tr>
      <w:tr w14:paraId="6311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4FC595">
            <w:r>
              <w:rPr>
                <w:rFonts w:ascii="微软雅黑" w:hAnsi="微软雅黑" w:eastAsia="微软雅黑"/>
                <w:sz w:val="18"/>
              </w:rPr>
              <w:t>适用判断</w:t>
            </w:r>
          </w:p>
        </w:tc>
        <w:tc>
          <w:tcPr>
            <w:tcW w:w="3685" w:type="dxa"/>
          </w:tcPr>
          <w:p w14:paraId="0E6CFD97">
            <w:r>
              <w:rPr>
                <w:rFonts w:ascii="微软雅黑" w:hAnsi="微软雅黑" w:eastAsia="微软雅黑"/>
                <w:sz w:val="18"/>
              </w:rPr>
              <w:t>具身智能/机器人创业最优选择</w:t>
            </w:r>
          </w:p>
        </w:tc>
        <w:tc>
          <w:tcPr>
            <w:tcW w:w="3685" w:type="dxa"/>
          </w:tcPr>
          <w:p w14:paraId="05315005">
            <w:r>
              <w:rPr>
                <w:rFonts w:ascii="微软雅黑" w:hAnsi="微软雅黑" w:eastAsia="微软雅黑"/>
                <w:sz w:val="18"/>
              </w:rPr>
              <w:t>更适合AI软件/开源社区类公司</w:t>
            </w:r>
          </w:p>
        </w:tc>
      </w:tr>
    </w:tbl>
    <w:p w14:paraId="31A60CAE">
      <w:r>
        <w:rPr>
          <w:rFonts w:ascii="微软雅黑" w:hAnsi="微软雅黑" w:eastAsia="微软雅黑"/>
          <w:b/>
          <w:color w:val="C0392B"/>
        </w:rPr>
        <w:t>结论：对RoboX而言，余杭区在具身智能专项政策、人才补贴力度、政府基金配套和产业生态方面均显著优于西湖区。</w:t>
      </w:r>
    </w:p>
    <w:p w14:paraId="7F694AAD">
      <w:r>
        <w:br w:type="page"/>
      </w:r>
    </w:p>
    <w:p w14:paraId="02BA7EE4">
      <w:pPr>
        <w:pStyle w:val="3"/>
      </w:pPr>
      <w:r>
        <w:rPr>
          <w:rFonts w:ascii="微软雅黑" w:hAnsi="微软雅黑" w:eastAsia="微软雅黑"/>
        </w:rPr>
        <w:t>二、空间费用测算（含试验场地）</w:t>
      </w:r>
    </w:p>
    <w:p w14:paraId="3F03837D">
      <w:pPr>
        <w:ind w:firstLine="420"/>
      </w:pPr>
      <w:r>
        <w:rPr>
          <w:rFonts w:ascii="微软雅黑" w:hAnsi="微软雅黑" w:eastAsia="微软雅黑"/>
        </w:rPr>
        <w:t>具身智能产业的特殊性在于，除了人均10㎡的常规办公位之外，团队还需要大面积的试验场地用于机器人本体测试、数据采集、多机协同验证等。以下按20人团队+600㎡试验场地进行测算。</w:t>
      </w:r>
    </w:p>
    <w:p w14:paraId="28AF12DE">
      <w:pPr>
        <w:pStyle w:val="4"/>
      </w:pPr>
      <w:r>
        <w:rPr>
          <w:rFonts w:ascii="微软雅黑" w:hAnsi="微软雅黑" w:eastAsia="微软雅黑"/>
        </w:rPr>
        <w:t>2.1 空间需求明细</w:t>
      </w:r>
    </w:p>
    <w:p w14:paraId="082AD34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3118"/>
        <w:gridCol w:w="2551"/>
      </w:tblGrid>
      <w:tr w14:paraId="0A6CD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5FA05C4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空间类型</w:t>
            </w:r>
          </w:p>
        </w:tc>
        <w:tc>
          <w:tcPr>
            <w:tcW w:w="1701" w:type="dxa"/>
            <w:shd w:val="clear" w:color="auto" w:fill="1A3C6E"/>
          </w:tcPr>
          <w:p w14:paraId="434DA27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面积</w:t>
            </w:r>
          </w:p>
        </w:tc>
        <w:tc>
          <w:tcPr>
            <w:tcW w:w="3118" w:type="dxa"/>
            <w:shd w:val="clear" w:color="auto" w:fill="1A3C6E"/>
          </w:tcPr>
          <w:p w14:paraId="7894B6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w="2551" w:type="dxa"/>
            <w:shd w:val="clear" w:color="auto" w:fill="1A3C6E"/>
          </w:tcPr>
          <w:p w14:paraId="1BA3D69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预估单价</w:t>
            </w:r>
          </w:p>
        </w:tc>
      </w:tr>
      <w:tr w14:paraId="1FC19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9FD4B2">
            <w:r>
              <w:rPr>
                <w:rFonts w:ascii="微软雅黑" w:hAnsi="微软雅黑" w:eastAsia="微软雅黑"/>
                <w:sz w:val="18"/>
              </w:rPr>
              <w:t>办公区域</w:t>
            </w:r>
          </w:p>
        </w:tc>
        <w:tc>
          <w:tcPr>
            <w:tcW w:w="1701" w:type="dxa"/>
          </w:tcPr>
          <w:p w14:paraId="4FAC1BF6">
            <w:r>
              <w:rPr>
                <w:rFonts w:ascii="微软雅黑" w:hAnsi="微软雅黑" w:eastAsia="微软雅黑"/>
                <w:sz w:val="18"/>
              </w:rPr>
              <w:t>200㎡（20人×10㎡）</w:t>
            </w:r>
          </w:p>
        </w:tc>
        <w:tc>
          <w:tcPr>
            <w:tcW w:w="3118" w:type="dxa"/>
          </w:tcPr>
          <w:p w14:paraId="79CF56FD">
            <w:r>
              <w:rPr>
                <w:rFonts w:ascii="微软雅黑" w:hAnsi="微软雅黑" w:eastAsia="微软雅黑"/>
                <w:sz w:val="18"/>
              </w:rPr>
              <w:t>日常办公、会议</w:t>
            </w:r>
          </w:p>
        </w:tc>
        <w:tc>
          <w:tcPr>
            <w:tcW w:w="2551" w:type="dxa"/>
          </w:tcPr>
          <w:p w14:paraId="5B0FEA23">
            <w:r>
              <w:rPr>
                <w:rFonts w:ascii="微软雅黑" w:hAnsi="微软雅黑" w:eastAsia="微软雅黑"/>
                <w:sz w:val="18"/>
              </w:rPr>
              <w:t>约2.5元/㎡/天（未科写字楼）</w:t>
            </w:r>
          </w:p>
        </w:tc>
      </w:tr>
      <w:tr w14:paraId="235E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05902132">
            <w:r>
              <w:rPr>
                <w:rFonts w:ascii="微软雅黑" w:hAnsi="微软雅黑" w:eastAsia="微软雅黑"/>
                <w:sz w:val="18"/>
              </w:rPr>
              <w:t>试验场地</w:t>
            </w:r>
          </w:p>
        </w:tc>
        <w:tc>
          <w:tcPr>
            <w:tcW w:w="1701" w:type="dxa"/>
            <w:shd w:val="clear" w:color="auto" w:fill="F0F4F8"/>
          </w:tcPr>
          <w:p w14:paraId="331A19EB">
            <w:r>
              <w:rPr>
                <w:rFonts w:ascii="微软雅黑" w:hAnsi="微软雅黑" w:eastAsia="微软雅黑"/>
                <w:sz w:val="18"/>
              </w:rPr>
              <w:t>600㎡</w:t>
            </w:r>
          </w:p>
        </w:tc>
        <w:tc>
          <w:tcPr>
            <w:tcW w:w="3118" w:type="dxa"/>
            <w:shd w:val="clear" w:color="auto" w:fill="F0F4F8"/>
          </w:tcPr>
          <w:p w14:paraId="59892AB3">
            <w:r>
              <w:rPr>
                <w:rFonts w:ascii="微软雅黑" w:hAnsi="微软雅黑" w:eastAsia="微软雅黑"/>
                <w:sz w:val="18"/>
              </w:rPr>
              <w:t>机器人本体测试、数据采集、多机协同验证</w:t>
            </w:r>
          </w:p>
        </w:tc>
        <w:tc>
          <w:tcPr>
            <w:tcW w:w="2551" w:type="dxa"/>
            <w:shd w:val="clear" w:color="auto" w:fill="F0F4F8"/>
          </w:tcPr>
          <w:p w14:paraId="6B64811F">
            <w:r>
              <w:rPr>
                <w:rFonts w:ascii="微软雅黑" w:hAnsi="微软雅黑" w:eastAsia="微软雅黑"/>
                <w:sz w:val="18"/>
              </w:rPr>
              <w:t>约1.2元/㎡/天（产业园/厂房）</w:t>
            </w:r>
          </w:p>
        </w:tc>
      </w:tr>
      <w:tr w14:paraId="7908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FE55E7"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w="1701" w:type="dxa"/>
          </w:tcPr>
          <w:p w14:paraId="4F778C08">
            <w:r>
              <w:rPr>
                <w:rFonts w:ascii="微软雅黑" w:hAnsi="微软雅黑" w:eastAsia="微软雅黑"/>
                <w:sz w:val="18"/>
              </w:rPr>
              <w:t>800㎡</w:t>
            </w:r>
          </w:p>
        </w:tc>
        <w:tc>
          <w:tcPr>
            <w:tcW w:w="3118" w:type="dxa"/>
          </w:tcPr>
          <w:p w14:paraId="1BDCDF13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551" w:type="dxa"/>
          </w:tcPr>
          <w:p w14:paraId="440C6A19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35E65A9A">
      <w:pPr>
        <w:pStyle w:val="4"/>
      </w:pPr>
      <w:r>
        <w:rPr>
          <w:rFonts w:ascii="微软雅黑" w:hAnsi="微软雅黑" w:eastAsia="微软雅黑"/>
        </w:rPr>
        <w:t>2.2 租金费用测算</w:t>
      </w:r>
    </w:p>
    <w:p w14:paraId="2673BBD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1701"/>
        <w:gridCol w:w="1701"/>
      </w:tblGrid>
      <w:tr w14:paraId="1CB9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3C6E"/>
          </w:tcPr>
          <w:p w14:paraId="7E29549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1701" w:type="dxa"/>
            <w:shd w:val="clear" w:color="auto" w:fill="1A3C6E"/>
          </w:tcPr>
          <w:p w14:paraId="0940BCD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月租金</w:t>
            </w:r>
          </w:p>
        </w:tc>
        <w:tc>
          <w:tcPr>
            <w:tcW w:w="1701" w:type="dxa"/>
            <w:shd w:val="clear" w:color="auto" w:fill="1A3C6E"/>
          </w:tcPr>
          <w:p w14:paraId="2B19413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年租金</w:t>
            </w:r>
          </w:p>
        </w:tc>
        <w:tc>
          <w:tcPr>
            <w:tcW w:w="1701" w:type="dxa"/>
            <w:shd w:val="clear" w:color="auto" w:fill="1A3C6E"/>
          </w:tcPr>
          <w:p w14:paraId="0BC358B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三年总计</w:t>
            </w:r>
          </w:p>
        </w:tc>
      </w:tr>
      <w:tr w14:paraId="3C02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B9C8D8">
            <w:r>
              <w:rPr>
                <w:rFonts w:ascii="微软雅黑" w:hAnsi="微软雅黑" w:eastAsia="微软雅黑"/>
                <w:sz w:val="18"/>
              </w:rPr>
              <w:t>办公区域（200㎡×2.5元/㎡/天）</w:t>
            </w:r>
          </w:p>
        </w:tc>
        <w:tc>
          <w:tcPr>
            <w:tcW w:w="1701" w:type="dxa"/>
          </w:tcPr>
          <w:p w14:paraId="70A3D4AD">
            <w:r>
              <w:rPr>
                <w:rFonts w:ascii="微软雅黑" w:hAnsi="微软雅黑" w:eastAsia="微软雅黑"/>
                <w:sz w:val="18"/>
              </w:rPr>
              <w:t>约15,000元</w:t>
            </w:r>
          </w:p>
        </w:tc>
        <w:tc>
          <w:tcPr>
            <w:tcW w:w="1701" w:type="dxa"/>
          </w:tcPr>
          <w:p w14:paraId="169FA6B9">
            <w:r>
              <w:rPr>
                <w:rFonts w:ascii="微软雅黑" w:hAnsi="微软雅黑" w:eastAsia="微软雅黑"/>
                <w:sz w:val="18"/>
              </w:rPr>
              <w:t>约180,000元</w:t>
            </w:r>
          </w:p>
        </w:tc>
        <w:tc>
          <w:tcPr>
            <w:tcW w:w="1701" w:type="dxa"/>
          </w:tcPr>
          <w:p w14:paraId="0E1EE240">
            <w:r>
              <w:rPr>
                <w:rFonts w:ascii="微软雅黑" w:hAnsi="微软雅黑" w:eastAsia="微软雅黑"/>
                <w:sz w:val="18"/>
              </w:rPr>
              <w:t>约540,000元</w:t>
            </w:r>
          </w:p>
        </w:tc>
      </w:tr>
      <w:tr w14:paraId="7B1CA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3793960A">
            <w:r>
              <w:rPr>
                <w:rFonts w:ascii="微软雅黑" w:hAnsi="微软雅黑" w:eastAsia="微软雅黑"/>
                <w:sz w:val="18"/>
              </w:rPr>
              <w:t>试验场地（600㎡×1.2元/㎡/天）</w:t>
            </w:r>
          </w:p>
        </w:tc>
        <w:tc>
          <w:tcPr>
            <w:tcW w:w="1701" w:type="dxa"/>
            <w:shd w:val="clear" w:color="auto" w:fill="F0F4F8"/>
          </w:tcPr>
          <w:p w14:paraId="4D6E44AD">
            <w:r>
              <w:rPr>
                <w:rFonts w:ascii="微软雅黑" w:hAnsi="微软雅黑" w:eastAsia="微软雅黑"/>
                <w:sz w:val="18"/>
              </w:rPr>
              <w:t>约21,600元</w:t>
            </w:r>
          </w:p>
        </w:tc>
        <w:tc>
          <w:tcPr>
            <w:tcW w:w="1701" w:type="dxa"/>
            <w:shd w:val="clear" w:color="auto" w:fill="F0F4F8"/>
          </w:tcPr>
          <w:p w14:paraId="261943D3">
            <w:r>
              <w:rPr>
                <w:rFonts w:ascii="微软雅黑" w:hAnsi="微软雅黑" w:eastAsia="微软雅黑"/>
                <w:sz w:val="18"/>
              </w:rPr>
              <w:t>约259,200元</w:t>
            </w:r>
          </w:p>
        </w:tc>
        <w:tc>
          <w:tcPr>
            <w:tcW w:w="1701" w:type="dxa"/>
            <w:shd w:val="clear" w:color="auto" w:fill="F0F4F8"/>
          </w:tcPr>
          <w:p w14:paraId="5B0FD1CA">
            <w:r>
              <w:rPr>
                <w:rFonts w:ascii="微软雅黑" w:hAnsi="微软雅黑" w:eastAsia="微软雅黑"/>
                <w:sz w:val="18"/>
              </w:rPr>
              <w:t>约777,600元</w:t>
            </w:r>
          </w:p>
        </w:tc>
      </w:tr>
      <w:tr w14:paraId="0F52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7A9F38"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w="1701" w:type="dxa"/>
          </w:tcPr>
          <w:p w14:paraId="2751431F">
            <w:r>
              <w:rPr>
                <w:rFonts w:ascii="微软雅黑" w:hAnsi="微软雅黑" w:eastAsia="微软雅黑"/>
                <w:sz w:val="18"/>
              </w:rPr>
              <w:t>约36,600元</w:t>
            </w:r>
          </w:p>
        </w:tc>
        <w:tc>
          <w:tcPr>
            <w:tcW w:w="1701" w:type="dxa"/>
          </w:tcPr>
          <w:p w14:paraId="0583880A">
            <w:r>
              <w:rPr>
                <w:rFonts w:ascii="微软雅黑" w:hAnsi="微软雅黑" w:eastAsia="微软雅黑"/>
                <w:sz w:val="18"/>
              </w:rPr>
              <w:t>约439,200元</w:t>
            </w:r>
          </w:p>
        </w:tc>
        <w:tc>
          <w:tcPr>
            <w:tcW w:w="1701" w:type="dxa"/>
          </w:tcPr>
          <w:p w14:paraId="20E50E2E">
            <w:r>
              <w:rPr>
                <w:rFonts w:ascii="微软雅黑" w:hAnsi="微软雅黑" w:eastAsia="微软雅黑"/>
                <w:sz w:val="18"/>
              </w:rPr>
              <w:t>约1,317,600元</w:t>
            </w:r>
          </w:p>
        </w:tc>
      </w:tr>
    </w:tbl>
    <w:p w14:paraId="078B327C">
      <w:pPr>
        <w:pStyle w:val="4"/>
      </w:pPr>
      <w:r>
        <w:rPr>
          <w:rFonts w:ascii="微软雅黑" w:hAnsi="微软雅黑" w:eastAsia="微软雅黑"/>
        </w:rPr>
        <w:t>2.3 政府补贴覆盖测算</w:t>
      </w:r>
    </w:p>
    <w:p w14:paraId="6D837EB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2268"/>
        <w:gridCol w:w="2268"/>
      </w:tblGrid>
      <w:tr w14:paraId="7627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3C6E"/>
          </w:tcPr>
          <w:p w14:paraId="582279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补贴类型</w:t>
            </w:r>
          </w:p>
        </w:tc>
        <w:tc>
          <w:tcPr>
            <w:tcW w:w="2268" w:type="dxa"/>
            <w:shd w:val="clear" w:color="auto" w:fill="1A3C6E"/>
          </w:tcPr>
          <w:p w14:paraId="0116EB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补贴标准</w:t>
            </w:r>
          </w:p>
        </w:tc>
        <w:tc>
          <w:tcPr>
            <w:tcW w:w="2268" w:type="dxa"/>
            <w:shd w:val="clear" w:color="auto" w:fill="1A3C6E"/>
          </w:tcPr>
          <w:p w14:paraId="580128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RoboX适用情况</w:t>
            </w:r>
          </w:p>
        </w:tc>
        <w:tc>
          <w:tcPr>
            <w:tcW w:w="2268" w:type="dxa"/>
            <w:shd w:val="clear" w:color="auto" w:fill="1A3C6E"/>
          </w:tcPr>
          <w:p w14:paraId="7220D1B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预估三年补贴</w:t>
            </w:r>
          </w:p>
        </w:tc>
      </w:tr>
      <w:tr w14:paraId="5BAC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F6EFC2C">
            <w:pPr>
              <w:rPr>
                <w:color w:val="0000FF"/>
              </w:rPr>
            </w:pPr>
            <w:r>
              <w:rPr>
                <w:rFonts w:ascii="微软雅黑" w:hAnsi="微软雅黑" w:eastAsia="微软雅黑"/>
                <w:color w:val="0000FF"/>
                <w:sz w:val="18"/>
              </w:rPr>
              <w:t>海创未来房租补贴</w:t>
            </w:r>
            <w:r>
              <w:rPr>
                <w:rFonts w:ascii="微软雅黑" w:hAnsi="微软雅黑" w:eastAsia="微软雅黑"/>
                <w:color w:val="0000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0000FF"/>
                <w:sz w:val="18"/>
              </w:rPr>
              <w:t>（领军人才档）</w:t>
            </w:r>
          </w:p>
        </w:tc>
        <w:tc>
          <w:tcPr>
            <w:tcW w:w="2268" w:type="dxa"/>
          </w:tcPr>
          <w:p w14:paraId="0FD30850">
            <w:pPr>
              <w:rPr>
                <w:color w:val="0000FF"/>
              </w:rPr>
            </w:pPr>
            <w:r>
              <w:rPr>
                <w:rFonts w:ascii="微软雅黑" w:hAnsi="微软雅黑" w:eastAsia="微软雅黑"/>
                <w:color w:val="0000FF"/>
                <w:sz w:val="18"/>
              </w:rPr>
              <w:t>三年最高300万元</w:t>
            </w:r>
            <w:r>
              <w:rPr>
                <w:rFonts w:ascii="微软雅黑" w:hAnsi="微软雅黑" w:eastAsia="微软雅黑"/>
                <w:color w:val="0000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0000FF"/>
                <w:sz w:val="18"/>
              </w:rPr>
              <w:t>余人才办〔2024〕1号</w:t>
            </w:r>
          </w:p>
        </w:tc>
        <w:tc>
          <w:tcPr>
            <w:tcW w:w="2268" w:type="dxa"/>
          </w:tcPr>
          <w:p w14:paraId="7BA78371">
            <w:pPr>
              <w:rPr>
                <w:color w:val="0000FF"/>
              </w:rPr>
            </w:pPr>
            <w:r>
              <w:rPr>
                <w:rFonts w:ascii="微软雅黑" w:hAnsi="微软雅黑" w:eastAsia="微软雅黑"/>
                <w:color w:val="0000FF"/>
                <w:sz w:val="18"/>
              </w:rPr>
              <w:t>远超实际需求</w:t>
            </w:r>
            <w:r>
              <w:rPr>
                <w:rFonts w:ascii="微软雅黑" w:hAnsi="微软雅黑" w:eastAsia="微软雅黑"/>
                <w:color w:val="0000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0000FF"/>
                <w:sz w:val="18"/>
              </w:rPr>
              <w:t>可100%覆盖</w:t>
            </w:r>
          </w:p>
        </w:tc>
        <w:tc>
          <w:tcPr>
            <w:tcW w:w="2268" w:type="dxa"/>
          </w:tcPr>
          <w:p w14:paraId="08DB5B66">
            <w:pPr>
              <w:rPr>
                <w:color w:val="0000FF"/>
              </w:rPr>
            </w:pPr>
            <w:r>
              <w:rPr>
                <w:rFonts w:ascii="微软雅黑" w:hAnsi="微软雅黑" w:eastAsia="微软雅黑"/>
                <w:color w:val="0000FF"/>
                <w:sz w:val="18"/>
              </w:rPr>
              <w:t>约131.8万元</w:t>
            </w:r>
            <w:r>
              <w:rPr>
                <w:rFonts w:ascii="微软雅黑" w:hAnsi="微软雅黑" w:eastAsia="微软雅黑"/>
                <w:color w:val="0000FF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0000FF"/>
                <w:sz w:val="18"/>
              </w:rPr>
              <w:t>（全额覆盖）</w:t>
            </w:r>
          </w:p>
        </w:tc>
      </w:tr>
      <w:tr w14:paraId="3F08A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347ED3CE">
            <w:r>
              <w:rPr>
                <w:rFonts w:ascii="微软雅黑" w:hAnsi="微软雅黑" w:eastAsia="微软雅黑"/>
                <w:sz w:val="18"/>
              </w:rPr>
              <w:t>科技型企业租金补助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（余杭区科技局）</w:t>
            </w:r>
          </w:p>
        </w:tc>
        <w:tc>
          <w:tcPr>
            <w:tcW w:w="2268" w:type="dxa"/>
            <w:shd w:val="clear" w:color="auto" w:fill="F0F4F8"/>
          </w:tcPr>
          <w:p w14:paraId="6989965F">
            <w:r>
              <w:rPr>
                <w:rFonts w:ascii="微软雅黑" w:hAnsi="微软雅黑" w:eastAsia="微软雅黑"/>
                <w:sz w:val="18"/>
              </w:rPr>
              <w:t>实缴租金60%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最高2元/㎡/天</w:t>
            </w:r>
          </w:p>
        </w:tc>
        <w:tc>
          <w:tcPr>
            <w:tcW w:w="2268" w:type="dxa"/>
            <w:shd w:val="clear" w:color="auto" w:fill="F0F4F8"/>
          </w:tcPr>
          <w:p w14:paraId="4118EA18">
            <w:r>
              <w:rPr>
                <w:rFonts w:ascii="微软雅黑" w:hAnsi="微软雅黑" w:eastAsia="微软雅黑"/>
                <w:sz w:val="18"/>
              </w:rPr>
              <w:t>办公约10.8万/年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试验约21.6万/年</w:t>
            </w:r>
          </w:p>
        </w:tc>
        <w:tc>
          <w:tcPr>
            <w:tcW w:w="2268" w:type="dxa"/>
            <w:shd w:val="clear" w:color="auto" w:fill="F0F4F8"/>
          </w:tcPr>
          <w:p w14:paraId="6C53022E">
            <w:r>
              <w:rPr>
                <w:rFonts w:ascii="微软雅黑" w:hAnsi="微软雅黑" w:eastAsia="微软雅黑"/>
                <w:sz w:val="18"/>
              </w:rPr>
              <w:t>办公约32.4万+试验约46.7万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=约79万元/三年</w:t>
            </w:r>
          </w:p>
        </w:tc>
      </w:tr>
      <w:tr w14:paraId="58F22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FDD7E65">
            <w:r>
              <w:rPr>
                <w:rFonts w:ascii="微软雅黑" w:hAnsi="微软雅黑" w:eastAsia="微软雅黑"/>
                <w:sz w:val="18"/>
              </w:rPr>
              <w:t>合计可获补贴</w:t>
            </w:r>
          </w:p>
        </w:tc>
        <w:tc>
          <w:tcPr>
            <w:tcW w:w="2268" w:type="dxa"/>
          </w:tcPr>
          <w:p w14:paraId="2B0AF5C6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268" w:type="dxa"/>
          </w:tcPr>
          <w:p w14:paraId="18301F26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268" w:type="dxa"/>
          </w:tcPr>
          <w:p w14:paraId="472187B4">
            <w:r>
              <w:rPr>
                <w:rFonts w:ascii="微软雅黑" w:hAnsi="微软雅黑" w:eastAsia="微软雅黑"/>
                <w:sz w:val="18"/>
              </w:rPr>
              <w:t>约131.8万-210万元</w:t>
            </w:r>
          </w:p>
        </w:tc>
      </w:tr>
    </w:tbl>
    <w:p w14:paraId="181BBE9C">
      <w:pPr>
        <w:ind w:firstLine="420"/>
      </w:pPr>
      <w:r>
        <w:rPr>
          <w:rFonts w:ascii="微软雅黑" w:hAnsi="微软雅黑" w:eastAsia="微软雅黑"/>
        </w:rPr>
        <w:t>说明：如成功申请海创未来领军人才档位，仅房租补贴一项（三年300万元上限）即可100%覆盖实际租金需求。试验场地面积（600㎡）在普惠类补贴中不受"人均10㎡"限制，按实际面积计算。</w:t>
      </w:r>
    </w:p>
    <w:p w14:paraId="785562D6">
      <w:r>
        <w:br w:type="page"/>
      </w:r>
    </w:p>
    <w:p w14:paraId="5BF1B494">
      <w:pPr>
        <w:pStyle w:val="3"/>
      </w:pPr>
      <w:r>
        <w:rPr>
          <w:rFonts w:ascii="微软雅黑" w:hAnsi="微软雅黑" w:eastAsia="微软雅黑"/>
        </w:rPr>
        <w:t>三、一事一议重点沟通项</w:t>
      </w:r>
    </w:p>
    <w:p w14:paraId="149E8048">
      <w:pPr>
        <w:ind w:firstLine="420"/>
      </w:pPr>
      <w:r>
        <w:rPr>
          <w:rFonts w:ascii="微软雅黑" w:hAnsi="微软雅黑" w:eastAsia="微软雅黑"/>
        </w:rPr>
        <w:t>结合RoboX当前的团队特征（约20人、达摩院核心团队、三层模型架构原创技术、50万小时数据壁垒、天使轮融资约2亿元），以下是建议在"一事一议"中重点争取的条款。</w:t>
      </w:r>
    </w:p>
    <w:p w14:paraId="41DE7961">
      <w:pPr>
        <w:pStyle w:val="4"/>
      </w:pPr>
      <w:r>
        <w:rPr>
          <w:rFonts w:ascii="微软雅黑" w:hAnsi="微软雅黑" w:eastAsia="微软雅黑"/>
        </w:rPr>
        <w:t>3.1 研发费用补贴比例：30%→40%</w:t>
      </w:r>
    </w:p>
    <w:p w14:paraId="79D2BDDF">
      <w:pPr>
        <w:ind w:firstLine="420"/>
      </w:pPr>
      <w:r>
        <w:rPr>
          <w:rFonts w:ascii="微软雅黑" w:hAnsi="微软雅黑" w:eastAsia="微软雅黑"/>
        </w:rPr>
        <w:t>具身智能的研发投入结构与传统AI公司不同——不仅需要模型训练的算力成本，还需要大量硬件采购（多种机器人本体）、数据采集设备（AR眼镜、触觉传感器）、以及与供应链伙伴的联合开发费用。</w:t>
      </w:r>
    </w:p>
    <w:p w14:paraId="343F2768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【政策出处】现行30%标准依据：余杭区委人才办《余杭区"海创未来"高层次人才创新创业项目扶持政策指导意见》（余人才办〔2024〕1号）。</w:t>
      </w:r>
    </w:p>
    <w:p w14:paraId="3FB07CAF">
      <w:pPr>
        <w:pStyle w:val="4"/>
      </w:pPr>
      <w:r>
        <w:rPr>
          <w:rFonts w:ascii="微软雅黑" w:hAnsi="微软雅黑" w:eastAsia="微软雅黑"/>
        </w:rPr>
        <w:t>3.2 房租补贴100%覆盖（含试验场地）</w:t>
      </w:r>
    </w:p>
    <w:p w14:paraId="7377052A">
      <w:pPr>
        <w:ind w:firstLine="420"/>
      </w:pPr>
      <w:r>
        <w:rPr>
          <w:rFonts w:ascii="微软雅黑" w:hAnsi="微软雅黑" w:eastAsia="微软雅黑"/>
        </w:rPr>
        <w:t>20人团队需200㎡办公区域，加上600㎡试验场地，总面积约800㎡。月租金约3.7万元，三年总租金约132万元。如获海创未来领军人才档，三年300万上限绰绰有余。</w:t>
      </w:r>
    </w:p>
    <w:p w14:paraId="3F73E181">
      <w:pPr>
        <w:pStyle w:val="4"/>
      </w:pPr>
      <w:r>
        <w:rPr>
          <w:rFonts w:ascii="微软雅黑" w:hAnsi="微软雅黑" w:eastAsia="微软雅黑"/>
        </w:rPr>
        <w:t>3.3 人才计划名额与认定</w:t>
      </w:r>
    </w:p>
    <w:p w14:paraId="052E8E38">
      <w:r>
        <w:rPr>
          <w:rFonts w:ascii="微软雅黑" w:hAnsi="微软雅黑" w:eastAsia="微软雅黑"/>
          <w:b/>
        </w:rPr>
        <w:t>重点争取项：</w:t>
      </w:r>
    </w:p>
    <w:p w14:paraId="5FB62EC0">
      <w:pPr>
        <w:ind w:firstLine="420"/>
      </w:pPr>
      <w:r>
        <w:rPr>
          <w:rFonts w:ascii="微软雅黑" w:hAnsi="微软雅黑" w:eastAsia="微软雅黑"/>
        </w:rPr>
        <w:t>（1）争取海创未来"顶尖人才"档位（三年研发3000万+房租600万+2个C类名额）。核心论据：达摩院背景在全球具身智能领域具有稀缺性，三层模型+潜空间通信在全球范围内具有原创性。</w:t>
      </w:r>
    </w:p>
    <w:p w14:paraId="083E0D4A">
      <w:pPr>
        <w:ind w:firstLine="420"/>
      </w:pPr>
      <w:r>
        <w:rPr>
          <w:rFonts w:ascii="微软雅黑" w:hAnsi="微软雅黑" w:eastAsia="微软雅黑"/>
        </w:rPr>
        <w:t>（2）如无法获得顶尖档位，可先以"杰出人才"身份申报（门槛较低：博士+海归5年内），待天使轮融资到位后自动升级为"领军人才"标准。</w:t>
      </w:r>
    </w:p>
    <w:p w14:paraId="0DDDB94C">
      <w:pPr>
        <w:ind w:firstLine="420"/>
      </w:pPr>
      <w:r>
        <w:rPr>
          <w:rFonts w:ascii="微软雅黑" w:hAnsi="微软雅黑" w:eastAsia="微软雅黑"/>
        </w:rPr>
        <w:t>（3）争取千人计划推荐乃至保送名额。团队中如有符合条件的海归成员，应优先争取国家级或省级千人计划——与海创未来可叠加享受。</w:t>
      </w:r>
    </w:p>
    <w:p w14:paraId="48A12DE9">
      <w:pPr>
        <w:ind w:firstLine="420"/>
      </w:pPr>
      <w:r>
        <w:rPr>
          <w:rFonts w:ascii="微软雅黑" w:hAnsi="微软雅黑" w:eastAsia="微软雅黑"/>
        </w:rPr>
        <w:t>（4）争取B类及以上人才认定名额，最高200万元购房补贴。</w:t>
      </w:r>
    </w:p>
    <w:p w14:paraId="25E9BB44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【政策出处】人才认定标准依据：杭州市高层次人才分类认定目录（A-E类）；国家/省千人计划杭州载体为《杭州市全球引才"521"计划实施意见》（2010年）及"西湖明珠工程"。</w:t>
      </w:r>
    </w:p>
    <w:p w14:paraId="43EEF94A">
      <w:pPr>
        <w:pStyle w:val="4"/>
      </w:pPr>
      <w:r>
        <w:rPr>
          <w:rFonts w:ascii="微软雅黑" w:hAnsi="微软雅黑" w:eastAsia="微软雅黑"/>
        </w:rPr>
        <w:t>3.4 国有资本投资入股（结合天使轮2亿/估值30亿）</w:t>
      </w:r>
    </w:p>
    <w:p w14:paraId="7731A5EA">
      <w:r>
        <w:rPr>
          <w:rFonts w:ascii="微软雅黑" w:hAnsi="微软雅黑" w:eastAsia="微软雅黑"/>
          <w:b/>
          <w:color w:val="277DA1"/>
        </w:rPr>
        <w:t>核心判断：国资参与天使轮跟投是性价比最高的方案。</w:t>
      </w:r>
    </w:p>
    <w:p w14:paraId="75C54E02">
      <w:pPr>
        <w:ind w:firstLine="420"/>
      </w:pPr>
      <w:r>
        <w:rPr>
          <w:rFonts w:ascii="微软雅黑" w:hAnsi="微软雅黑" w:eastAsia="微软雅黑"/>
        </w:rPr>
        <w:t>RoboX天使轮融资约2亿元，投后估值30亿元。在此估值下，不同国资投入对应的持股比例如下：</w:t>
      </w:r>
    </w:p>
    <w:p w14:paraId="1402B39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268"/>
        <w:gridCol w:w="2835"/>
      </w:tblGrid>
      <w:tr w14:paraId="423C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6BFB63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国资投入金额</w:t>
            </w:r>
          </w:p>
        </w:tc>
        <w:tc>
          <w:tcPr>
            <w:tcW w:w="2268" w:type="dxa"/>
            <w:shd w:val="clear" w:color="auto" w:fill="1A3C6E"/>
          </w:tcPr>
          <w:p w14:paraId="7E7E11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对应持股比例（30亿估值）</w:t>
            </w:r>
          </w:p>
        </w:tc>
        <w:tc>
          <w:tcPr>
            <w:tcW w:w="2268" w:type="dxa"/>
            <w:shd w:val="clear" w:color="auto" w:fill="1A3C6E"/>
          </w:tcPr>
          <w:p w14:paraId="199F3F7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审批层级</w:t>
            </w:r>
          </w:p>
        </w:tc>
        <w:tc>
          <w:tcPr>
            <w:tcW w:w="2835" w:type="dxa"/>
            <w:shd w:val="clear" w:color="auto" w:fill="1A3C6E"/>
          </w:tcPr>
          <w:p w14:paraId="084241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 w14:paraId="3C39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21273A6">
            <w:r>
              <w:rPr>
                <w:rFonts w:ascii="微软雅黑" w:hAnsi="微软雅黑" w:eastAsia="微软雅黑"/>
                <w:sz w:val="18"/>
              </w:rPr>
              <w:t>2000万元</w:t>
            </w:r>
          </w:p>
        </w:tc>
        <w:tc>
          <w:tcPr>
            <w:tcW w:w="2268" w:type="dxa"/>
          </w:tcPr>
          <w:p w14:paraId="7CDCD39B">
            <w:r>
              <w:rPr>
                <w:rFonts w:ascii="微软雅黑" w:hAnsi="微软雅黑" w:eastAsia="微软雅黑"/>
                <w:sz w:val="18"/>
              </w:rPr>
              <w:t>0.67%</w:t>
            </w:r>
          </w:p>
        </w:tc>
        <w:tc>
          <w:tcPr>
            <w:tcW w:w="2268" w:type="dxa"/>
          </w:tcPr>
          <w:p w14:paraId="7A8BF0C1">
            <w:r>
              <w:rPr>
                <w:rFonts w:ascii="微软雅黑" w:hAnsi="微软雅黑" w:eastAsia="微软雅黑"/>
                <w:sz w:val="18"/>
              </w:rPr>
              <w:t>标准委员会（3000万以下）</w:t>
            </w:r>
          </w:p>
        </w:tc>
        <w:tc>
          <w:tcPr>
            <w:tcW w:w="2835" w:type="dxa"/>
          </w:tcPr>
          <w:p w14:paraId="2DAB95F3">
            <w:r>
              <w:rPr>
                <w:rFonts w:ascii="微软雅黑" w:hAnsi="微软雅黑" w:eastAsia="微软雅黑"/>
                <w:sz w:val="18"/>
              </w:rPr>
              <w:t>推荐方案：快速审批，估值合理</w:t>
            </w:r>
          </w:p>
        </w:tc>
      </w:tr>
      <w:tr w14:paraId="4C45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7B38630A">
            <w:r>
              <w:rPr>
                <w:rFonts w:ascii="微软雅黑" w:hAnsi="微软雅黑" w:eastAsia="微软雅黑"/>
                <w:sz w:val="18"/>
              </w:rPr>
              <w:t>3000万元</w:t>
            </w:r>
          </w:p>
        </w:tc>
        <w:tc>
          <w:tcPr>
            <w:tcW w:w="2268" w:type="dxa"/>
            <w:shd w:val="clear" w:color="auto" w:fill="F0F4F8"/>
          </w:tcPr>
          <w:p w14:paraId="62851B6C">
            <w:r>
              <w:rPr>
                <w:rFonts w:ascii="微软雅黑" w:hAnsi="微软雅黑" w:eastAsia="微软雅黑"/>
                <w:sz w:val="18"/>
              </w:rPr>
              <w:t>1.0%</w:t>
            </w:r>
          </w:p>
        </w:tc>
        <w:tc>
          <w:tcPr>
            <w:tcW w:w="2268" w:type="dxa"/>
            <w:shd w:val="clear" w:color="auto" w:fill="F0F4F8"/>
          </w:tcPr>
          <w:p w14:paraId="30890AAE">
            <w:r>
              <w:rPr>
                <w:rFonts w:ascii="微软雅黑" w:hAnsi="微软雅黑" w:eastAsia="微软雅黑"/>
                <w:sz w:val="18"/>
              </w:rPr>
              <w:t>标准委员会上限</w:t>
            </w:r>
          </w:p>
        </w:tc>
        <w:tc>
          <w:tcPr>
            <w:tcW w:w="2835" w:type="dxa"/>
            <w:shd w:val="clear" w:color="auto" w:fill="F0F4F8"/>
          </w:tcPr>
          <w:p w14:paraId="51A77147">
            <w:r>
              <w:rPr>
                <w:rFonts w:ascii="微软雅黑" w:hAnsi="微软雅黑" w:eastAsia="微软雅黑"/>
                <w:sz w:val="18"/>
              </w:rPr>
              <w:t>可争取：最大快速审批额度</w:t>
            </w:r>
          </w:p>
        </w:tc>
      </w:tr>
      <w:tr w14:paraId="1A5B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EF8208">
            <w:r>
              <w:rPr>
                <w:rFonts w:ascii="微软雅黑" w:hAnsi="微软雅黑" w:eastAsia="微软雅黑"/>
                <w:sz w:val="18"/>
              </w:rPr>
              <w:t>5000万元</w:t>
            </w:r>
          </w:p>
        </w:tc>
        <w:tc>
          <w:tcPr>
            <w:tcW w:w="2268" w:type="dxa"/>
          </w:tcPr>
          <w:p w14:paraId="77985F41">
            <w:r>
              <w:rPr>
                <w:rFonts w:ascii="微软雅黑" w:hAnsi="微软雅黑" w:eastAsia="微软雅黑"/>
                <w:sz w:val="18"/>
              </w:rPr>
              <w:t>1.67%</w:t>
            </w:r>
          </w:p>
        </w:tc>
        <w:tc>
          <w:tcPr>
            <w:tcW w:w="2268" w:type="dxa"/>
          </w:tcPr>
          <w:p w14:paraId="4737C328">
            <w:r>
              <w:rPr>
                <w:rFonts w:ascii="微软雅黑" w:hAnsi="微软雅黑" w:eastAsia="微软雅黑"/>
                <w:sz w:val="18"/>
              </w:rPr>
              <w:t>升级评审（3000万-1亿）</w:t>
            </w:r>
          </w:p>
        </w:tc>
        <w:tc>
          <w:tcPr>
            <w:tcW w:w="2835" w:type="dxa"/>
          </w:tcPr>
          <w:p w14:paraId="18CCA2E4">
            <w:r>
              <w:rPr>
                <w:rFonts w:ascii="微软雅黑" w:hAnsi="微软雅黑" w:eastAsia="微软雅黑"/>
                <w:sz w:val="18"/>
              </w:rPr>
              <w:t>需权衡：审批更慢，比例仍低</w:t>
            </w:r>
          </w:p>
        </w:tc>
      </w:tr>
      <w:tr w14:paraId="5C49B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0B4BA264">
            <w:r>
              <w:rPr>
                <w:rFonts w:ascii="微软雅黑" w:hAnsi="微软雅黑" w:eastAsia="微软雅黑"/>
                <w:sz w:val="18"/>
              </w:rPr>
              <w:t>1亿元</w:t>
            </w:r>
          </w:p>
        </w:tc>
        <w:tc>
          <w:tcPr>
            <w:tcW w:w="2268" w:type="dxa"/>
            <w:shd w:val="clear" w:color="auto" w:fill="F0F4F8"/>
          </w:tcPr>
          <w:p w14:paraId="37F0A3E8">
            <w:r>
              <w:rPr>
                <w:rFonts w:ascii="微软雅黑" w:hAnsi="微软雅黑" w:eastAsia="微软雅黑"/>
                <w:sz w:val="18"/>
              </w:rPr>
              <w:t>3.33%</w:t>
            </w:r>
          </w:p>
        </w:tc>
        <w:tc>
          <w:tcPr>
            <w:tcW w:w="2268" w:type="dxa"/>
            <w:shd w:val="clear" w:color="auto" w:fill="F0F4F8"/>
          </w:tcPr>
          <w:p w14:paraId="79250A34">
            <w:r>
              <w:rPr>
                <w:rFonts w:ascii="微软雅黑" w:hAnsi="微软雅黑" w:eastAsia="微软雅黑"/>
                <w:sz w:val="18"/>
              </w:rPr>
              <w:t>升级评审</w:t>
            </w:r>
          </w:p>
        </w:tc>
        <w:tc>
          <w:tcPr>
            <w:tcW w:w="2835" w:type="dxa"/>
            <w:shd w:val="clear" w:color="auto" w:fill="F0F4F8"/>
          </w:tcPr>
          <w:p w14:paraId="7E31D6C2">
            <w:r>
              <w:rPr>
                <w:rFonts w:ascii="微软雅黑" w:hAnsi="微软雅黑" w:eastAsia="微软雅黑"/>
                <w:sz w:val="18"/>
              </w:rPr>
              <w:t>不建议：国资占比过高影响后续VC</w:t>
            </w:r>
          </w:p>
        </w:tc>
      </w:tr>
    </w:tbl>
    <w:p w14:paraId="65BC7FE3">
      <w:pPr>
        <w:ind w:firstLine="420"/>
      </w:pPr>
      <w:r>
        <w:rPr>
          <w:rFonts w:ascii="微软雅黑" w:hAnsi="微软雅黑" w:eastAsia="微软雅黑"/>
        </w:rPr>
        <w:t>建议方案：争取余杭区政府产业基金以2000-3000万元跟投天使轮，按30亿元估值计算，国资持股0.67%-1.0%。审批走标准委员会流程（3000万以下），速度快。国资持股不到1%，不影响后续A轮/B轮市场化VC的进入意愿。</w:t>
      </w:r>
    </w:p>
    <w:p w14:paraId="7DEE3C38">
      <w:r>
        <w:rPr>
          <w:rFonts w:ascii="微软雅黑" w:hAnsi="微软雅黑" w:eastAsia="微软雅黑"/>
          <w:b/>
        </w:rPr>
        <w:t>替代方案：如果政府不愿在天使轮按30亿估值跟投，可争取"补转投"机制，或以可转债形式参与，在后续轮次估值确认后再转股。</w:t>
      </w:r>
    </w:p>
    <w:p w14:paraId="59A72341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政府基金投资依据：杭州市余杭区人民政府办公室《余杭区区级政府投资基金管理办法》（余政发〔2026〕5号，2026年1月16日签发。yuhang.gov.cn/col/col1229174782/art/2026/art_69d7af8936ea41efa36148929353210c.html）。政府持股上限30%、审批层级均出自该文件。</w:t>
      </w:r>
    </w:p>
    <w:p w14:paraId="1334920A">
      <w:pPr>
        <w:pStyle w:val="4"/>
      </w:pPr>
      <w:r>
        <w:rPr>
          <w:rFonts w:ascii="微软雅黑" w:hAnsi="微软雅黑" w:eastAsia="微软雅黑"/>
        </w:rPr>
        <w:t>3.5 算力补贴加码与场景支持</w:t>
      </w:r>
    </w:p>
    <w:p w14:paraId="36B420E4">
      <w:pPr>
        <w:ind w:firstLine="420"/>
      </w:pPr>
      <w:r>
        <w:rPr>
          <w:rFonts w:ascii="微软雅黑" w:hAnsi="微软雅黑" w:eastAsia="微软雅黑"/>
        </w:rPr>
        <w:t>在市级算力券30%补贴基础上，争取余杭区额外配套。争取纳入余杭区具身智能场景清单，获得政府在商业服务场景的试点部署支持。同时争取"AI+标杆场景"500万元联合创新支持。</w:t>
      </w:r>
    </w:p>
    <w:p w14:paraId="4D968A79">
      <w:pPr>
        <w:spacing w:after="40"/>
        <w:ind w:left="420"/>
      </w:pPr>
      <w:r>
        <w:rPr>
          <w:rFonts w:ascii="微软雅黑" w:hAnsi="微软雅黑" w:eastAsia="微软雅黑"/>
          <w:i/>
          <w:color w:val="808080"/>
          <w:sz w:val="18"/>
        </w:rPr>
        <w:t>【政策出处】场景支持依据：余杭区人民政府《余杭区加快建设人工智能创新高地核心承载地实施方案（2025年版）》（余政发〔2025〕44号）中的AI+场景示范项目（投资额30%补助，最高500万元）。</w:t>
      </w:r>
    </w:p>
    <w:p w14:paraId="735BADC9">
      <w:pPr>
        <w:pStyle w:val="4"/>
      </w:pPr>
      <w:r>
        <w:rPr>
          <w:rFonts w:ascii="微软雅黑" w:hAnsi="微软雅黑" w:eastAsia="微软雅黑"/>
        </w:rPr>
        <w:t>3.6 前期考核指标优化</w:t>
      </w:r>
    </w:p>
    <w:p w14:paraId="0C8AC10D">
      <w:pPr>
        <w:ind w:firstLine="420"/>
      </w:pPr>
      <w:r>
        <w:rPr>
          <w:rFonts w:ascii="微软雅黑" w:hAnsi="微软雅黑" w:eastAsia="微软雅黑"/>
        </w:rPr>
        <w:t>RoboX目前处于能力积累期，18个月内不会产生显著营收。建议在一事一议中明确约定：前18个月不考核营收和税收指标，考核重点放在技术里程碑（模型性能指标、数据规模、专利产出）和融资进展上。</w:t>
      </w:r>
    </w:p>
    <w:p w14:paraId="39833A70">
      <w:r>
        <w:br w:type="page"/>
      </w:r>
    </w:p>
    <w:p w14:paraId="0AB3DA60">
      <w:pPr>
        <w:pStyle w:val="3"/>
      </w:pPr>
      <w:r>
        <w:rPr>
          <w:rFonts w:ascii="微软雅黑" w:hAnsi="微软雅黑" w:eastAsia="微软雅黑"/>
        </w:rPr>
        <w:t>四、沟通时机策略建议</w:t>
      </w:r>
    </w:p>
    <w:p w14:paraId="404FC160">
      <w:pPr>
        <w:pStyle w:val="4"/>
      </w:pPr>
      <w:r>
        <w:rPr>
          <w:rFonts w:ascii="微软雅黑" w:hAnsi="微软雅黑" w:eastAsia="微软雅黑"/>
        </w:rPr>
        <w:t>4.1 是否应在知识产权锁定之后再沟通？</w:t>
      </w:r>
    </w:p>
    <w:p w14:paraId="35182FF5">
      <w:r>
        <w:rPr>
          <w:rFonts w:ascii="微软雅黑" w:hAnsi="微软雅黑" w:eastAsia="微软雅黑"/>
          <w:b/>
          <w:color w:val="277DA1"/>
        </w:rPr>
        <w:t>建议：不需要等知识产权完全锁定，但应先完成核心专利申请。</w:t>
      </w:r>
    </w:p>
    <w:p w14:paraId="043339CC">
      <w:pPr>
        <w:ind w:firstLine="420"/>
      </w:pPr>
      <w:r>
        <w:rPr>
          <w:rFonts w:ascii="微软雅黑" w:hAnsi="微软雅黑" w:eastAsia="微软雅黑"/>
        </w:rPr>
        <w:t>RoboX的核心知识产权（三层模型架构、潜空间通信、数据管线、VLA模型训练方法）属于方法论创新，提交专利申请后获得申请号即可向政府披露技术方向，无需等到专利授权（通常需1-3年）。实操建议：与政府沟通前至少完成3-5项核心发明专利申请。</w:t>
      </w:r>
    </w:p>
    <w:p w14:paraId="7EB64AD6">
      <w:pPr>
        <w:ind w:firstLine="420"/>
      </w:pPr>
      <w:r>
        <w:rPr>
          <w:rFonts w:ascii="微软雅黑" w:hAnsi="微软雅黑" w:eastAsia="微软雅黑"/>
        </w:rPr>
        <w:t>但数据采集方法属于核心商业秘密，不应向政府披露细节，可笼统表述为"拥有50万小时行业最大规模第一视角数据，采集方法为核心商业秘密"。</w:t>
      </w:r>
    </w:p>
    <w:p w14:paraId="0446CDFE">
      <w:pPr>
        <w:pStyle w:val="4"/>
      </w:pPr>
      <w:r>
        <w:rPr>
          <w:rFonts w:ascii="微软雅黑" w:hAnsi="微软雅黑" w:eastAsia="微软雅黑"/>
        </w:rPr>
        <w:t>4.2 是否应在第一轮融资敲定之后再沟通？</w:t>
      </w:r>
    </w:p>
    <w:p w14:paraId="1CCA046D">
      <w:r>
        <w:rPr>
          <w:rFonts w:ascii="微软雅黑" w:hAnsi="微软雅黑" w:eastAsia="微软雅黑"/>
          <w:b/>
          <w:color w:val="277DA1"/>
        </w:rPr>
        <w:t>建议：不应该等。现在同步启动，利用天使轮融资进展作为谈判筹码。</w:t>
      </w:r>
    </w:p>
    <w:p w14:paraId="33821DB2">
      <w:pPr>
        <w:ind w:firstLine="420"/>
      </w:pPr>
      <w:r>
        <w:rPr>
          <w:rFonts w:ascii="微软雅黑" w:hAnsi="微软雅黑" w:eastAsia="微软雅黑"/>
        </w:rPr>
        <w:t>三个核心理由：第一，政策谈判本身需要时间。第二，政策承诺可以反向加速融资。第三，天使轮2亿元融资已远超海创未来"杰出人才升领军人才"的2000万门槛——只要申报杰出人才，融资到位后即可自动升级为领军人才标准。</w:t>
      </w:r>
    </w:p>
    <w:p w14:paraId="3FDF0F69">
      <w:pPr>
        <w:pStyle w:val="4"/>
      </w:pPr>
      <w:r>
        <w:rPr>
          <w:rFonts w:ascii="微软雅黑" w:hAnsi="微软雅黑" w:eastAsia="微软雅黑"/>
        </w:rPr>
        <w:t>4.3 建议的三阶段节奏</w:t>
      </w:r>
    </w:p>
    <w:p w14:paraId="26A490CD">
      <w:r>
        <w:rPr>
          <w:rFonts w:ascii="微软雅黑" w:hAnsi="微软雅黑" w:eastAsia="微软雅黑"/>
          <w:b/>
        </w:rPr>
        <w:t>第一阶段（现在-8月）：普惠政策+海创未来申报+过渡办公</w:t>
      </w:r>
    </w:p>
    <w:p w14:paraId="3C5595C3">
      <w:pPr>
        <w:ind w:firstLine="420"/>
      </w:pPr>
      <w:r>
        <w:rPr>
          <w:rFonts w:ascii="微软雅黑" w:hAnsi="微软雅黑" w:eastAsia="微软雅黑"/>
        </w:rPr>
        <w:t>与余杭区和西湖区同时沟通普惠政策和海创未来人才计划。同步提交海创未来"杰出人才"申报材料（融资到位后自动升级领军人才）。在未科Y/our Space租两个隔间过渡（15840元/月，可坐20人，一个月起租）。</w:t>
      </w:r>
    </w:p>
    <w:p w14:paraId="187C88F2">
      <w:r>
        <w:rPr>
          <w:rFonts w:ascii="微软雅黑" w:hAnsi="微软雅黑" w:eastAsia="微软雅黑"/>
          <w:b/>
        </w:rPr>
        <w:t>第二阶段（8-9月）：一事一议深度沟通</w:t>
      </w:r>
    </w:p>
    <w:p w14:paraId="1756DFE7">
      <w:pPr>
        <w:ind w:firstLine="420"/>
      </w:pPr>
      <w:r>
        <w:rPr>
          <w:rFonts w:ascii="微软雅黑" w:hAnsi="微软雅黑" w:eastAsia="微软雅黑"/>
        </w:rPr>
        <w:t>阿里投资决策明确、天使轮close后，以"阿里领投+天使轮2亿/估值30亿"为筹码启动一事一议深度沟通。同步推进国资跟投方案（2000-3000万，标准委员会审批）。</w:t>
      </w:r>
    </w:p>
    <w:p w14:paraId="3A2BFE81">
      <w:r>
        <w:rPr>
          <w:rFonts w:ascii="微软雅黑" w:hAnsi="微软雅黑" w:eastAsia="微软雅黑"/>
          <w:b/>
        </w:rPr>
        <w:t>第三阶段（9-10月）：选址落地</w:t>
      </w:r>
    </w:p>
    <w:p w14:paraId="258A9DFB">
      <w:pPr>
        <w:ind w:firstLine="420"/>
      </w:pPr>
      <w:r>
        <w:rPr>
          <w:rFonts w:ascii="微软雅黑" w:hAnsi="微软雅黑" w:eastAsia="微软雅黑"/>
        </w:rPr>
        <w:t>基于一事一议框架协议，确定公司注册主体和正式办公+试验场地选址（总面积约800㎡）。评估余杭和滨江两个现有主体的政策条件差异。正式签约落地。</w:t>
      </w:r>
    </w:p>
    <w:p w14:paraId="1C96671B">
      <w:r>
        <w:br w:type="page"/>
      </w:r>
    </w:p>
    <w:p w14:paraId="1D13C13E">
      <w:pPr>
        <w:pStyle w:val="3"/>
      </w:pPr>
      <w:r>
        <w:rPr>
          <w:rFonts w:ascii="微软雅黑" w:hAnsi="微软雅黑" w:eastAsia="微软雅黑"/>
        </w:rPr>
        <w:t>五、行动清单</w:t>
      </w:r>
    </w:p>
    <w:p w14:paraId="6A01A3D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252"/>
      </w:tblGrid>
      <w:tr w14:paraId="23A0B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3C6E"/>
          </w:tcPr>
          <w:p w14:paraId="7FDBBB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4252" w:type="dxa"/>
            <w:shd w:val="clear" w:color="auto" w:fill="1A3C6E"/>
          </w:tcPr>
          <w:p w14:paraId="76FB45C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</w:tr>
      <w:tr w14:paraId="2162E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D2BD56A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4252" w:type="dxa"/>
          </w:tcPr>
          <w:p w14:paraId="5FD74B82">
            <w:r>
              <w:rPr>
                <w:rFonts w:ascii="微软雅黑" w:hAnsi="微软雅黑" w:eastAsia="微软雅黑"/>
                <w:sz w:val="18"/>
              </w:rPr>
              <w:t>提交3-5项核心发明专利申请</w:t>
            </w:r>
          </w:p>
        </w:tc>
      </w:tr>
      <w:tr w14:paraId="7205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124BF458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4252" w:type="dxa"/>
            <w:shd w:val="clear" w:color="auto" w:fill="F0F4F8"/>
          </w:tcPr>
          <w:p w14:paraId="33317E73">
            <w:r>
              <w:rPr>
                <w:rFonts w:ascii="微软雅黑" w:hAnsi="微软雅黑" w:eastAsia="微软雅黑"/>
                <w:sz w:val="18"/>
              </w:rPr>
              <w:t>与余杭区招商部门建立联系，了解一事一议沟通流程</w:t>
            </w:r>
          </w:p>
        </w:tc>
      </w:tr>
      <w:tr w14:paraId="7DF19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F0FB954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4252" w:type="dxa"/>
          </w:tcPr>
          <w:p w14:paraId="0B679DA6">
            <w:r>
              <w:rPr>
                <w:rFonts w:ascii="微软雅黑" w:hAnsi="微软雅黑" w:eastAsia="微软雅黑"/>
                <w:sz w:val="18"/>
              </w:rPr>
              <w:t>同步与西湖区招商部门沟通（西湖英才+青鸟计划）</w:t>
            </w:r>
          </w:p>
        </w:tc>
      </w:tr>
      <w:tr w14:paraId="03353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288DB605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4252" w:type="dxa"/>
            <w:shd w:val="clear" w:color="auto" w:fill="F0F4F8"/>
          </w:tcPr>
          <w:p w14:paraId="48E9F316">
            <w:r>
              <w:rPr>
                <w:rFonts w:ascii="微软雅黑" w:hAnsi="微软雅黑" w:eastAsia="微软雅黑"/>
                <w:sz w:val="18"/>
              </w:rPr>
              <w:t>梳理团队成员人才资质，筛选符合千人计划/海创未来条件的候选人</w:t>
            </w:r>
          </w:p>
        </w:tc>
      </w:tr>
      <w:tr w14:paraId="413DF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AEE2E3E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4252" w:type="dxa"/>
          </w:tcPr>
          <w:p w14:paraId="732431FB">
            <w:r>
              <w:rPr>
                <w:rFonts w:ascii="微软雅黑" w:hAnsi="微软雅黑" w:eastAsia="微软雅黑"/>
                <w:sz w:val="18"/>
              </w:rPr>
              <w:t>在未科Y/our Space租两个隔间过渡（15840元/月）</w:t>
            </w:r>
          </w:p>
        </w:tc>
      </w:tr>
      <w:tr w14:paraId="73F47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2E76D3FD"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4252" w:type="dxa"/>
            <w:shd w:val="clear" w:color="auto" w:fill="F0F4F8"/>
          </w:tcPr>
          <w:p w14:paraId="788553D8">
            <w:r>
              <w:rPr>
                <w:rFonts w:ascii="微软雅黑" w:hAnsi="微软雅黑" w:eastAsia="微软雅黑"/>
                <w:sz w:val="18"/>
              </w:rPr>
              <w:t>准备海创未来"杰出人才"申报材料（天使轮close后自动升级领军人才）</w:t>
            </w:r>
          </w:p>
        </w:tc>
      </w:tr>
      <w:tr w14:paraId="45EA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1C65F3D"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4252" w:type="dxa"/>
          </w:tcPr>
          <w:p w14:paraId="5C199E01">
            <w:r>
              <w:rPr>
                <w:rFonts w:ascii="微软雅黑" w:hAnsi="微软雅黑" w:eastAsia="微软雅黑"/>
                <w:sz w:val="18"/>
              </w:rPr>
              <w:t>与余杭区政府基金对接国资跟投方案（2000-3000万/30亿估值）</w:t>
            </w:r>
          </w:p>
        </w:tc>
      </w:tr>
      <w:tr w14:paraId="0F84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18486200"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4252" w:type="dxa"/>
            <w:shd w:val="clear" w:color="auto" w:fill="F0F4F8"/>
          </w:tcPr>
          <w:p w14:paraId="7C9570E5">
            <w:r>
              <w:rPr>
                <w:rFonts w:ascii="微软雅黑" w:hAnsi="微软雅黑" w:eastAsia="微软雅黑"/>
                <w:sz w:val="18"/>
              </w:rPr>
              <w:t>等待阿里投资决策明确后，启动一事一议深度沟通</w:t>
            </w:r>
          </w:p>
        </w:tc>
      </w:tr>
      <w:tr w14:paraId="15EF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D061F2C">
            <w:r>
              <w:rPr>
                <w:rFonts w:ascii="微软雅黑" w:hAnsi="微软雅黑" w:eastAsia="微软雅黑"/>
                <w:sz w:val="18"/>
              </w:rPr>
              <w:t>P3</w:t>
            </w:r>
          </w:p>
        </w:tc>
        <w:tc>
          <w:tcPr>
            <w:tcW w:w="4252" w:type="dxa"/>
          </w:tcPr>
          <w:p w14:paraId="117EF672">
            <w:r>
              <w:rPr>
                <w:rFonts w:ascii="微软雅黑" w:hAnsi="微软雅黑" w:eastAsia="微软雅黑"/>
                <w:sz w:val="18"/>
              </w:rPr>
              <w:t>寻找正式办公+试验场地（总面积约800㎡）</w:t>
            </w:r>
          </w:p>
        </w:tc>
      </w:tr>
      <w:tr w14:paraId="63235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5A9086F7">
            <w:r>
              <w:rPr>
                <w:rFonts w:ascii="微软雅黑" w:hAnsi="微软雅黑" w:eastAsia="微软雅黑"/>
                <w:sz w:val="18"/>
              </w:rPr>
              <w:t>P3</w:t>
            </w:r>
          </w:p>
        </w:tc>
        <w:tc>
          <w:tcPr>
            <w:tcW w:w="4252" w:type="dxa"/>
            <w:shd w:val="clear" w:color="auto" w:fill="F0F4F8"/>
          </w:tcPr>
          <w:p w14:paraId="5AC5E730">
            <w:r>
              <w:rPr>
                <w:rFonts w:ascii="微软雅黑" w:hAnsi="微软雅黑" w:eastAsia="微软雅黑"/>
                <w:sz w:val="18"/>
              </w:rPr>
              <w:t>评估余杭和滨江两个注册主体的政策条件差异</w:t>
            </w:r>
          </w:p>
        </w:tc>
      </w:tr>
    </w:tbl>
    <w:p w14:paraId="1D9D2ECE">
      <w:bookmarkStart w:id="0" w:name="_GoBack"/>
      <w:bookmarkEnd w:id="0"/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2F64E8"/>
    <w:rsid w:val="6AFB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400" w:lineRule="exact"/>
    </w:pPr>
    <w:rPr>
      <w:rFonts w:ascii="微软雅黑" w:hAnsi="微软雅黑" w:eastAsia="微软雅黑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1A3C6E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2D5A8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3A6EA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320" w:after="120" w:line="240" w:lineRule="auto"/>
      <w:contextualSpacing/>
    </w:pPr>
    <w:rPr>
      <w:rFonts w:asciiTheme="majorHAnsi" w:hAnsiTheme="majorHAnsi" w:eastAsiaTheme="majorEastAsia" w:cstheme="majorBidi"/>
      <w:b/>
      <w:color w:val="1A3C6E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4200</Words>
  <Characters>5448</Characters>
  <Lines>0</Lines>
  <Paragraphs>0</Paragraphs>
  <TotalTime>7</TotalTime>
  <ScaleCrop>false</ScaleCrop>
  <LinksUpToDate>false</LinksUpToDate>
  <CharactersWithSpaces>5462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2026-07-24T13:42:38Z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A47D8706D8B54FF5AB1EF36326583AE8_13</vt:lpwstr>
  </property>
</Properties>
</file>