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6.8.0.0 -->
  <w:body>
    <w:p>
      <w:pPr>
        <w:pStyle w:val="Heading1"/>
        <w:keepNext w:val="0"/>
        <w:spacing w:before="0" w:after="322"/>
        <w:outlineLvl w:val="9"/>
        <w:rPr>
          <w:rFonts w:ascii="宋体" w:eastAsia="宋体" w:hAnsi="宋体" w:cs="宋体"/>
          <w:b/>
          <w:bCs/>
          <w:sz w:val="48"/>
          <w:szCs w:val="48"/>
        </w:rPr>
      </w:pPr>
      <w:r>
        <w:rPr>
          <w:rFonts w:ascii="宋体" w:eastAsia="宋体" w:hAnsi="宋体" w:cs="宋体"/>
          <w:i w:val="0"/>
        </w:rPr>
        <w:t>融资策略规划与投资人沟通会议</w:t>
      </w:r>
    </w:p>
    <w:p>
      <w:pPr>
        <w:numPr>
          <w:ilvl w:val="0"/>
          <w:numId w:val="1"/>
        </w:numPr>
        <w:spacing w:before="240"/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会议主题</w:t>
      </w:r>
      <w:r>
        <w:rPr>
          <w:rFonts w:ascii="宋体" w:eastAsia="宋体" w:hAnsi="宋体" w:cs="宋体"/>
        </w:rPr>
        <w:t>：本轮融资策略、估值逻辑及投资人沟通计划</w:t>
      </w:r>
    </w:p>
    <w:p>
      <w:pPr>
        <w:numPr>
          <w:ilvl w:val="0"/>
          <w:numId w:val="1"/>
        </w:numPr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关键时间节点</w:t>
      </w:r>
      <w:r>
        <w:rPr>
          <w:rFonts w:ascii="宋体" w:eastAsia="宋体" w:hAnsi="宋体" w:cs="宋体"/>
        </w:rPr>
        <w:t>：9月中旬关闭本轮，预计6周锁定交易框架</w:t>
      </w:r>
    </w:p>
    <w:p>
      <w:pPr>
        <w:numPr>
          <w:ilvl w:val="0"/>
          <w:numId w:val="1"/>
        </w:numPr>
        <w:spacing w:after="240"/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核心议题</w:t>
      </w:r>
      <w:r>
        <w:rPr>
          <w:rFonts w:ascii="宋体" w:eastAsia="宋体" w:hAnsi="宋体" w:cs="宋体"/>
        </w:rPr>
        <w:t>：美元基金主导、刷榜验证技术、团队叙事优化</w:t>
      </w:r>
    </w:p>
    <w:p>
      <w:pPr>
        <w:spacing w:before="240" w:after="240"/>
        <w:ind w:left="600" w:right="60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摘要</w:t>
      </w:r>
      <w:r>
        <w:rPr>
          <w:rFonts w:ascii="宋体" w:eastAsia="宋体" w:hAnsi="宋体" w:cs="宋体"/>
        </w:rPr>
        <w:t>：讨论以美元基金为主导的融资策略，确立通过模型榜单排名验证技术实力的估值逻辑，规划9月中旬完成本轮交割的时间表。明确针对不同层级投资人的差异化沟通重点，强调团队背景与技术上限，规避早期商业化订单压力，并梳理了后续路演与尽调的具体执行计划。</w:t>
      </w:r>
    </w:p>
    <w:p>
      <w:pPr>
        <w:pStyle w:val="Heading2"/>
        <w:keepNext w:val="0"/>
        <w:spacing w:before="299" w:after="299"/>
        <w:outlineLvl w:val="9"/>
        <w:rPr>
          <w:rFonts w:ascii="宋体" w:eastAsia="宋体" w:hAnsi="宋体" w:cs="宋体"/>
          <w:b/>
          <w:bCs/>
          <w:sz w:val="36"/>
          <w:szCs w:val="36"/>
        </w:rPr>
      </w:pPr>
      <w:r>
        <w:rPr>
          <w:rFonts w:ascii="宋体" w:eastAsia="宋体" w:hAnsi="宋体" w:cs="宋体"/>
          <w:i w:val="0"/>
          <w:iCs w:val="0"/>
        </w:rPr>
        <w:t>融资进度与时间表</w:t>
      </w:r>
    </w:p>
    <w:p>
      <w:pPr>
        <w:numPr>
          <w:ilvl w:val="0"/>
          <w:numId w:val="2"/>
        </w:numPr>
        <w:spacing w:before="240"/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当前进展</w:t>
      </w:r>
      <w:r>
        <w:rPr>
          <w:rFonts w:ascii="宋体" w:eastAsia="宋体" w:hAnsi="宋体" w:cs="宋体"/>
        </w:rPr>
        <w:t>：已完成504家机构的初步接触，部分重要合作伙伴及业务方若窗口期允许可纳入第一轮 。</w:t>
      </w:r>
    </w:p>
    <w:p>
      <w:pPr>
        <w:numPr>
          <w:ilvl w:val="0"/>
          <w:numId w:val="2"/>
        </w:numPr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时间节点</w:t>
      </w:r>
      <w:r>
        <w:rPr>
          <w:rFonts w:ascii="宋体" w:eastAsia="宋体" w:hAnsi="宋体" w:cs="宋体"/>
        </w:rPr>
        <w:t xml:space="preserve">： </w:t>
      </w:r>
    </w:p>
    <w:p>
      <w:pPr>
        <w:numPr>
          <w:ilvl w:val="1"/>
          <w:numId w:val="2"/>
        </w:numPr>
        <w:ind w:left="1440" w:hanging="244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9月中旬</w:t>
      </w:r>
      <w:r>
        <w:rPr>
          <w:rFonts w:ascii="宋体" w:eastAsia="宋体" w:hAnsi="宋体" w:cs="宋体"/>
        </w:rPr>
        <w:t>：计划关闭本轮融资，完成交割 。</w:t>
      </w:r>
    </w:p>
    <w:p>
      <w:pPr>
        <w:numPr>
          <w:ilvl w:val="1"/>
          <w:numId w:val="2"/>
        </w:numPr>
        <w:ind w:left="1440" w:hanging="244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未来6周规划</w:t>
      </w:r>
      <w:r>
        <w:rPr>
          <w:rFonts w:ascii="宋体" w:eastAsia="宋体" w:hAnsi="宋体" w:cs="宋体"/>
        </w:rPr>
        <w:t xml:space="preserve">： </w:t>
      </w:r>
    </w:p>
    <w:p>
      <w:pPr>
        <w:numPr>
          <w:ilvl w:val="2"/>
          <w:numId w:val="2"/>
        </w:numPr>
        <w:ind w:left="2160" w:hanging="244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第1-2周：优化故事线（BP），完善数据包，定稿融资材料 。</w:t>
      </w:r>
    </w:p>
    <w:p>
      <w:pPr>
        <w:numPr>
          <w:ilvl w:val="2"/>
          <w:numId w:val="2"/>
        </w:numPr>
        <w:ind w:left="2160" w:hanging="244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第3-5周：针对核心机构进行密集路演，以美元基金为主 。</w:t>
      </w:r>
    </w:p>
    <w:p>
      <w:pPr>
        <w:numPr>
          <w:ilvl w:val="2"/>
          <w:numId w:val="2"/>
        </w:numPr>
        <w:ind w:left="2160" w:hanging="244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第4-6周：确认交易架构，锁定交易框架，同步推进条款谈判和法律文件起草 。</w:t>
      </w:r>
    </w:p>
    <w:p>
      <w:pPr>
        <w:numPr>
          <w:ilvl w:val="2"/>
          <w:numId w:val="2"/>
        </w:numPr>
        <w:ind w:left="2160" w:hanging="244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第9周左右：进入下一轮准备阶段 。</w:t>
      </w:r>
    </w:p>
    <w:p>
      <w:pPr>
        <w:numPr>
          <w:ilvl w:val="0"/>
          <w:numId w:val="2"/>
        </w:numPr>
        <w:spacing w:after="240"/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领投方情况</w:t>
      </w:r>
      <w:r>
        <w:rPr>
          <w:rFonts w:ascii="宋体" w:eastAsia="宋体" w:hAnsi="宋体" w:cs="宋体"/>
        </w:rPr>
        <w:t>：尚未最终确认领投方，正在与几家潜在领投机构（包括一家刚完成上一轮交割的机构及一家科技属性较强的机构）进行深入洽谈 。</w:t>
      </w:r>
    </w:p>
    <w:p>
      <w:pPr>
        <w:pStyle w:val="Heading2"/>
        <w:keepNext w:val="0"/>
        <w:spacing w:before="299" w:after="299"/>
        <w:outlineLvl w:val="9"/>
        <w:rPr>
          <w:rFonts w:ascii="宋体" w:eastAsia="宋体" w:hAnsi="宋体" w:cs="宋体"/>
          <w:b/>
          <w:bCs/>
          <w:sz w:val="36"/>
          <w:szCs w:val="36"/>
        </w:rPr>
      </w:pPr>
      <w:r>
        <w:rPr>
          <w:rFonts w:ascii="宋体" w:eastAsia="宋体" w:hAnsi="宋体" w:cs="宋体"/>
          <w:i w:val="0"/>
          <w:iCs w:val="0"/>
        </w:rPr>
        <w:t>融资策略与估值逻辑</w:t>
      </w:r>
    </w:p>
    <w:p>
      <w:pPr>
        <w:numPr>
          <w:ilvl w:val="0"/>
          <w:numId w:val="3"/>
        </w:numPr>
        <w:spacing w:before="240"/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币种与结构</w:t>
      </w:r>
      <w:r>
        <w:rPr>
          <w:rFonts w:ascii="宋体" w:eastAsia="宋体" w:hAnsi="宋体" w:cs="宋体"/>
        </w:rPr>
        <w:t>：本轮以美元基金定价为主，旨在利用其较大的资金体量和知名机构背书来支撑估值；后续轮次可引入杭州本土投资人及产业资本 。</w:t>
      </w:r>
    </w:p>
    <w:p>
      <w:pPr>
        <w:numPr>
          <w:ilvl w:val="0"/>
          <w:numId w:val="3"/>
        </w:numPr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估值预期</w:t>
      </w:r>
      <w:r>
        <w:rPr>
          <w:rFonts w:ascii="宋体" w:eastAsia="宋体" w:hAnsi="宋体" w:cs="宋体"/>
        </w:rPr>
        <w:t xml:space="preserve">： </w:t>
      </w:r>
    </w:p>
    <w:p>
      <w:pPr>
        <w:numPr>
          <w:ilvl w:val="1"/>
          <w:numId w:val="3"/>
        </w:numPr>
        <w:ind w:left="1440" w:hanging="244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本轮目标估值约20亿人民币（或对应美元估值） 。</w:t>
      </w:r>
    </w:p>
    <w:p>
      <w:pPr>
        <w:numPr>
          <w:ilvl w:val="1"/>
          <w:numId w:val="3"/>
        </w:numPr>
        <w:ind w:left="1440" w:hanging="244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建议估值阶梯：本轮~20亿 -&gt; 下一轮30-35亿 -&gt; 再下一轮~50亿。每轮涨幅不宜过大，以确保资金安全性和充裕度 。</w:t>
      </w:r>
    </w:p>
    <w:p>
      <w:pPr>
        <w:numPr>
          <w:ilvl w:val="1"/>
          <w:numId w:val="3"/>
        </w:numPr>
        <w:ind w:left="1440" w:hanging="244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参考案例：某竞品在3个月内完成三轮融资，估值从1亿美金快速攀升至4亿美金，主要通过团队组建完成、产业合作落地及Demo展示实现 。</w:t>
      </w:r>
    </w:p>
    <w:p>
      <w:pPr>
        <w:numPr>
          <w:ilvl w:val="0"/>
          <w:numId w:val="3"/>
        </w:numPr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核心叙事逻辑</w:t>
      </w:r>
      <w:r>
        <w:rPr>
          <w:rFonts w:ascii="宋体" w:eastAsia="宋体" w:hAnsi="宋体" w:cs="宋体"/>
        </w:rPr>
        <w:t xml:space="preserve">： </w:t>
      </w:r>
    </w:p>
    <w:p>
      <w:pPr>
        <w:numPr>
          <w:ilvl w:val="1"/>
          <w:numId w:val="4"/>
        </w:numPr>
        <w:ind w:left="1440" w:hanging="244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技术至上</w:t>
      </w:r>
      <w:r>
        <w:rPr>
          <w:rFonts w:ascii="宋体" w:eastAsia="宋体" w:hAnsi="宋体" w:cs="宋体"/>
        </w:rPr>
        <w:t>：作为模型公司，核心在于提升“智力上限”，量化标准为公开榜单排名（如刷榜）。早期阶段无需强求商业订单，对标MiniMax、智谱等头部企业路径 。</w:t>
      </w:r>
    </w:p>
    <w:p>
      <w:pPr>
        <w:numPr>
          <w:ilvl w:val="1"/>
          <w:numId w:val="4"/>
        </w:numPr>
        <w:ind w:left="1440" w:hanging="244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团队背景</w:t>
      </w:r>
      <w:r>
        <w:rPr>
          <w:rFonts w:ascii="宋体" w:eastAsia="宋体" w:hAnsi="宋体" w:cs="宋体"/>
        </w:rPr>
        <w:t>：重点突出算法负责人及核心团队的顶级背景（如华为天才少年、阿里核心算法专家等），强调全职加入或高水平顾问协议 。</w:t>
      </w:r>
    </w:p>
    <w:p>
      <w:pPr>
        <w:numPr>
          <w:ilvl w:val="1"/>
          <w:numId w:val="4"/>
        </w:numPr>
        <w:spacing w:after="240"/>
        <w:ind w:left="1440" w:hanging="244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应对商业化质疑</w:t>
      </w:r>
      <w:r>
        <w:rPr>
          <w:rFonts w:ascii="宋体" w:eastAsia="宋体" w:hAnsi="宋体" w:cs="宋体"/>
        </w:rPr>
        <w:t>：对于关注早期订单的投资人，明确公司定位为技术驱动型，早期收入非核心指标，避免陷入低效的商业化陷阱 。</w:t>
      </w:r>
    </w:p>
    <w:p>
      <w:pPr>
        <w:pStyle w:val="Heading2"/>
        <w:keepNext w:val="0"/>
        <w:spacing w:before="299" w:after="299"/>
        <w:outlineLvl w:val="9"/>
        <w:rPr>
          <w:rFonts w:ascii="宋体" w:eastAsia="宋体" w:hAnsi="宋体" w:cs="宋体"/>
          <w:b/>
          <w:bCs/>
          <w:sz w:val="36"/>
          <w:szCs w:val="36"/>
        </w:rPr>
      </w:pPr>
      <w:r>
        <w:rPr>
          <w:rFonts w:ascii="宋体" w:eastAsia="宋体" w:hAnsi="宋体" w:cs="宋体"/>
          <w:i w:val="0"/>
          <w:iCs w:val="0"/>
        </w:rPr>
        <w:t>投资人分层与沟通策略</w:t>
      </w:r>
    </w:p>
    <w:p>
      <w:pPr>
        <w:numPr>
          <w:ilvl w:val="0"/>
          <w:numId w:val="5"/>
        </w:numPr>
        <w:spacing w:before="240"/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优先级划分</w:t>
      </w:r>
      <w:r>
        <w:rPr>
          <w:rFonts w:ascii="宋体" w:eastAsia="宋体" w:hAnsi="宋体" w:cs="宋体"/>
        </w:rPr>
        <w:t xml:space="preserve">： </w:t>
      </w:r>
    </w:p>
    <w:p>
      <w:pPr>
        <w:numPr>
          <w:ilvl w:val="1"/>
          <w:numId w:val="5"/>
        </w:numPr>
        <w:ind w:left="1440" w:hanging="244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最高优先级</w:t>
      </w:r>
      <w:r>
        <w:rPr>
          <w:rFonts w:ascii="宋体" w:eastAsia="宋体" w:hAnsi="宋体" w:cs="宋体"/>
        </w:rPr>
        <w:t>：决策速度快、美元基金背景的头部机构（如高瓴、红杉等特定组别）。需在一两周内完成全覆盖路演 。</w:t>
      </w:r>
    </w:p>
    <w:p>
      <w:pPr>
        <w:numPr>
          <w:ilvl w:val="1"/>
          <w:numId w:val="5"/>
        </w:numPr>
        <w:ind w:left="1440" w:hanging="244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高优先级</w:t>
      </w:r>
      <w:r>
        <w:rPr>
          <w:rFonts w:ascii="宋体" w:eastAsia="宋体" w:hAnsi="宋体" w:cs="宋体"/>
        </w:rPr>
        <w:t>：其他知名VC及少量产业资本。</w:t>
      </w:r>
    </w:p>
    <w:p>
      <w:pPr>
        <w:numPr>
          <w:ilvl w:val="1"/>
          <w:numId w:val="5"/>
        </w:numPr>
        <w:ind w:left="1440" w:hanging="244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低优先级/谨慎接触</w:t>
      </w:r>
      <w:r>
        <w:rPr>
          <w:rFonts w:ascii="宋体" w:eastAsia="宋体" w:hAnsi="宋体" w:cs="宋体"/>
        </w:rPr>
        <w:t>：流程冗长、决策复杂的机构，如央企背景基金、部分险资、券商系早期基金（如银河创新、财通证券等），以及复星战投等战略投资方 。</w:t>
      </w:r>
    </w:p>
    <w:p>
      <w:pPr>
        <w:numPr>
          <w:ilvl w:val="0"/>
          <w:numId w:val="5"/>
        </w:numPr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沟通重点</w:t>
      </w:r>
      <w:r>
        <w:rPr>
          <w:rFonts w:ascii="宋体" w:eastAsia="宋体" w:hAnsi="宋体" w:cs="宋体"/>
        </w:rPr>
        <w:t xml:space="preserve">： </w:t>
      </w:r>
    </w:p>
    <w:p>
      <w:pPr>
        <w:numPr>
          <w:ilvl w:val="1"/>
          <w:numId w:val="6"/>
        </w:numPr>
        <w:ind w:left="1440" w:hanging="244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统一口径</w:t>
      </w:r>
      <w:r>
        <w:rPr>
          <w:rFonts w:ascii="宋体" w:eastAsia="宋体" w:hAnsi="宋体" w:cs="宋体"/>
        </w:rPr>
        <w:t>：管理层需保持价值主张一致，针对不同阶段投资人披露不同深度的信息，防止竞争对手抄袭 。</w:t>
      </w:r>
    </w:p>
    <w:p>
      <w:pPr>
        <w:numPr>
          <w:ilvl w:val="1"/>
          <w:numId w:val="6"/>
        </w:numPr>
        <w:ind w:left="1440" w:hanging="244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信息披露分寸</w:t>
      </w:r>
      <w:r>
        <w:rPr>
          <w:rFonts w:ascii="宋体" w:eastAsia="宋体" w:hAnsi="宋体" w:cs="宋体"/>
        </w:rPr>
        <w:t>：对非决策性投资人少透露核心细节，对核心投资人展示技术壁垒和团队优势 。</w:t>
      </w:r>
    </w:p>
    <w:p>
      <w:pPr>
        <w:numPr>
          <w:ilvl w:val="1"/>
          <w:numId w:val="6"/>
        </w:numPr>
        <w:spacing w:after="240"/>
        <w:ind w:left="1440" w:hanging="244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跟投机制</w:t>
      </w:r>
      <w:r>
        <w:rPr>
          <w:rFonts w:ascii="宋体" w:eastAsia="宋体" w:hAnsi="宋体" w:cs="宋体"/>
        </w:rPr>
        <w:t>：在确定交易结构时，可与优质机构沟通下一轮跟投权利，以换取更优条款或份额支持 。</w:t>
      </w:r>
    </w:p>
    <w:p>
      <w:pPr>
        <w:pStyle w:val="Heading2"/>
        <w:keepNext w:val="0"/>
        <w:spacing w:before="299" w:after="299"/>
        <w:outlineLvl w:val="9"/>
        <w:rPr>
          <w:rFonts w:ascii="宋体" w:eastAsia="宋体" w:hAnsi="宋体" w:cs="宋体"/>
          <w:b/>
          <w:bCs/>
          <w:sz w:val="36"/>
          <w:szCs w:val="36"/>
        </w:rPr>
      </w:pPr>
      <w:r>
        <w:rPr>
          <w:rFonts w:ascii="宋体" w:eastAsia="宋体" w:hAnsi="宋体" w:cs="宋体"/>
          <w:i w:val="0"/>
          <w:iCs w:val="0"/>
        </w:rPr>
        <w:t>待办事项与下一步行动</w:t>
      </w:r>
    </w:p>
    <w:p>
      <w:pPr>
        <w:numPr>
          <w:ilvl w:val="0"/>
          <w:numId w:val="7"/>
        </w:numPr>
        <w:spacing w:before="240"/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材料优化</w:t>
      </w:r>
      <w:r>
        <w:rPr>
          <w:rFonts w:ascii="宋体" w:eastAsia="宋体" w:hAnsi="宋体" w:cs="宋体"/>
        </w:rPr>
        <w:t>：基于一对一交流反馈，在一周内完成BP和数据包的最终定稿 。</w:t>
      </w:r>
    </w:p>
    <w:p>
      <w:pPr>
        <w:numPr>
          <w:ilvl w:val="0"/>
          <w:numId w:val="7"/>
        </w:numPr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机构对接</w:t>
      </w:r>
      <w:r>
        <w:rPr>
          <w:rFonts w:ascii="宋体" w:eastAsia="宋体" w:hAnsi="宋体" w:cs="宋体"/>
        </w:rPr>
        <w:t xml:space="preserve">： </w:t>
      </w:r>
    </w:p>
    <w:p>
      <w:pPr>
        <w:numPr>
          <w:ilvl w:val="1"/>
          <w:numId w:val="7"/>
        </w:numPr>
        <w:ind w:left="1440" w:hanging="244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梳理已接触机构的内部反馈，确定是否需要更换对接人或重新激活线索 。</w:t>
      </w:r>
    </w:p>
    <w:p>
      <w:pPr>
        <w:numPr>
          <w:ilvl w:val="1"/>
          <w:numId w:val="7"/>
        </w:numPr>
        <w:ind w:left="1440" w:hanging="244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安排与剩余最高优先级机构负责人的会面 。</w:t>
      </w:r>
    </w:p>
    <w:p>
      <w:pPr>
        <w:numPr>
          <w:ilvl w:val="0"/>
          <w:numId w:val="7"/>
        </w:numPr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协议签署</w:t>
      </w:r>
      <w:r>
        <w:rPr>
          <w:rFonts w:ascii="宋体" w:eastAsia="宋体" w:hAnsi="宋体" w:cs="宋体"/>
        </w:rPr>
        <w:t>：发送合作协议，确认双方合作形式及前置条件 。</w:t>
      </w:r>
    </w:p>
    <w:p>
      <w:pPr>
        <w:numPr>
          <w:ilvl w:val="0"/>
          <w:numId w:val="7"/>
        </w:numPr>
        <w:spacing w:after="240"/>
        <w:ind w:left="720" w:hanging="242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定期复盘</w:t>
      </w:r>
      <w:r>
        <w:rPr>
          <w:rFonts w:ascii="宋体" w:eastAsia="宋体" w:hAnsi="宋体" w:cs="宋体"/>
        </w:rPr>
        <w:t>：每周对齐管理时间表，复盘路演进展，动态调整策略 。</w:t>
      </w:r>
    </w:p>
    <w:sectPr>
      <w:footerReference w:type="default" r:id="rId4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bottom w:val="single" w:sz="2" w:space="0" w:color="auto"/>
      </w:pBdr>
      <w:jc w:val="center"/>
    </w:pPr>
    <w:r>
      <w:rPr>
        <w:rFonts w:ascii="宋体 (中文正文)" w:eastAsia="宋体 (中文正文)" w:hAnsi="宋体 (中文正文)" w:cs="宋体 (中文正文)"/>
        <w:sz w:val="18"/>
      </w:rPr>
      <w:t>以上内容由AI生成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noPunctuationKerning/>
  <w:characterSpacingControl w:val="doNotCompress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webSettings.xml" Type="http://schemas.openxmlformats.org/officeDocument/2006/relationships/webSettings"/><Relationship Id="rId3" Target="fontTable.xml" Type="http://schemas.openxmlformats.org/officeDocument/2006/relationships/fontTable"/><Relationship Id="rId4" Target="footer1.xml" Type="http://schemas.openxmlformats.org/officeDocument/2006/relationships/footer"/><Relationship Id="rId5" Target="numbering.xml" Type="http://schemas.openxmlformats.org/officeDocument/2006/relationships/numbering"/><Relationship Id="rId6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AIGC">
    <vt:lpwstr>{"ContentPropagator":"001191340000711771143J00000","Label":"1","ReservedCode1":"1787109893747","ProduceID":"WebAdp_537487798015475713_1787109893747","ReservedCode2":"1787109893747","PropagateID":"WebAdp_537487798015475713_1787109893747","ContentProducer":"001191340000711771143J00000"}</vt:lpwstr>
  </property>
</Properties>
</file>