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hint="eastAsia" w:ascii="Microsoft YaHei" w:hAnsi="Microsoft YaHei" w:eastAsia="Microsoft YaHei"/>
          <w:b w:val="1"/>
          <w:color w:val="1F497D"/>
          <w:sz w:val="36"/>
        </w:rPr>
        <w:t>ROBOX 三大场景可行性分析</w:t>
      </w:r>
    </w:p>
    <w:p>
      <w:pPr>
        <w:jc w:val="center"/>
      </w:pPr>
      <w:r>
        <w:rPr>
          <w:rFonts w:hint="eastAsia" w:ascii="Microsoft YaHei" w:hAnsi="Microsoft YaHei" w:eastAsia="Microsoft YaHei"/>
          <w:color w:val="5F5E5A"/>
          <w:sz w:val="24"/>
        </w:rPr>
        <w:t>高铁餐盒装盒 | 文旅移动餐车 | 康复理疗</w:t>
      </w:r>
    </w:p>
    <w:p>
      <w:pPr>
        <w:jc w:val="center"/>
      </w:pPr>
      <w:r>
        <w:rPr>
          <w:rFonts w:hint="eastAsia" w:ascii="Microsoft YaHei" w:hAnsi="Microsoft YaHei" w:eastAsia="Microsoft YaHei"/>
          <w:color w:val="888780"/>
          <w:sz w:val="18"/>
        </w:rPr>
        <w:t>基于 competitor-analysis skill 七维框架 | 2026-08-08</w:t>
      </w:r>
    </w:p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一、分析方法论</w:t>
      </w:r>
    </w:p>
    <w:p>
      <w:r>
        <w:rPr>
          <w:rFonts w:hint="eastAsia" w:ascii="Microsoft YaHei" w:hAnsi="Microsoft YaHei" w:eastAsia="Microsoft YaHei"/>
          <w:b w:val="0"/>
          <w:sz w:val="21"/>
        </w:rPr>
        <w:t>本文采用 competitor-analysis skill 的七维分析框架，针对明修近期高频提及的三个优先场景进行可行性评估。框架从以下七个维度对每个场景进行结构化分析：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4703"/>
        <w:gridCol w:w="4703"/>
      </w:tblGrid>
      <w:tr>
        <w:trPr/>
        <w:tc>
          <w:tcPr>
            <w:tcW w:w="2268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维度</w:t>
            </w:r>
          </w:p>
        </w:tc>
        <w:tc>
          <w:tcPr>
            <w:tcW w:w="737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评估问题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1. 痛点匹配度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ROBOX 核心能力（手眼脑协同、TacWM、System 1/0）是否解决该场景的真实痛点？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2. 技术可行性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当前 System 1/0 + TacWM 能否完成该场景所需的操作任务？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3. 市场规模与付费意愿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市场多大？客户是否有付费能力和意愿？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4. 竞争强度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已有多少玩家？空间是否拥挤？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5. 数据价值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该场景产生的数据对 ROBOX 模型迭代有多大价值？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6. 进入范式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适用七范式中的哪个？合作伙伴是谁？第一步怎么走？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7. 落地时间线与收入预估</w:t>
            </w:r>
          </w:p>
        </w:tc>
        <w:tc>
          <w:tcPr>
            <w:tcW w:w="737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从 POC 到量产需要多久？Phase 1 收入预期？</w:t>
            </w:r>
          </w:p>
        </w:tc>
      </w:tr>
    </w:tbl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二、场景一：高铁餐盒装盒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2.1 场景概述</w:t>
      </w:r>
    </w:p>
    <w:p>
      <w:r>
        <w:rPr>
          <w:rFonts w:hint="eastAsia" w:ascii="Microsoft YaHei" w:hAnsi="Microsoft YaHei" w:eastAsia="Microsoft YaHei"/>
          <w:b w:val="0"/>
          <w:sz w:val="21"/>
        </w:rPr>
        <w:t>高铁列车冷链盒饭的中央厨房生产环节中，菜品烹饪完成后的分装、装盒、配餐工序。当前自动化覆盖米饭生产线（淘洗→煮饭→分装，1分钟出30+份）和真空冷却、X光检测、自动封膜等环节，但菜品从出锅到装入餐盒的抓取、摆放、组合仍依赖人工。工人需在10万级洁净度分装间内完成重复性手工装盒操作。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2.2 七维分析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维度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评级</w:t>
            </w:r>
          </w:p>
        </w:tc>
        <w:tc>
          <w:tcPr>
            <w:tcW w:w="708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分析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痛点匹配度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核心痛点：(1) 人力成本高且招工难，春运期间日均2500-3000份仍需12-15人倒班；(2) 食品安全要求严苛（10万级洁净度、X光+金属检测），人手接触存在卫生隐患；(3) 重复性高强度劳动导致流失率高。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ROBOX 能力匹配：TacWM 解决柔性食物（红烧肉、蔬菜等不规则软体）的精准抓取——这是当前工业视觉+刚性夹爪无法处理的；System 1/0 端侧模型实现实时手眼协调，适应食物形态差异；Unified Action Space 支持多品牌机械臂快速部署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技术可行性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操作任务为半结构化：餐盒格档固定（通常4-6格），菜品类型已知（每日约20款），但食物形态不规则、软硬差异大。技术挑战在于：(1) 柔性物体抓取力控——TacWM 的预测性触觉可直接应用；(2) 多菜品并行装配的路径规划——System 1/0 的实时推理可覆盖；(3) 食品级卫生标准——需选用食品级材质末端执行器。不需要双臂人形机器人，单臂+灵巧夹爪+触觉传感器即可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市场规模与付费意愿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国18个铁路局均有配餐基地。仅广铁集团东莞基地日均产能5万份（实际2.2万份），宁波基地日均2500-3000份。按全国日均100万份高铁餐估算，装盒环节人工成本约2-3元/份，年人工成本超7亿元。客户付费意愿强：铁路配餐公司属于人力密集型、食品安全零容忍、利润薄——自动化降本是刚需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竞争强度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当前无具身智能公司进入此场景。现有自动化仅覆盖米饭线和包装线（龙恩智能等传统工业机器人公司）。食品分拣装箱机器人有初步应用（休闲零食、预制菜），但均使用刚性夹爪+视觉方案，无法处理软质菜品。这是 ROBOX 的蓝海窗口期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数据价值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柔性食物操作数据是具身智能领域最稀缺的数据类型之一。每个高铁配餐基地日产生数千次装盒操作，数据量大、场景一致性强。食物形态的多样性（20+菜品×季节变化）为 TacWM 提供丰富的触觉训练数据。这些数据可复用于餐饮、预制菜、家庭厨房等场景——数据飞轮启动价值极高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进入范式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P5 直接面对场景方 / P2 三方联合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推荐路径：P5（ROBOX 作为总集成商）+ 天玑/越疆（机械臂供应商）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切入点：选择一个铁路局配餐基地做 POC（建议广铁东莞或宁波聚卿舫），部署1-2台机械臂完成2-3款主力菜品的自动装盒验证。成功后复制到全路局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替代路径：P2 三方联合——ROBOX + 机械臂厂商 + 铁路配餐公司联合方案，适合早期品牌力不足时借力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落地时间线与收入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6-12月 POC → 12-18月量产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1（6-12月）：1个基地 POC，验证3-5款菜品装盒，成功率&gt;95%。投入约200-300万（设备+人力）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2（12-18月）：复制到3-5个基地，单基地部署4-8台机械臂。收入预估：解决方案销售500-800万/基地 + 年度运维100万/基地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 首年收入预估：300-500万（1个基地 POC + 方案设计费）</w:t>
            </w:r>
          </w:p>
        </w:tc>
      </w:tr>
    </w:tbl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三、场景二：文旅/商业街区移动餐车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3.1 场景概述</w:t>
      </w:r>
    </w:p>
    <w:p>
      <w:r>
        <w:rPr>
          <w:rFonts w:hint="eastAsia" w:ascii="Microsoft YaHei" w:hAnsi="Microsoft YaHei" w:eastAsia="Microsoft YaHei"/>
          <w:b w:val="0"/>
          <w:sz w:val="21"/>
        </w:rPr>
        <w:t>在文旅景区、商业街区、交通枢纽等高流量场景部署移动餐车/餐舱，由机器人完成咖啡、冰淇淋、小吃等品类的制作和递送。该场景已被多家公司验证商业化闭环，是当前具身智能落地最成熟的消费场景之一。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3.2 市场现状与竞争格局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/>
        <w:tc>
          <w:tcPr>
            <w:tcW w:w="124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玩家</w:t>
            </w:r>
          </w:p>
        </w:tc>
        <w:tc>
          <w:tcPr>
            <w:tcW w:w="141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创始人/背景</w:t>
            </w:r>
          </w:p>
        </w:tc>
        <w:tc>
          <w:tcPr>
            <w:tcW w:w="102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融资</w:t>
            </w:r>
          </w:p>
        </w:tc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部署规模</w:t>
            </w:r>
          </w:p>
        </w:tc>
        <w:tc>
          <w:tcPr>
            <w:tcW w:w="124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营收数据</w:t>
            </w:r>
          </w:p>
        </w:tc>
        <w:tc>
          <w:tcPr>
            <w:tcW w:w="2835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核心壁垒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影智 XBOT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唐沐（小米前生态链副总裁）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A轮2亿+B轮3-5亿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全球100+城市、1000+台、400万杯咖啡</w:t>
            </w:r>
          </w:p>
        </w:tc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2025营收1亿，2026订单3-5亿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XOS 3.0具身操作系统，"一脑多形"跨品类，RaaS加盟模式，全国全品类食品经营许可证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智平方 AlphaBot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智平方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未披露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8省市、张园/花溪等文旅地标</w:t>
            </w:r>
          </w:p>
        </w:tc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日均10小时、数百杯、零失误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AlphaBrain具身大模型，零样本学习新设备，智魔方舱体模块化部署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银河太空舱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贵州文旅集团合作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未披露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花溪十字街、青岩古镇</w:t>
            </w:r>
          </w:p>
        </w:tc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16㎡太空舱，24小时自主运营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多品类（咖啡/饮品/零食/药品），主动迎宾+多语言交互</w:t>
            </w:r>
          </w:p>
        </w:tc>
      </w:tr>
    </w:tbl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3.3 七维分析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维度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评级</w:t>
            </w:r>
          </w:p>
        </w:tc>
        <w:tc>
          <w:tcPr>
            <w:tcW w:w="708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分析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痛点匹配度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该场景的核心痛点已被现有玩家解决：标准化饮品制作（咖啡/冰淇淋）已实现商业化闭环。ROBOX 的 TacWM 能力可增强的点是：(1) 柔性杯体抓取力控（现有玩家反映纸杯变形是挑战）；(2) 跨品类快速迁移（从咖啡到调酒/小吃等非标准化操作）。但这些是"锦上添花"而非"雪中送炭"——不解决这些痛点，现有玩家也能盈利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技术可行性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咖啡/冰淇淋制作主要是刚性物体操作（按键、接杯、递送），对触觉需求有限。ROBOX 的差异化价值在跨品类扩展时才能体现——操作调酒器、制作小吃等需要精细力控的任务。但跨品类操作的技术成熟度尚需验证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市场规模与付费意愿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影智 XBOT 2026年部署目标3000台，单台21.9万+月度RaaS费用。按全国5万台潜在市场估算，硬件市场超100亿，RaaS年费市场超30亿。客户（商场/景区/文旅集团）付费意愿已被验证——影智单台月营收超6万元，回本6-8个月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竞争强度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已有3+家资金充足、产品成熟、规模部署的玩家。影智XBOT拥有小米系创始人资源+5亿融资+全国食品经营许可证+京东战略合作。智平方已在8省市落地。直接进入此场景意味着与资金更充裕、产品更成熟的对手正面竞争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数据价值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高频真实场景操作数据有价值，但主要是刚性物体操作（按键、接杯），触觉数据含量有限。跨品类扩展时的操作数据更有价值（调酒、小吃制作等），但需要产品迭代到那个阶段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进入范式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P1 中间件插件（推荐）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核心判断：ROBOX 不应自建餐车（P5），而应作为"手眼脑协同增强包"授权给现有玩家（P1）。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推荐路径：向影智XBOT/智平方输出 System 1/0 端侧模型 + TacWM 触觉模块，帮助他们解决：(1) 纸杯变形问题；(2) 跨品类快速迁移能力。按设备数 License 收费，500-2000元/台/年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不推荐 P5 直接竞争的原因：ROBOX 是算法公司，不应进入硬件运营重资产赛道。影智的RaaS模式需要供应链管理、食品经营许可、运维网络——这些不是 ROBOX 的能力范围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落地时间线与收入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3-6月 P1 授权试点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1（3-6月）：与1家餐车机器人公司签署算法授权 POC，验证 TacWM 在纸杯抓取和跨品类迁移上的效果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2（6-12月）：正式 License 协议，按设备数收费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 首年收入预估：100-200万（License 费 + POC 服务费）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注意：此场景应定位为"早期现金流补充"，而非战略主场景</w:t>
            </w:r>
          </w:p>
        </w:tc>
      </w:tr>
    </w:tbl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四、场景三：康复理疗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4.1 场景概述</w:t>
      </w:r>
    </w:p>
    <w:p>
      <w:r>
        <w:rPr>
          <w:rFonts w:hint="eastAsia" w:ascii="Microsoft YaHei" w:hAnsi="Microsoft YaHei" w:eastAsia="Microsoft YaHei"/>
          <w:b w:val="0"/>
          <w:sz w:val="21"/>
        </w:rPr>
        <w:t>利用机器人辅助脑卒中、脊髓损伤、骨科术后等患者的上肢及手部功能康复。核心任务包括：被动关节活动训练、主动抗阻训练、精细动作训练（抓握/捏取/旋转）、触觉感知恢复训练。ROBOX 已有港大康复合作基础。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4.2 市场数据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2268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细分市场</w:t>
            </w:r>
          </w:p>
        </w:tc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当前规模</w:t>
            </w:r>
          </w:p>
        </w:tc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预期规模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ascii="Microsoft YaHei" w:hAnsi="Microsoft YaHei" w:eastAsia="Microsoft YaHei"/>
                <w:b w:val="1"/>
                <w:color w:val="FFFFFF"/>
                <w:sz w:val="18"/>
              </w:rPr>
              <w:t>CAGR</w:t>
            </w:r>
          </w:p>
        </w:tc>
        <w:tc>
          <w:tcPr>
            <w:tcW w:w="3118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关键特征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全球上肢康复机器人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9.2亿美元（2025）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22亿美元（2030预期）</w:t>
            </w:r>
          </w:p>
        </w:tc>
        <w:tc>
          <w:tcPr>
            <w:tcW w:w="85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18%</w:t>
            </w:r>
          </w:p>
        </w:tc>
        <w:tc>
          <w:tcPr>
            <w:tcW w:w="311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中国占22%+份额，增速最快区域之一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全球柔性手功能康复机器人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18.2亿美元（2025）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48.9亿美元（2031预期）</w:t>
            </w:r>
          </w:p>
        </w:tc>
        <w:tc>
          <w:tcPr>
            <w:tcW w:w="85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17.9%</w:t>
            </w:r>
          </w:p>
        </w:tc>
        <w:tc>
          <w:tcPr>
            <w:tcW w:w="311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触觉反馈型是最高份额产品类型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中国上肢康复机器人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14亿元人民币（2025）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35亿元（2030预期）</w:t>
            </w:r>
          </w:p>
        </w:tc>
        <w:tc>
          <w:tcPr>
            <w:tcW w:w="85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~20%</w:t>
            </w:r>
          </w:p>
        </w:tc>
        <w:tc>
          <w:tcPr>
            <w:tcW w:w="311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当前渗透率&lt;3%，2030预期8%</w:t>
            </w:r>
          </w:p>
        </w:tc>
      </w:tr>
      <w:tr>
        <w:trPr/>
        <w:tc>
          <w:tcPr>
            <w:tcW w:w="226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全球智能手功能康复机器人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169.6亿美元（2024）</w:t>
            </w:r>
          </w:p>
        </w:tc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378.3亿美元（2034预期）</w:t>
            </w:r>
          </w:p>
        </w:tc>
        <w:tc>
          <w:tcPr>
            <w:tcW w:w="850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8.3%</w:t>
            </w:r>
          </w:p>
        </w:tc>
        <w:tc>
          <w:tcPr>
            <w:tcW w:w="3118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含触觉反馈型、智能机械臂型、机械臂型</w:t>
            </w:r>
          </w:p>
        </w:tc>
      </w:tr>
    </w:tbl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4.3 竞争格局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141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公司</w:t>
            </w:r>
          </w:p>
        </w:tc>
        <w:tc>
          <w:tcPr>
            <w:tcW w:w="141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产品方向</w:t>
            </w:r>
          </w:p>
        </w:tc>
        <w:tc>
          <w:tcPr>
            <w:tcW w:w="141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市场地位</w:t>
            </w:r>
          </w:p>
        </w:tc>
        <w:tc>
          <w:tcPr>
            <w:tcW w:w="255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核心产品</w:t>
            </w:r>
          </w:p>
        </w:tc>
        <w:tc>
          <w:tcPr>
            <w:tcW w:w="255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渠道优势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Hocoma (瑞士)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外骨骼上肢康复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全球Top 3，高端市场领导者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Armeo系列，多自由度肩肘腕复合运动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已进入中国三甲医院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Bionik (美国)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上肢康复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全球Top 3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InMotion系列，自适应力控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FDA认证，北美市场为主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Myomo (美国)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可穿戴上肢外骨骼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全球Top 3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MyoPro，神经肌肉电刺激+机械辅助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FDA认证，家用场景布局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傅利叶智能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外骨骼+上肢康复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国内头部，已完成多轮融资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ArmMotus系列，力反馈精度0.1N级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国内三甲医院广泛部署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如身机器人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理疗康复机器人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A轮+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"格物"系列已出口欧美，"修身"系列国内数十家门店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社区+居家场景布局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中航创世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康复机器人</w:t>
            </w:r>
          </w:p>
        </w:tc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国资背景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已进入全国26省近500家三甲医院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医院渠道优势突出</w:t>
            </w:r>
          </w:p>
        </w:tc>
      </w:tr>
    </w:tbl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4.4 七维分析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170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维度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评级</w:t>
            </w:r>
          </w:p>
        </w:tc>
        <w:tc>
          <w:tcPr>
            <w:tcW w:w="708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分析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痛点匹配度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核心痛点：(1) 康复治疗师严重不足——中国4.6亿康复需求人群 vs 康复治疗师缺口巨大；(2) 现有康复机器人缺乏精准触觉反馈——力反馈精度0.1N是高端门槛，但现有产品多为位置控制，触觉感知薄弱；(3) 精细动作训练（手指捏取、旋转等）无法被传统设备覆盖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ROBOX 能力匹配：TacWM 是直接差异化——"触觉反馈型康复机器人"已是市场确认的产品品类；System 1/0 的实时自适应力控可实现安全的人机交互；手眼脑协同可覆盖复杂精细动作训练。港大合作已有基础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技术可行性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康复场景的力控需求（0.1N级精度）与 TacWM 的预测性触觉高度匹配。运动轨迹规划、力位混合控制在现有技术范围内。关键挑战：(1) 医疗器械注册证（二类或三类）需10-18个月；(2) 临床有效性验证需合作医院支持；(3) 安全性标准（ISO 13482等）需满足。技术本身可行性高，监管合规是主要时间瓶颈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市场规模与付费意愿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国上肢康复机器人市场14亿元（2025），预计35亿元（2030）。全球市场超90亿美元。医保覆盖已扩展至18个省，报销比例30%-55%。医院端采购单价150-220万元（高端多模态系统），社区/家用端3-8万元。付费方明确：医院采购（设备费）+ 医保报销（治疗费）+ 个人自付（家用设备）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竞争强度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国内已有30家A股上市公司涉足康复机器人，但：(1) 多数产品仍以外骨骼位置控制为主，触觉反馈型产品渗透率仅约40%；(2) 精细手功能康复（捏取/旋转/触觉感知训练）是细分蓝海——现有产品多为肩肘腕大关节训练，手指精细动作训练产品稀缺；(3) ROBOX 的 TacWM 可直接切入"触觉反馈型"这一被市场验证的高份额品类。与傅利叶/中航创世等相比，ROBOX 的差异化在"算法+触觉"而非"硬件+渠道"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数据价值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临床康复数据是全行业最稀缺、最具壁垒的数据类型：(1) 受医疗数据合规约束，竞争对手无法轻易获取；(2) 每个患者的康复进程数据具有独特性，数据网络效应强；(3) 康复数据可直接反哺 TacWM 的力控模型训练——从"医疗级力控"降维到"工业级力控"和"消费级力控"。一旦建立临床数据壁垒，竞争对手无法追赶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进入范式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P2 三方联合（推荐）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推荐路径：ROBOX（算法+触觉） + 港大（临床验证+康复方案） + 康复设备厂商（硬件+渠道）三方联合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合作模式：ROBOX 输出 System 1/0 + TacWM 模块，港大提供临床有效性和康复处方，设备厂商（如如身机器人/康道医疗）提供硬件平台和医院渠道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为何不用 P5：医疗器械需要注册证、临床验证、医院渠道——这些不是 ROBOX 的能力范围。三方联合可分摊监管成本，加速上市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为何不用 P1：医疗场景对算法深度定制需求高，简单的 SDK 授权无法满足临床安全要求</w:t>
            </w:r>
          </w:p>
        </w:tc>
      </w:tr>
      <w:tr>
        <w:trPr/>
        <w:tc>
          <w:tcPr>
            <w:tcW w:w="170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落地时间线与收入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12-18月临床 POC → 24-36月产品注册</w:t>
            </w:r>
          </w:p>
        </w:tc>
        <w:tc>
          <w:tcPr>
            <w:tcW w:w="708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1（12-18月）：与港大合作完成临床 POC，验证 TacWM 在手部精细动作康复中的有效性。投入约300-500万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2（18-36月）：与设备厂商联合申报二类医疗器械注册证，完成临床试验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3（36月+）：产品上市，进入医院渠道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 收入预估：0-100万（POC 阶段无直接收入，但可申报"AI+标杆场景"500万补助和科研课题经费）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中长期收入：单台 License 5-20万/台/年（医疗级溢价）+ 临床数据服务</w:t>
            </w:r>
          </w:p>
        </w:tc>
      </w:tr>
    </w:tbl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五、三场景综合对比与优先级</w:t>
      </w:r>
    </w:p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5.1 综合评分矩阵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rPr/>
        <w:tc>
          <w:tcPr>
            <w:tcW w:w="124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场景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痛点匹配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技术可行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市场规模</w:t>
            </w:r>
          </w:p>
        </w:tc>
        <w:tc>
          <w:tcPr>
            <w:tcW w:w="102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竞争强度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数据价值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进入范式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落地周期</w:t>
            </w:r>
          </w:p>
        </w:tc>
        <w:tc>
          <w:tcPr>
            <w:tcW w:w="73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综合评分</w:t>
            </w:r>
          </w:p>
        </w:tc>
        <w:tc>
          <w:tcPr>
            <w:tcW w:w="850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优先级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低（蓝海）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P5/P2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6-12月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8.0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第一优先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中（细分蓝海）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12-18月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7.5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第二优先</w:t>
            </w:r>
          </w:p>
        </w:tc>
      </w:tr>
      <w:tr>
        <w:trPr/>
        <w:tc>
          <w:tcPr>
            <w:tcW w:w="124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文旅移动餐车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w="102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极高（红海）</w:t>
            </w:r>
          </w:p>
        </w:tc>
        <w:tc>
          <w:tcPr>
            <w:tcW w:w="73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3-6月</w:t>
            </w:r>
          </w:p>
        </w:tc>
        <w:tc>
          <w:tcPr>
            <w:tcW w:w="73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5.5</w:t>
            </w:r>
          </w:p>
        </w:tc>
        <w:tc>
          <w:tcPr>
            <w:tcW w:w="850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第三优先</w:t>
            </w:r>
          </w:p>
        </w:tc>
      </w:tr>
    </w:tbl>
    <w:p>
      <w:pPr>
        <w:pStyle w:val="00000a"/>
      </w:pPr>
      <w:r>
        <w:rPr>
          <w:rFonts w:hint="eastAsia" w:ascii="Microsoft YaHei" w:hAnsi="Microsoft YaHei" w:eastAsia="Microsoft YaHei"/>
          <w:color w:val="1F497D"/>
        </w:rPr>
        <w:t>5.2 优先级判断逻辑</w:t>
      </w:r>
    </w:p>
    <w:p>
      <w:r>
        <w:rPr>
          <w:rFonts w:hint="eastAsia" w:ascii="Microsoft YaHei" w:hAnsi="Microsoft YaHei" w:eastAsia="Microsoft YaHei"/>
          <w:b w:val="1"/>
          <w:sz w:val="21"/>
        </w:rPr>
        <w:t>1. 高铁餐盒装盒 — 第一优先（综合评分 8.0/10）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竞争强度最低：无具身智能公司进入，传统工业机器人无法处理柔性食物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TacWM 差异化最直接：柔性食物抓取是触觉模型的天然应用场景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落地最快：6-12月可完成 POC，无医疗器械监管壁垒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数据飞轮启动价值高：食物操作数据可复用于餐饮、预制菜、家庭场景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收入确定性最高：铁路配餐公司是国企，预算稳定，付费意愿明确</w:t>
      </w:r>
    </w:p>
    <w:p>
      <w:r>
        <w:rPr>
          <w:rFonts w:hint="eastAsia" w:ascii="Microsoft YaHei" w:hAnsi="Microsoft YaHei" w:eastAsia="Microsoft YaHei"/>
          <w:b w:val="1"/>
          <w:sz w:val="21"/>
        </w:rPr>
        <w:t>2. 康复理疗 — 第二优先（综合评分 7.5/10）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战略价值最高：临床数据壁垒一旦建立，竞争对手无法追赶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TacWM 匹配度最高：触觉反馈型康复机器人是被市场验证的产品品类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港大合作基础已有：临床验证通道存在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但落地周期长：医疗器械注册证需18-36月，Phase 1 无直接收入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建议定位为"战略级长期投入"，与高铁场景并行推进</w:t>
      </w:r>
    </w:p>
    <w:p>
      <w:r>
        <w:rPr>
          <w:rFonts w:hint="eastAsia" w:ascii="Microsoft YaHei" w:hAnsi="Microsoft YaHei" w:eastAsia="Microsoft YaHei"/>
          <w:b w:val="1"/>
          <w:sz w:val="21"/>
        </w:rPr>
        <w:t>3. 文旅移动餐车 — 第三优先（综合评分 5.5/10）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竞争红海：影智XBOT（5亿融资+1000台部署）、智平方（8省市）已建立先发优势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ROBOX 不应自建餐车（P5），而应作为算法增强方（P1）切入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价值定位：早期现金流补充，非战略主场景</w:t>
      </w:r>
    </w:p>
    <w:p>
      <w:pPr>
        <w:pStyle w:val="00002c"/>
      </w:pPr>
      <w:r>
        <w:rPr>
          <w:rFonts w:hint="eastAsia" w:ascii="Microsoft YaHei" w:hAnsi="Microsoft YaHei" w:eastAsia="Microsoft YaHei"/>
          <w:sz w:val="20"/>
        </w:rPr>
        <w:t>推荐做法：向1-2家餐车机器人公司授权 System 1/0 + TacWM，验证算法在消费场景的效果</w:t>
      </w:r>
    </w:p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六、三场景并行执行路径</w:t>
      </w:r>
    </w:p>
    <w:p>
      <w:r>
        <w:rPr>
          <w:rFonts w:hint="eastAsia" w:ascii="Microsoft YaHei" w:hAnsi="Microsoft YaHei" w:eastAsia="Microsoft YaHei"/>
          <w:b w:val="0"/>
          <w:sz w:val="21"/>
        </w:rPr>
        <w:t>建议三场景并行推进，但投入比例和节奏不同：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1134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阶段</w:t>
            </w:r>
          </w:p>
        </w:tc>
        <w:tc>
          <w:tcPr>
            <w:tcW w:w="2835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高铁餐盒装盒</w:t>
            </w:r>
          </w:p>
        </w:tc>
        <w:tc>
          <w:tcPr>
            <w:tcW w:w="2835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康复理疗</w:t>
            </w:r>
          </w:p>
        </w:tc>
        <w:tc>
          <w:tcPr>
            <w:tcW w:w="2551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文旅餐车</w:t>
            </w:r>
          </w:p>
        </w:tc>
      </w:tr>
      <w:tr>
        <w:trPr/>
        <w:tc>
          <w:tcPr>
            <w:tcW w:w="1134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（0-6月）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高铁餐盒装盒（主攻）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锁定1个铁路配餐基地POC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验证3-5款菜品自动装盒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投入：200-300万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预期收入：方案设计费100万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康复理疗（启动）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与港大启动临床POC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申报"AI+标杆场景"500万补助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投入：100万（人员+差旅）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预期收入：0（科研经费另计）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文旅餐车（补充）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与1家餐车机器人公司签算法授权POC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验证TacWM纸杯抓取效果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投入：50万（人员）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预期收入：50万（POC服务费）</w:t>
            </w:r>
          </w:p>
        </w:tc>
      </w:tr>
      <w:tr>
        <w:trPr/>
        <w:tc>
          <w:tcPr>
            <w:tcW w:w="1134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Phase 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（6-12月）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高铁餐盒装盒（扩张）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POC基地量产部署4-8台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启动第2-3个基地复制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预期收入：300-500万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康复理疗（深化）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完成临床有效性验证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启动二类医疗器械注册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联合设备厂商定义产品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预期收入：0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文旅餐车（License）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签署正式License协议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按设备数收费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预期收入：100-200万</w:t>
            </w:r>
          </w:p>
        </w:tc>
      </w:tr>
      <w:tr>
        <w:trPr/>
        <w:tc>
          <w:tcPr>
            <w:tcW w:w="1134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Phase 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（12-18月）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高铁餐盒装盒（规模化）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3-5个基地运营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探索预制菜/航空餐扩展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预期收入：800-1500万</w:t>
            </w:r>
          </w:p>
        </w:tc>
        <w:tc>
          <w:tcPr>
            <w:tcW w:w="2835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康复理疗（注册推进）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完成医疗器械注册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启动医院试点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预期收入：100-300万</w:t>
            </w:r>
          </w:p>
        </w:tc>
        <w:tc>
          <w:tcPr>
            <w:tcW w:w="2551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文旅餐车（稳定）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多客户License收费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br w:type="textWrapping"/>
            </w:r>
            <w:r>
              <w:rPr>
                <w:rFonts w:hint="eastAsia" w:ascii="Microsoft YaHei" w:hAnsi="Microsoft YaHei" w:eastAsia="Microsoft YaHei"/>
                <w:b w:val="0"/>
                <w:sz w:val="18"/>
              </w:rPr>
              <w:t>• 预期收入：200-300万</w:t>
            </w:r>
          </w:p>
        </w:tc>
      </w:tr>
    </w:tbl>
    <w:p/>
    <w:p>
      <w:r>
        <w:rPr>
          <w:rFonts w:hint="eastAsia" w:ascii="Microsoft YaHei" w:hAnsi="Microsoft YaHei" w:eastAsia="Microsoft YaHei"/>
          <w:b w:val="1"/>
          <w:sz w:val="21"/>
        </w:rPr>
        <w:t>Phase 1 三场景合计预期收入：150-250万</w:t>
      </w:r>
    </w:p>
    <w:p>
      <w:r>
        <w:rPr>
          <w:rFonts w:hint="eastAsia" w:ascii="Microsoft YaHei" w:hAnsi="Microsoft YaHei" w:eastAsia="Microsoft YaHei"/>
          <w:b w:val="1"/>
          <w:sz w:val="21"/>
        </w:rPr>
        <w:t>Phase 2 三场景合计预期收入：400-700万</w:t>
      </w:r>
    </w:p>
    <w:p>
      <w:r>
        <w:rPr>
          <w:rFonts w:hint="eastAsia" w:ascii="Microsoft YaHei" w:hAnsi="Microsoft YaHei" w:eastAsia="Microsoft YaHei"/>
          <w:b w:val="1"/>
          <w:sz w:val="21"/>
        </w:rPr>
        <w:t>Phase 3 三场景合计预期收入：1100-2100万</w:t>
      </w:r>
    </w:p>
    <w:p/>
    <w:p>
      <w:pPr>
        <w:pStyle w:val="000008"/>
      </w:pPr>
      <w:r>
        <w:rPr>
          <w:rFonts w:hint="eastAsia" w:ascii="Microsoft YaHei" w:hAnsi="Microsoft YaHei" w:eastAsia="Microsoft YaHei"/>
          <w:color w:val="1F497D"/>
        </w:rPr>
        <w:t>七、关键风险与应对</w:t>
      </w:r>
    </w:p>
    <w:tbl>
      <w:tblPr>
        <w:tblStyle w:val="000049"/>
        <w:tblW w:w="0" w:type="auto"/>
        <w:jc w:val="center"/>
        <w:tblLayout w:type="autofit"/>
        <w:tblLook w:firstRow="1" w:lastRow="0" w:firstColumn="1" w:lastColumn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141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场景</w:t>
            </w:r>
          </w:p>
        </w:tc>
        <w:tc>
          <w:tcPr>
            <w:tcW w:w="1984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风险</w:t>
            </w:r>
          </w:p>
        </w:tc>
        <w:tc>
          <w:tcPr>
            <w:tcW w:w="567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等级</w:t>
            </w:r>
          </w:p>
        </w:tc>
        <w:tc>
          <w:tcPr>
            <w:tcW w:w="5669" w:type="dxa"/>
            <w:shd w:val="clear" w:color="auto" w:fill="1F497D"/>
          </w:tcPr>
          <w:p>
            <w:r>
              <w:rPr>
                <w:rFonts w:hint="eastAsia" w:ascii="Microsoft YaHei" w:hAnsi="Microsoft YaHei" w:eastAsia="Microsoft YaHei"/>
                <w:b w:val="1"/>
                <w:color w:val="FFFFFF"/>
                <w:sz w:val="18"/>
              </w:rPr>
              <w:t>应对措施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食品安全事故风险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选用食品级材质末端执行器；POC阶段人工监督+自动装盒并行；建立X光检测后的二次验证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高铁餐盒装盒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菜品多样性导致泛化不足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 聚焦3-5款主力菜品（红烧肉/蔬菜/米饭等标准品）；利用 ViLoS 快速学习新菜品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医疗器械注册周期长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Phase 1 同步启动注册流程；与港大合作可加速临床验证；考虑先拿二类证（周期10-12月）再升三类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康复理疗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临床有效性不达预期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POC阶段设置明确终止条件（3个月无进展则调整方案）；备选方案——从康复评估（非治疗）切入，降低临床要求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文旅餐车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授权方自研算法替代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License协议设最低承诺量+排他期；通过持续模型迭代保持技术领先；TacWM 触觉能力是对方短期无法自研的</w:t>
            </w:r>
          </w:p>
        </w:tc>
      </w:tr>
      <w:tr>
        <w:trPr/>
        <w:tc>
          <w:tcPr>
            <w:tcW w:w="1417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文旅餐车</w:t>
            </w:r>
          </w:p>
        </w:tc>
        <w:tc>
          <w:tcPr>
            <w:tcW w:w="1984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消费场景数据价值有限</w:t>
            </w:r>
          </w:p>
        </w:tc>
        <w:tc>
          <w:tcPr>
            <w:tcW w:w="567" w:type="dxa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w="5669" w:type="dxa"/>
          </w:tcPr>
          <w:p>
            <w:r>
              <w:rPr>
                <w:rFonts w:hint="eastAsia" w:ascii="Microsoft YaHei" w:hAnsi="Microsoft YaHei" w:eastAsia="Microsoft YaHei"/>
                <w:b w:val="0"/>
                <w:sz w:val="18"/>
              </w:rPr>
              <w:t>明确此场景定位为"早期现金流"而非"数据飞轮"；核心数据积累放在高铁和康复场景</w:t>
            </w:r>
          </w:p>
        </w:tc>
      </w:tr>
    </w:tbl>
    <w:p/>
    <w:p>
      <w:pPr>
        <w:jc w:val="center"/>
      </w:pPr>
      <w:r>
        <w:rPr>
          <w:rFonts w:hint="eastAsia" w:ascii="Microsoft YaHei" w:hAnsi="Microsoft YaHei" w:eastAsia="Microsoft YaHei"/>
          <w:color w:val="888780"/>
          <w:sz w:val="16"/>
        </w:rPr>
        <w:t>本分析基于 competitor-analysis skill 七维框架 | 数据来源：WebSearch 2026-08-08 + ROBOX 项目知识库</w:t>
      </w:r>
    </w:p>
    <w:sectPr w:rsidRPr="0006063C" w:rsidR="00FC693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4">
    <w:abstractNumId w:val="3"/>
  </w:num>
  <w:num w:numId="6">
    <w:abstractNumId w:val="2"/>
  </w:num>
  <w:num w:numId="5">
    <w:abstractNumId w:val="5"/>
  </w:num>
  <w:num w:numId="2">
    <w:abstractNumId w:val="1"/>
  </w:num>
  <w:num w:numId="1">
    <w:abstractNumId w:val="4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Emphasis" w:uiPriority="20" w:semiHidden="0" w:unhideWhenUsed="0" w:qFormat="1"/>
    <w:lsdException w:name="Light Shading Accent 3" w:uiPriority="60" w:semiHidden="0" w:unhideWhenUsed="0"/>
    <w:lsdException w:name="Light Grid Accent 1" w:uiPriority="62" w:semiHidden="0" w:unhideWhenUsed="0"/>
    <w:lsdException w:name="Medium Shading 2 Accent 3" w:uiPriority="64" w:semiHidden="0" w:unhideWhenUsed="0"/>
    <w:lsdException w:name="toc 6" w:uiPriority="39"/>
    <w:lsdException w:name="Medium Grid 2 Accent 5" w:uiPriority="68" w:semiHidden="0" w:unhideWhenUsed="0"/>
    <w:lsdException w:name="Light Grid Accent 4" w:uiPriority="62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Dark List Accent 4" w:uiPriority="70" w:semiHidden="0" w:unhideWhenUsed="0"/>
    <w:lsdException w:name="Colorful List Accent 2" w:uiPriority="72" w:semiHidden="0" w:unhideWhenUsed="0"/>
    <w:lsdException w:name="toc 1" w:uiPriority="39"/>
    <w:lsdException w:name="Medium Shading 2 Accent 2" w:uiPriority="64" w:semiHidden="0" w:unhideWhenUsed="0"/>
    <w:lsdException w:name="Colorful List" w:uiPriority="72" w:semiHidden="0" w:unhideWhenUsed="0"/>
    <w:lsdException w:name="heading 5" w:uiPriority="9" w:qFormat="1"/>
    <w:lsdException w:name="Medium Shading 1 Accent 1" w:uiPriority="63" w:semiHidden="0" w:unhideWhenUsed="0"/>
    <w:lsdException w:name="Table Grid" w:uiPriority="59" w:semiHidden="0" w:unhideWhenUsed="0"/>
    <w:lsdException w:name="Colorful Grid Accent 4" w:uiPriority="73" w:semiHidden="0" w:unhideWhenUsed="0"/>
    <w:lsdException w:name="Light Shading Accent 4" w:uiPriority="60" w:semiHidden="0" w:unhideWhenUsed="0"/>
    <w:lsdException w:name="toc 9" w:uiPriority="39"/>
    <w:lsdException w:name="Colorful Grid Accent 2" w:uiPriority="73" w:semiHidden="0" w:unhideWhenUsed="0"/>
    <w:lsdException w:name="Colorful List Accent 5" w:uiPriority="72" w:semiHidden="0" w:unhideWhenUsed="0"/>
    <w:lsdException w:name="Medium Grid 1" w:uiPriority="67" w:semiHidden="0" w:unhideWhenUsed="0"/>
    <w:lsdException w:name="Light Shading Accent 2" w:uiPriority="60" w:semiHidden="0" w:unhideWhenUsed="0"/>
    <w:lsdException w:name="Medium List 1 Accent 4" w:uiPriority="65" w:semiHidden="0" w:unhideWhenUsed="0"/>
    <w:lsdException w:name="Bibliography" w:uiPriority="37"/>
    <w:lsdException w:name="toc 2" w:uiPriority="39"/>
    <w:lsdException w:name="Default Paragraph Font" w:uiPriority="1"/>
    <w:lsdException w:name="Light Grid Accent 2" w:uiPriority="62" w:semiHidden="0" w:unhideWhenUsed="0"/>
    <w:lsdException w:name="Medium Grid 3 Accent 6" w:uiPriority="69" w:semiHidden="0" w:unhideWhenUsed="0"/>
    <w:lsdException w:name="toc 4" w:uiPriority="39"/>
    <w:lsdException w:name="Medium Grid 1 Accent 3" w:uiPriority="67" w:semiHidden="0" w:unhideWhenUsed="0"/>
    <w:lsdException w:name="List Paragraph" w:uiPriority="34" w:semiHidden="0" w:unhideWhenUsed="0" w:qFormat="1"/>
    <w:lsdException w:name="Light Shading Accent 5" w:uiPriority="60" w:semiHidden="0" w:unhideWhenUsed="0"/>
    <w:lsdException w:name="Medium Shading 2 Accent 1" w:uiPriority="64" w:semiHidden="0" w:unhideWhenUsed="0"/>
    <w:lsdException w:name="Light Grid Accent 5" w:uiPriority="62" w:semiHidden="0" w:unhideWhenUsed="0"/>
    <w:lsdException w:name="heading 6" w:uiPriority="9" w:qFormat="1"/>
    <w:lsdException w:name="Medium List 1 Accent 3" w:uiPriority="65" w:semiHidden="0" w:unhideWhenUsed="0"/>
    <w:lsdException w:name="Medium Shading 2 Accent 6" w:uiPriority="64" w:semiHidden="0" w:unhideWhenUsed="0"/>
    <w:lsdException w:name="Medium Shading 1 Accent 6" w:uiPriority="63" w:semiHidden="0" w:unhideWhenUsed="0"/>
    <w:lsdException w:name="Medium Grid 2 Accent 2" w:uiPriority="68" w:semiHidden="0" w:unhideWhenUsed="0"/>
    <w:lsdException w:name="Medium List 1 Accent 1" w:uiPriority="65" w:semiHidden="0" w:unhideWhenUsed="0"/>
    <w:lsdException w:name="Dark List Accent 2" w:uiPriority="70" w:semiHidden="0" w:unhideWhenUsed="0"/>
    <w:lsdException w:name="Light List" w:uiPriority="61" w:semiHidden="0" w:unhideWhenUsed="0"/>
    <w:lsdException w:name="Strong" w:uiPriority="22" w:semiHidden="0" w:unhideWhenUsed="0" w:qFormat="1"/>
    <w:lsdException w:name="Dark List" w:uiPriority="70" w:semiHidden="0" w:unhideWhenUsed="0"/>
    <w:lsdException w:name="Colorful Shading Accent 2" w:uiPriority="71" w:semiHidden="0" w:unhideWhenUsed="0"/>
    <w:lsdException w:name="heading 1" w:uiPriority="9" w:semiHidden="0" w:unhideWhenUsed="0" w:qFormat="1"/>
    <w:lsdException w:name="Colorful List Accent 6" w:uiPriority="72" w:semiHidden="0" w:unhideWhenUsed="0"/>
    <w:lsdException w:name="Book Title" w:uiPriority="33" w:semiHidden="0" w:unhideWhenUsed="0" w:qFormat="1"/>
    <w:lsdException w:name="Medium List 1 Accent 5" w:uiPriority="65" w:semiHidden="0" w:unhideWhenUsed="0"/>
    <w:lsdException w:name="Title" w:uiPriority="10" w:semiHidden="0" w:unhideWhenUsed="0" w:qFormat="1"/>
    <w:lsdException w:name="Subtitle" w:uiPriority="11" w:semiHidden="0" w:unhideWhenUsed="0" w:qFormat="1"/>
    <w:lsdException w:name="Colorful Shading Accent 5" w:uiPriority="71" w:semiHidden="0" w:unhideWhenUsed="0"/>
    <w:lsdException w:name="Light Shading" w:uiPriority="60" w:semiHidden="0" w:unhideWhenUsed="0"/>
    <w:lsdException w:name="Colorful List Accent 1" w:uiPriority="72" w:semiHidden="0" w:unhideWhenUsed="0"/>
    <w:lsdException w:name="Medium Grid 1 Accent 4" w:uiPriority="67" w:semiHidden="0" w:unhideWhenUsed="0"/>
    <w:lsdException w:name="Colorful Grid Accent 6" w:uiPriority="73" w:semiHidden="0" w:unhideWhenUsed="0"/>
    <w:lsdException w:name="Light Shading Accent 6" w:uiPriority="60" w:semiHidden="0" w:unhideWhenUsed="0"/>
    <w:lsdException w:name="Medium Grid 2" w:uiPriority="68" w:semiHidden="0" w:unhideWhenUsed="0"/>
    <w:lsdException w:name="Light Grid" w:uiPriority="62" w:semiHidden="0" w:unhideWhenUsed="0"/>
    <w:lsdException w:name="Colorful Grid Accent 1" w:uiPriority="73" w:semiHidden="0" w:unhideWhenUsed="0"/>
    <w:lsdException w:name="Revision" w:unhideWhenUsed="0"/>
    <w:lsdException w:name="Light List Accent 6" w:uiPriority="61" w:semiHidden="0" w:unhideWhenUsed="0"/>
    <w:lsdException w:name="Light Shading Accent 1" w:uiPriority="60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Medium List 2 Accent 6" w:uiPriority="66" w:semiHidden="0" w:unhideWhenUsed="0"/>
    <w:lsdException w:name="Medium Shading 1" w:uiPriority="63" w:semiHidden="0" w:unhideWhenUsed="0"/>
    <w:lsdException w:name="Dark List Accent 5" w:uiPriority="70" w:semiHidden="0" w:unhideWhenUsed="0"/>
    <w:lsdException w:name="Subtle Emphasis" w:uiPriority="19" w:semiHidden="0" w:unhideWhenUsed="0" w:qFormat="1"/>
    <w:lsdException w:name="Medium List 1 Accent 2" w:uiPriority="65" w:semiHidden="0" w:unhideWhenUsed="0"/>
    <w:lsdException w:name="toc 8" w:uiPriority="39"/>
    <w:lsdException w:name="Light Grid Accent 6" w:uiPriority="62" w:semiHidden="0" w:unhideWhenUsed="0"/>
    <w:lsdException w:name="Medium Grid 2 Accent 1" w:uiPriority="68" w:semiHidden="0" w:unhideWhenUsed="0"/>
    <w:lsdException w:name="Medium Grid 3" w:uiPriority="69" w:semiHidden="0" w:unhideWhenUsed="0"/>
    <w:lsdException w:name="Light List Accent 5" w:uiPriority="61" w:semiHidden="0" w:unhideWhenUsed="0"/>
    <w:lsdException w:name="Medium List 1 Accent 6" w:uiPriority="65" w:semiHidden="0" w:unhideWhenUsed="0"/>
    <w:lsdException w:name="Medium Shading 2 Accent 5" w:uiPriority="64" w:semiHidden="0" w:unhideWhenUsed="0"/>
    <w:lsdException w:name="Medium Grid 3 Accent 1" w:uiPriority="69" w:semiHidden="0" w:unhideWhenUsed="0"/>
    <w:lsdException w:name="toc 3" w:uiPriority="39"/>
    <w:lsdException w:name="Light Grid Accent 3" w:uiPriority="62" w:semiHidden="0" w:unhideWhenUsed="0"/>
    <w:lsdException w:name="Intense Quote" w:uiPriority="30" w:semiHidden="0" w:unhideWhenUsed="0" w:qFormat="1"/>
    <w:lsdException w:name="Medium Shading 1 Accent 2" w:uiPriority="63" w:semiHidden="0" w:unhideWhenUsed="0"/>
    <w:lsdException w:name="Colorful Grid" w:uiPriority="73" w:semiHidden="0" w:unhideWhenUsed="0"/>
    <w:lsdException w:name="Light List Accent 2" w:uiPriority="61" w:semiHidden="0" w:unhideWhenUsed="0"/>
    <w:lsdException w:name="Medium Grid 1 Accent 5" w:uiPriority="67" w:semiHidden="0" w:unhideWhenUsed="0"/>
    <w:lsdException w:name="heading 7" w:uiPriority="9" w:qFormat="1"/>
    <w:lsdException w:name="Medium Grid 2 Accent 4" w:uiPriority="68" w:semiHidden="0" w:unhideWhenUsed="0"/>
    <w:lsdException w:name="Colorful Shading Accent 1" w:uiPriority="71" w:semiHidden="0" w:unhideWhenUsed="0"/>
    <w:lsdException w:name="Medium List 2" w:uiPriority="66" w:semiHidden="0" w:unhideWhenUsed="0"/>
    <w:lsdException w:name="Medium Grid 2 Accent 6" w:uiPriority="68" w:semiHidden="0" w:unhideWhenUsed="0"/>
    <w:lsdException w:name="Colorful Shading Accent 3" w:uiPriority="71" w:semiHidden="0" w:unhideWhenUsed="0"/>
    <w:lsdException w:name="Medium List 2 Accent 2" w:uiPriority="66" w:semiHidden="0" w:unhideWhenUsed="0"/>
    <w:lsdException w:name="Medium Shading 2" w:uiPriority="64" w:semiHidden="0" w:unhideWhenUsed="0"/>
    <w:lsdException w:name="Medium Shading 1 Accent 5" w:uiPriority="63" w:semiHidden="0" w:unhideWhenUsed="0"/>
    <w:lsdException w:name="Medium Shading 1 Accent 3" w:uiPriority="63" w:semiHidden="0" w:unhideWhenUsed="0"/>
    <w:lsdException w:name="heading 8" w:uiPriority="9" w:qFormat="1"/>
    <w:lsdException w:name="Colorful Shading Accent 4" w:uiPriority="71" w:semiHidden="0" w:unhideWhenUsed="0"/>
    <w:lsdException w:name="Medium List 2 Accent 5" w:uiPriority="66" w:semiHidden="0" w:unhideWhenUsed="0"/>
    <w:lsdException w:name="Colorful Grid Accent 5" w:uiPriority="73" w:semiHidden="0" w:unhideWhenUsed="0"/>
    <w:lsdException w:name="Colorful Shading" w:uiPriority="71" w:semiHidden="0" w:unhideWhenUsed="0"/>
    <w:lsdException w:name="Dark List Accent 1" w:uiPriority="70" w:semiHidden="0" w:unhideWhenUsed="0"/>
    <w:lsdException w:name="Medium Grid 3 Accent 5" w:uiPriority="69" w:semiHidden="0" w:unhideWhenUsed="0"/>
    <w:lsdException w:name="heading 3" w:uiPriority="9" w:qFormat="1"/>
    <w:lsdException w:name="Placeholder Text" w:unhideWhenUsed="0"/>
    <w:lsdException w:name="caption" w:uiPriority="35" w:qFormat="1"/>
    <w:lsdException w:name="Medium Grid 1 Accent 1" w:uiPriority="67" w:semiHidden="0" w:unhideWhenUsed="0"/>
    <w:lsdException w:name="Medium Grid 3 Accent 2" w:uiPriority="69" w:semiHidden="0" w:unhideWhenUsed="0"/>
    <w:lsdException w:name="Medium List 2 Accent 3" w:uiPriority="66" w:semiHidden="0" w:unhideWhenUsed="0"/>
    <w:lsdException w:name="Medium Shading 1 Accent 4" w:uiPriority="63" w:semiHidden="0" w:unhideWhenUsed="0"/>
    <w:lsdException w:name="Medium Grid 1 Accent 2" w:uiPriority="67" w:semiHidden="0" w:unhideWhenUsed="0"/>
    <w:lsdException w:name="heading 9" w:uiPriority="9" w:qFormat="1"/>
    <w:lsdException w:name="Intense Emphasis" w:uiPriority="21" w:semiHidden="0" w:unhideWhenUsed="0" w:qFormat="1"/>
    <w:lsdException w:name="Light List Accent 4" w:uiPriority="61" w:semiHidden="0" w:unhideWhenUsed="0"/>
    <w:lsdException w:name="Medium List 2 Accent 4" w:uiPriority="66" w:semiHidden="0" w:unhideWhenUsed="0"/>
    <w:lsdException w:name="Dark List Accent 6" w:uiPriority="70" w:semiHidden="0" w:unhideWhenUsed="0"/>
    <w:lsdException w:name="heading 2" w:uiPriority="9" w:qFormat="1"/>
    <w:lsdException w:name="Medium Grid 3 Accent 4" w:uiPriority="69" w:semiHidden="0" w:unhideWhenUsed="0"/>
    <w:lsdException w:name="Medium List 1" w:uiPriority="65" w:semiHidden="0" w:unhideWhenUsed="0"/>
    <w:lsdException w:name="Medium Shading 2 Accent 4" w:uiPriority="64" w:semiHidden="0" w:unhideWhenUsed="0"/>
    <w:lsdException w:name="TOC Heading" w:uiPriority="39" w:qFormat="1"/>
    <w:lsdException w:name="Medium Grid 1 Accent 6" w:uiPriority="67" w:semiHidden="0" w:unhideWhenUsed="0"/>
    <w:lsdException w:name="heading 4" w:uiPriority="9" w:qFormat="1"/>
    <w:lsdException w:name="toc 5" w:uiPriority="39"/>
    <w:lsdException w:name="Colorful Shading Accent 6" w:uiPriority="71" w:semiHidden="0" w:unhideWhenUsed="0"/>
    <w:lsdException w:name="Medium Grid 2 Accent 3" w:uiPriority="68" w:semiHidden="0" w:unhideWhenUsed="0"/>
    <w:lsdException w:name="Colorful List Accent 3" w:uiPriority="72" w:semiHidden="0" w:unhideWhenUsed="0"/>
    <w:lsdException w:name="toc 7" w:uiPriority="39"/>
    <w:lsdException w:name="Medium Grid 3 Accent 3" w:uiPriority="69" w:semiHidden="0" w:unhideWhenUsed="0"/>
    <w:lsdException w:name="Subtle Reference" w:uiPriority="31" w:semiHidden="0" w:unhideWhenUsed="0" w:qFormat="1"/>
    <w:lsdException w:name="Quote" w:uiPriority="29" w:semiHidden="0" w:unhideWhenUsed="0" w:qFormat="1"/>
    <w:lsdException w:name="Dark List Accent 3" w:uiPriority="70" w:semiHidden="0" w:unhideWhenUsed="0"/>
    <w:lsdException w:name="Light List Accent 3" w:uiPriority="61" w:semiHidden="0" w:unhideWhenUsed="0"/>
    <w:lsdException w:name="Colorful Grid Accent 3" w:uiPriority="73" w:semiHidden="0" w:unhideWhenUsed="0"/>
    <w:lsdException w:name="Intense Reference" w:uiPriority="32" w:semiHidden="0" w:unhideWhenUsed="0" w:qFormat="1"/>
    <w:lsdException w:name="Light List Accent 1" w:uiPriority="61" w:semiHidden="0" w:unhideWhenUsed="0"/>
  </w:latentStyles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numbering" w:styleId="0000cd" w:default="1">
    <w:name w:val="No List"/>
    <w:uiPriority w:val="99"/>
    <w:semiHidden w:val="1"/>
    <w:unhideWhenUsed w:val="1"/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cb" w:default="1">
    <w:name w:val="Default Paragraph Font"/>
    <w:uiPriority w:val="1"/>
    <w:semiHidden w:val="1"/>
    <w:unhideWhenUsed w:val="1"/>
  </w:style>
  <w:style w:type="paragraph" w:styleId="0000b8" w:default="1">
    <w:name w:val="Normal"/>
    <w:qFormat w:val="1"/>
    <w:rsid w:val="00FC693F"/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2026-08-09T15:29:36Z</dcterms:created>
  <dcterms:modified xsi:type="dcterms:W3CDTF">2026-08-09T15:29:36Z</dcterms:modified>
</cp:coreProperties>
</file>