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云康集团场景</w:t>
      </w:r>
    </w:p>
    <w:p>
      <w:bookmarkStart w:id="mt2w21d9oqe4zv5bsht" w:name="mt2w21d9oqe4zv5bsht"/>
      <w:pPr>
        <w:pStyle w:val="dingding-heading2"/>
        <w:spacing w:line="223.99999999999997"/>
      </w:pPr>
      <w:r>
        <w:rPr>
          <w:sz w:val="36"/>
          <w:b w:val="1"/>
        </w:rPr>
        <w:t xml:space="preserve">背景：</w:t>
      </w:r>
      <w:bookmarkEnd w:id="mt2w21d9oqe4zv5bsht"/>
    </w:p>
    <w:p>
      <w:pPr>
        <w:numPr>
          <w:ilvl w:val="0"/>
          <w:numId w:val="1"/>
        </w:numPr>
      </w:pPr>
      <w:r>
        <w:t xml:space="preserve">云康是做检测的集成公司，检测内容包括生化检测（抽血检测肝功能、肾功能等等）、PRC检测（新冠、乙肝等等）、人体组织样品（肿瘤病理）。主要业务形态有两种：</w:t>
      </w:r>
    </w:p>
    <w:p>
      <w:pPr>
        <w:numPr>
          <w:ilvl w:val="1"/>
          <w:numId w:val="1"/>
        </w:numPr>
      </w:pPr>
      <w:r>
        <w:t xml:space="preserve">【检测工厂】：各大小医院讲待检测的样品通过特殊快递送到一个统一的工厂，云康的检验室收到后在工厂检验，提交检测报告</w:t>
      </w:r>
    </w:p>
    <w:p>
      <w:pPr>
        <w:numPr>
          <w:ilvl w:val="2"/>
          <w:numId w:val="1"/>
        </w:numPr>
      </w:pPr>
      <w:r>
        <w:t xml:space="preserve">全国大概200家实验室，每个实验室大概10-20人。我们参观的是全国最大的检测中心，有多个实验室，大概数百人</w:t>
      </w:r>
    </w:p>
    <w:p>
      <w:pPr>
        <w:numPr>
          <w:ilvl w:val="2"/>
          <w:numId w:val="1"/>
        </w:numPr>
      </w:pPr>
      <w:r>
        <w:t xml:space="preserve">所有检验师需要持“</w:t>
      </w:r>
      <w:r>
        <w:rPr>
          <w:sz w:val="24"/>
          <w:color w:val="333333"/>
        </w:rPr>
        <w:t xml:space="preserve">临床医学检验技师（</w:t>
      </w:r>
      <w:r>
        <w:t xml:space="preserve">初级</w:t>
      </w:r>
      <w:r>
        <w:rPr>
          <w:sz w:val="24"/>
          <w:color w:val="333333"/>
        </w:rPr>
        <w:t xml:space="preserve">）</w:t>
      </w:r>
      <w:r>
        <w:t xml:space="preserve">”上岗</w:t>
      </w:r>
    </w:p>
    <w:p>
      <w:pPr>
        <w:numPr>
          <w:ilvl w:val="1"/>
          <w:numId w:val="1"/>
        </w:numPr>
      </w:pPr>
      <w:r>
        <w:t xml:space="preserve">【医联体检验科托管】：运营医联体的检验科</w:t>
      </w:r>
    </w:p>
    <w:p>
      <w:pPr>
        <w:numPr>
          <w:ilvl w:val="0"/>
          <w:numId w:val="1"/>
        </w:numPr>
      </w:pPr>
      <w:r>
        <w:t xml:space="preserve">潜在市场：</w:t>
      </w:r>
    </w:p>
    <w:p>
      <w:pPr>
        <w:numPr>
          <w:ilvl w:val="1"/>
          <w:numId w:val="1"/>
        </w:numPr>
      </w:pPr>
      <w:r>
        <w:t xml:space="preserve">出海：东南亚、非洲</w:t>
      </w:r>
    </w:p>
    <w:p>
      <w:pPr>
        <w:numPr>
          <w:ilvl w:val="1"/>
          <w:numId w:val="1"/>
        </w:numPr>
      </w:pPr>
      <w:r>
        <w:t xml:space="preserve">因为涉及健康，国际组织每年在这上面投入很多金钱，但是仅采购设备。这些区域用不起来设备，培训检验员周期可能长达三年。</w:t>
      </w:r>
    </w:p>
    <w:p>
      <w:pPr>
        <w:ind/>
      </w:pPr>
      <w:r/>
    </w:p>
    <w:p>
      <w:bookmarkStart w:id="mt2w7q4nfw6da6tvfo4" w:name="mt2w7q4nfw6da6tvfo4"/>
      <w:pPr>
        <w:pStyle w:val="dingding-heading1"/>
        <w:ind/>
        <w:spacing w:line="223.99999999999997"/>
      </w:pPr>
      <w:r>
        <w:rPr>
          <w:sz w:val="42"/>
          <w:b w:val="1"/>
        </w:rPr>
        <w:t xml:space="preserve">场景：</w:t>
      </w:r>
      <w:bookmarkEnd w:id="mt2w7q4nfw6da6tvfo4"/>
    </w:p>
    <w:p>
      <w:bookmarkStart w:id="mt2w8mimrj0h7uu5yl" w:name="mt2w8mimrj0h7uu5yl"/>
      <w:pPr>
        <w:pStyle w:val="dingding-heading3"/>
        <w:spacing w:line="223.99999999999997"/>
      </w:pPr>
      <w:r>
        <w:rPr>
          <w:sz w:val="29"/>
          <w:color w:val="2C2C2B"/>
          <w:b w:val="1"/>
          <w:shd w:val="clear" w:color="auto" w:fill="FFF5B8"/>
        </w:rPr>
        <w:t xml:space="preserve">生化检测（规模/量最大）</w:t>
      </w:r>
      <w:bookmarkEnd w:id="mt2w8mimrj0h7uu5yl"/>
    </w:p>
    <w:p>
      <w:bookmarkStart w:id="mt2w8cc7txap784t4je" w:name="mt2w8cc7txap784t4je"/>
      <w:pPr>
        <w:pStyle w:val="dingding-heading5"/>
        <w:numPr>
          <w:ilvl w:val="0"/>
          <w:numId w:val="2"/>
        </w:numPr>
        <w:spacing w:line="223.99999999999997"/>
      </w:pPr>
      <w:r>
        <w:rPr>
          <w:sz w:val="24"/>
          <w:b w:val="1"/>
        </w:rPr>
        <w:t xml:space="preserve">分样</w:t>
      </w:r>
      <w:bookmarkEnd w:id="mt2w8cc7txap784t4je"/>
    </w:p>
    <w:p>
      <w:pPr>
        <w:numPr>
          <w:ilvl w:val="0"/>
          <w:numId w:val="3"/>
        </w:numPr>
      </w:pPr>
      <w:r>
        <w:t xml:space="preserve">样品送至工厂后，需要先对样品分类，送至不同的检验实验室</w:t>
      </w:r>
    </w:p>
    <w:p>
      <w:pPr>
        <w:numPr>
          <w:ilvl w:val="0"/>
          <w:numId w:val="3"/>
        </w:numPr>
      </w:pPr>
      <w:r>
        <w:t xml:space="preserve">主要流程包括：</w:t>
      </w:r>
    </w:p>
    <w:p>
      <w:pPr>
        <w:numPr>
          <w:ilvl w:val="1"/>
          <w:numId w:val="3"/>
        </w:numPr>
      </w:pPr>
      <w:r>
        <w:t xml:space="preserve">人工拆包&amp;贴码&amp;扫码 → 分液（部分）→ </w:t>
      </w:r>
      <w:r>
        <w:rPr>
          <w:color w:val="2C2C2B"/>
          <w:shd w:val="clear" w:color="auto" w:fill="FFF5B8"/>
        </w:rPr>
        <w:t xml:space="preserve">机器分样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3279"/>
        <w:gridCol w:w="4190"/>
        <w:gridCol w:w="3749"/>
      </w:tblGrid>
      <w:tr>
        <w:trPr>
          <w:trHeight w:val="0"/>
        </w:trPr>
        <w:tc>
          <w:tcPr>
            <w:tcW w:w="7470" w:type="dxa"/>
            <w:gridSpan w:val="2"/>
            <w:vAlign w:val="top"/>
          </w:tcPr>
          <w:p>
            <w:pPr>
              <w:jc w:val="center"/>
            </w:pPr>
            <w:r>
              <w:rPr>
                <w:b w:val="1"/>
              </w:rPr>
              <w:t xml:space="preserve">人工拆包</w:t>
            </w:r>
          </w:p>
          <w:p>
            <w:pPr>
              <w:jc w:val="left"/>
            </w:pPr>
            <w:r>
              <w:t xml:space="preserve">样品会打包后送到工厂，需要工作人员拆包，然后扫码录入，便于统一追踪样品</w:t>
            </w:r>
          </w:p>
          <w:p>
            <w:pPr>
              <w:jc w:val="left"/>
            </w:pPr>
            <w:r/>
          </w:p>
          <w:p>
            <w:pPr>
              <w:jc w:val="left"/>
            </w:pPr>
            <w:r>
              <w:t xml:space="preserve">仍需要人做的动作：</w:t>
            </w:r>
          </w:p>
          <w:p>
            <w:pPr>
              <w:numPr>
                <w:ilvl w:val="0"/>
                <w:numId w:val="4"/>
              </w:numPr>
              <w:jc w:val="left"/>
            </w:pPr>
            <w:r>
              <w:t xml:space="preserve">拆包：塑料袋，有的是一袋中很多个（体检机构），有的是一个袋子中只有一管血液</w:t>
            </w:r>
          </w:p>
          <w:p>
            <w:pPr>
              <w:numPr>
                <w:ilvl w:val="0"/>
                <w:numId w:val="4"/>
              </w:numPr>
              <w:jc w:val="left"/>
            </w:pPr>
            <w:r>
              <w:t xml:space="preserve">扫码录入：扫描每个瓶子身上的二维码</w:t>
            </w:r>
          </w:p>
          <w:p>
            <w:pPr>
              <w:numPr>
                <w:ilvl w:val="0"/>
                <w:numId w:val="4"/>
              </w:numPr>
              <w:jc w:val="left"/>
            </w:pPr>
            <w:r>
              <w:t xml:space="preserve">识别不符合通同规格的试管，换管操作</w:t>
            </w:r>
          </w:p>
        </w:tc>
        <w:tc>
          <w:tcPr>
            <w:tcW w:w="3749" w:type="dxa"/>
            <w:vAlign w:val="top"/>
          </w:tcPr>
          <w:p>
            <w:pPr>
              <w:jc w:val="center"/>
            </w:pPr>
            <w:r>
              <w:rPr>
                <w:b w:val="1"/>
              </w:rPr>
              <w:t xml:space="preserve">机器分样</w:t>
            </w:r>
          </w:p>
          <w:p>
            <w:pPr/>
            <w:r>
              <w:t xml:space="preserve">机器识别管子上的条形码，将样品按照检验实验室进行分类</w:t>
            </w:r>
          </w:p>
          <w:p>
            <w:pPr/>
            <w:r/>
          </w:p>
          <w:p>
            <w:pPr/>
            <w:r>
              <w:t xml:space="preserve">仍需要人做的动作：</w:t>
            </w:r>
          </w:p>
          <w:p>
            <w:pPr>
              <w:numPr>
                <w:ilvl w:val="0"/>
                <w:numId w:val="5"/>
              </w:numPr>
            </w:pPr>
            <w:r>
              <w:t xml:space="preserve">将试管架放到机器上</w:t>
            </w:r>
          </w:p>
          <w:p>
            <w:pPr>
              <w:numPr>
                <w:ilvl w:val="0"/>
                <w:numId w:val="5"/>
              </w:numPr>
            </w:pPr>
            <w:r>
              <w:t xml:space="preserve">机器分样完成后，试管装盒送至各实验室</w:t>
            </w:r>
          </w:p>
        </w:tc>
      </w:tr>
      <w:tr>
        <w:trPr>
          <w:trHeight w:val="6945"/>
        </w:trPr>
        <w:tc>
          <w:tcPr>
            <w:tcW w:w="3279" w:type="dxa"/>
          </w:tcPr>
          <w:p>
            <w:hyperlink r:id="rId4">
              <w:r>
                <w:rPr>
                  <w:rStyle w:val="hyperlink"/>
                </w:rPr>
                <w:t xml:space="preserve">请至钉钉文档查看附件《IMG_8960.MOV》。</w:t>
              </w:r>
            </w:hyperlink>
          </w:p>
          <w:p>
            <w:pPr/>
            <w:r/>
          </w:p>
        </w:tc>
        <w:tc>
          <w:tcPr>
            <w:tcW w:w="4190" w:type="dxa"/>
          </w:tcPr>
          <w:p>
            <w:hyperlink r:id="rId5">
              <w:r>
                <w:rPr>
                  <w:rStyle w:val="hyperlink"/>
                </w:rPr>
                <w:t xml:space="preserve">请至钉钉文档查看附件《IMG_8955.MOV》。</w:t>
              </w:r>
            </w:hyperlink>
          </w:p>
          <w:p>
            <w:pPr/>
            <w:r/>
          </w:p>
        </w:tc>
        <w:tc>
          <w:tcPr>
            <w:tcW w:w="3749" w:type="dxa"/>
          </w:tcPr>
          <w:p>
            <w:hyperlink r:id="rId6">
              <w:r>
                <w:rPr>
                  <w:rStyle w:val="hyperlink"/>
                </w:rPr>
                <w:t xml:space="preserve">请至钉钉文档查看附件《IMG_8958.MOV》。</w:t>
              </w:r>
            </w:hyperlink>
          </w:p>
          <w:p>
            <w:pPr/>
            <w:r/>
          </w:p>
        </w:tc>
      </w:tr>
    </w:tbl>
    <w:p>
      <w:bookmarkStart w:id="mt2w9uqunt2ubtigq2" w:name="mt2w9uqunt2ubtigq2"/>
      <w:pPr>
        <w:pStyle w:val="dingding-heading5"/>
        <w:numPr>
          <w:ilvl w:val="0"/>
          <w:numId w:val="2"/>
        </w:numPr>
        <w:spacing w:line="223.99999999999997"/>
      </w:pPr>
      <w:r>
        <w:rPr>
          <w:sz w:val="24"/>
          <w:b w:val="1"/>
        </w:rPr>
        <w:t xml:space="preserve">样品特殊处理</w:t>
      </w:r>
      <w:bookmarkEnd w:id="mt2w9uqunt2ubtigq2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4132"/>
        <w:gridCol w:w="5587"/>
        <w:gridCol w:w="1500"/>
      </w:tblGrid>
      <w:tr>
        <w:trPr>
          <w:trHeight w:val="0"/>
        </w:trPr>
        <w:tc>
          <w:tcPr>
            <w:tcW w:w="4132" w:type="dxa"/>
            <w:vAlign w:val="top"/>
          </w:tcPr>
          <w:p>
            <w:pPr>
              <w:jc w:val="center"/>
            </w:pPr>
            <w:r>
              <w:rPr>
                <w:b w:val="1"/>
              </w:rPr>
              <w:t xml:space="preserve">换管</w:t>
            </w:r>
          </w:p>
          <w:p>
            <w:pPr>
              <w:jc w:val="left"/>
            </w:pPr>
            <w:r>
              <w:t xml:space="preserve">有的是试管非标，不用直接进入检验仪器。有的是一管血液需要做多个检测，需要分液。</w:t>
            </w:r>
          </w:p>
          <w:p>
            <w:pPr>
              <w:jc w:val="center"/>
            </w:pPr>
            <w:r>
              <w:rPr>
                <w:b w:val="1"/>
              </w:rPr>
            </w:r>
          </w:p>
          <w:p>
            <w:pPr>
              <w:jc w:val="left"/>
            </w:pPr>
            <w:r>
              <w:t xml:space="preserve">仍需要人做的动作：</w:t>
            </w:r>
          </w:p>
          <w:p>
            <w:pPr>
              <w:numPr>
                <w:ilvl w:val="0"/>
                <w:numId w:val="6"/>
              </w:numPr>
              <w:jc w:val="left"/>
            </w:pPr>
            <w:r>
              <w:t xml:space="preserve">扫描试管</w:t>
            </w:r>
          </w:p>
          <w:p>
            <w:pPr>
              <w:numPr>
                <w:ilvl w:val="0"/>
                <w:numId w:val="6"/>
              </w:numPr>
              <w:jc w:val="left"/>
            </w:pPr>
            <w:r>
              <w:t xml:space="preserve">将一管血液分入多个试管【非常难，不能洒出污染手套】</w:t>
            </w:r>
          </w:p>
          <w:p>
            <w:pPr>
              <w:numPr>
                <w:ilvl w:val="1"/>
                <w:numId w:val="6"/>
              </w:numPr>
              <w:jc w:val="left"/>
            </w:pPr>
            <w:r>
              <w:t xml:space="preserve">拧开试管、倒入、拧紧试管</w:t>
            </w:r>
          </w:p>
          <w:p>
            <w:pPr>
              <w:numPr>
                <w:ilvl w:val="0"/>
                <w:numId w:val="6"/>
              </w:numPr>
              <w:jc w:val="left"/>
            </w:pPr>
            <w:r>
              <w:t xml:space="preserve">贴码</w:t>
            </w:r>
          </w:p>
        </w:tc>
        <w:tc>
          <w:tcPr>
            <w:tcW w:w="7087" w:type="dxa"/>
            <w:gridSpan w:val="2"/>
            <w:vAlign w:val="top"/>
          </w:tcPr>
          <w:p>
            <w:pPr>
              <w:jc w:val="center"/>
            </w:pPr>
            <w:r>
              <w:rPr>
                <w:b w:val="1"/>
              </w:rPr>
              <w:t xml:space="preserve">样品制备</w:t>
            </w:r>
          </w:p>
          <w:p>
            <w:pPr>
              <w:jc w:val="left"/>
            </w:pPr>
            <w:r>
              <w:t xml:space="preserve">对于一些特殊的实验，需要将血液等注入到特殊的试剂中进行反应、离心处理、烤</w:t>
            </w:r>
          </w:p>
          <w:p>
            <w:pPr>
              <w:jc w:val="left"/>
            </w:pPr>
            <w:r/>
          </w:p>
          <w:p>
            <w:pPr>
              <w:jc w:val="left"/>
            </w:pPr>
            <w:r>
              <w:t xml:space="preserve">仍需要人做的动作：</w:t>
            </w:r>
          </w:p>
          <w:p>
            <w:pPr>
              <w:numPr>
                <w:ilvl w:val="0"/>
                <w:numId w:val="7"/>
              </w:numPr>
              <w:jc w:val="left"/>
            </w:pPr>
            <w:r>
              <w:t xml:space="preserve">用针头吸取试管中的血液，分别注射到不同的试管瓶中</w:t>
            </w:r>
          </w:p>
          <w:p>
            <w:pPr>
              <w:numPr>
                <w:ilvl w:val="0"/>
                <w:numId w:val="7"/>
              </w:numPr>
              <w:jc w:val="left"/>
            </w:pPr>
            <w:r>
              <w:t xml:space="preserve">将试管瓶放入离心机、从离心机去除</w:t>
            </w:r>
          </w:p>
          <w:p>
            <w:pPr>
              <w:numPr>
                <w:ilvl w:val="0"/>
                <w:numId w:val="7"/>
              </w:numPr>
              <w:jc w:val="left"/>
            </w:pPr>
            <w:r>
              <w:t xml:space="preserve">用灯烤？（太复杂，现场讲没听懂）</w:t>
            </w:r>
          </w:p>
        </w:tc>
      </w:tr>
      <w:tr>
        <w:trPr>
          <w:trHeight w:val="6405"/>
        </w:trPr>
        <w:tc>
          <w:tcPr>
            <w:tcW w:w="4132" w:type="dxa"/>
          </w:tcPr>
          <w:p>
            <w:hyperlink r:id="rId7">
              <w:r>
                <w:rPr>
                  <w:rStyle w:val="hyperlink"/>
                </w:rPr>
                <w:t xml:space="preserve">请至钉钉文档查看附件《IMG_8954.MOV》。</w:t>
              </w:r>
            </w:hyperlink>
          </w:p>
        </w:tc>
        <w:tc>
          <w:tcPr>
            <w:tcW w:w="5587" w:type="dxa"/>
          </w:tcPr>
          <w:p>
            <w:hyperlink r:id="rId8">
              <w:r>
                <w:rPr>
                  <w:rStyle w:val="hyperlink"/>
                </w:rPr>
                <w:t xml:space="preserve">请至钉钉文档查看附件《IMG_8967.MOV》。</w:t>
              </w:r>
            </w:hyperlink>
          </w:p>
          <w:p>
            <w:pPr/>
            <w:r/>
          </w:p>
        </w:tc>
        <w:tc>
          <w:tcPr>
            <w:tcW w:w="1500" w:type="dxa"/>
          </w:tcPr>
          <w:p>
            <w:hyperlink r:id="rId9">
              <w:r>
                <w:rPr>
                  <w:rStyle w:val="hyperlink"/>
                </w:rPr>
                <w:t xml:space="preserve">请至钉钉文档查看附件《IMG_8968.MOV》。</w:t>
              </w:r>
            </w:hyperlink>
          </w:p>
        </w:tc>
      </w:tr>
    </w:tbl>
    <w:p>
      <w:bookmarkStart w:id="mt2w8gvcuq5x10ex5f8" w:name="mt2w8gvcuq5x10ex5f8"/>
      <w:pPr>
        <w:pStyle w:val="dingding-heading5"/>
        <w:numPr>
          <w:ilvl w:val="0"/>
          <w:numId w:val="2"/>
        </w:numPr>
        <w:spacing w:line="223.99999999999997"/>
      </w:pPr>
      <w:r>
        <w:rPr>
          <w:sz w:val="24"/>
          <w:b w:val="1"/>
        </w:rPr>
        <w:t xml:space="preserve">检验</w:t>
      </w:r>
      <w:bookmarkEnd w:id="mt2w8gvcuq5x10ex5f8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6195"/>
        <w:gridCol w:w="5024"/>
      </w:tblGrid>
      <w:tr>
        <w:trPr>
          <w:trHeight w:val="0"/>
        </w:trPr>
        <w:tc>
          <w:tcPr>
            <w:tcW w:w="6195" w:type="dxa"/>
            <w:vAlign w:val="top"/>
          </w:tcPr>
          <w:p>
            <w:pPr>
              <w:jc w:val="center"/>
            </w:pPr>
            <w:r>
              <w:rPr>
                <w:b w:val="1"/>
              </w:rPr>
              <w:t xml:space="preserve">贴码</w:t>
            </w:r>
          </w:p>
          <w:p>
            <w:pPr>
              <w:jc w:val="center"/>
            </w:pPr>
            <w:r>
              <w:rPr>
                <w:b w:val="1"/>
              </w:rPr>
            </w:r>
          </w:p>
          <w:p>
            <w:pPr>
              <w:jc w:val="left"/>
            </w:pPr>
            <w:r>
              <w:t xml:space="preserve">仍需要人做的动作：</w:t>
            </w:r>
          </w:p>
          <w:p>
            <w:pPr>
              <w:numPr>
                <w:ilvl w:val="0"/>
                <w:numId w:val="8"/>
              </w:numPr>
              <w:jc w:val="left"/>
            </w:pPr>
            <w:r>
              <w:t xml:space="preserve">贴标签，此处注意不能贴到之前的标签上</w:t>
            </w:r>
          </w:p>
        </w:tc>
        <w:tc>
          <w:tcPr>
            <w:tcW w:w="5024" w:type="dxa"/>
            <w:vAlign w:val="top"/>
          </w:tcPr>
          <w:p>
            <w:pPr>
              <w:jc w:val="center"/>
            </w:pPr>
            <w:r>
              <w:rPr>
                <w:b w:val="1"/>
              </w:rPr>
              <w:t xml:space="preserve">上架</w:t>
            </w:r>
          </w:p>
          <w:p>
            <w:pPr>
              <w:jc w:val="center"/>
            </w:pPr>
            <w:r>
              <w:rPr>
                <w:b w:val="1"/>
              </w:rPr>
            </w:r>
          </w:p>
          <w:p>
            <w:pPr>
              <w:jc w:val="left"/>
            </w:pPr>
            <w:r>
              <w:t xml:space="preserve">仍需要人做的动作：</w:t>
            </w:r>
          </w:p>
          <w:p>
            <w:pPr>
              <w:numPr>
                <w:ilvl w:val="0"/>
                <w:numId w:val="9"/>
              </w:numPr>
              <w:jc w:val="left"/>
            </w:pPr>
            <w:r>
              <w:t xml:space="preserve">把试管装入机器对应的试管架上（不同机器规格不一样）</w:t>
            </w:r>
          </w:p>
          <w:p>
            <w:pPr>
              <w:numPr>
                <w:ilvl w:val="0"/>
                <w:numId w:val="9"/>
              </w:numPr>
              <w:jc w:val="left"/>
            </w:pPr>
            <w:r>
              <w:t xml:space="preserve">将试管架放入机器人内开始检验</w:t>
            </w:r>
          </w:p>
        </w:tc>
      </w:tr>
      <w:tr>
        <w:trPr>
          <w:trHeight w:val="6945"/>
        </w:trPr>
        <w:tc>
          <w:tcPr>
            <w:tcW w:w="6195" w:type="dxa"/>
            <w:vAlign w:val="top"/>
          </w:tcPr>
          <w:p>
            <w:hyperlink r:id="rId10">
              <w:r>
                <w:rPr>
                  <w:rStyle w:val="hyperlink"/>
                </w:rPr>
                <w:t xml:space="preserve">请至钉钉文档查看附件《IMG_8961.MOV》。</w:t>
              </w:r>
            </w:hyperlink>
          </w:p>
          <w:p>
            <w:pPr/>
            <w:r/>
          </w:p>
        </w:tc>
        <w:tc>
          <w:tcPr>
            <w:tcW w:w="5024" w:type="dxa"/>
            <w:vAlign w:val="top"/>
          </w:tcPr>
          <w:p>
            <w:hyperlink r:id="rId11">
              <w:r>
                <w:rPr>
                  <w:rStyle w:val="hyperlink"/>
                </w:rPr>
                <w:t xml:space="preserve">请至钉钉文档查看附件《IMG_8964.MOV》。</w:t>
              </w:r>
            </w:hyperlink>
          </w:p>
          <w:p>
            <w:pPr/>
            <w:r/>
          </w:p>
        </w:tc>
      </w:tr>
    </w:tbl>
    <w:p>
      <w:bookmarkStart w:id="mt2w8x2knzj67k280hi" w:name="mt2w8x2knzj67k280hi"/>
      <w:pPr>
        <w:pStyle w:val="dingding-heading3"/>
        <w:ind/>
        <w:spacing w:line="223.99999999999997"/>
      </w:pPr>
      <w:r>
        <w:rPr>
          <w:sz w:val="29"/>
          <w:b w:val="1"/>
        </w:rPr>
        <w:t xml:space="preserve">PCR检测</w:t>
      </w:r>
      <w:bookmarkEnd w:id="mt2w8x2knzj67k280hi"/>
    </w:p>
    <w:p>
      <w:pPr>
        <w:ind/>
      </w:pPr>
      <w:r>
        <w:rPr>
          <w:b w:val="1"/>
        </w:rPr>
        <w:t xml:space="preserve">现场因为要限制感染，无法靠近。但是因为PCR是一个实验大类了，找了类似的视频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11220"/>
      </w:tblGrid>
      <w:tr>
        <w:trPr>
          <w:trHeight w:val="0"/>
        </w:trPr>
        <w:tc>
          <w:tcPr>
            <w:tcW w:w="11220" w:type="dxa"/>
          </w:tcPr>
          <w:p>
            <w:pPr/>
            <w:r>
              <w:rPr>
                <w:b w:val="1"/>
              </w:rPr>
              <w:t xml:space="preserve">PCR检测</w:t>
            </w:r>
          </w:p>
          <w:p>
            <w:pPr>
              <w:ind/>
            </w:pPr>
            <w:r>
              <w:t xml:space="preserve">检测本质流程就是：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换枪头，擦拭基台防止遗液干扰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用吸液枪吸取液体A上清液放入试管，加另外其他的液体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放入PCR机</w:t>
            </w:r>
          </w:p>
        </w:tc>
      </w:tr>
      <w:tr>
        <w:trPr>
          <w:trHeight w:val="0"/>
        </w:trPr>
        <w:tc>
          <w:tcPr>
            <w:tcW w:w="11220" w:type="dxa"/>
          </w:tcPr>
          <w:p>
            <w:hyperlink r:id="rId12">
              <w:r>
                <w:rPr>
                  <w:rStyle w:val="hyperlink"/>
                </w:rPr>
                <w:t xml:space="preserve">请至钉钉文档查看附件《ScreenRecording_08-21-2026 20-33-12_1.mov》。</w:t>
              </w:r>
            </w:hyperlink>
          </w:p>
        </w:tc>
      </w:tr>
    </w:tbl>
    <w:p>
      <w:pPr>
        <w:ind/>
      </w:pPr>
      <w:r>
        <w:rPr>
          <w:b w:val="1"/>
        </w:rPr>
      </w:r>
    </w:p>
    <w:p>
      <w:bookmarkStart w:id="mt2w97q8gruy9um1cq7" w:name="mt2w97q8gruy9um1cq7"/>
      <w:pPr>
        <w:pStyle w:val="dingding-heading3"/>
        <w:ind/>
        <w:spacing w:line="223.99999999999997"/>
      </w:pPr>
      <w:r>
        <w:rPr>
          <w:sz w:val="29"/>
          <w:b w:val="1"/>
        </w:rPr>
        <w:t xml:space="preserve">人体组织样品</w:t>
      </w:r>
      <w:bookmarkEnd w:id="mt2w97q8gruy9um1cq7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3995"/>
        <w:gridCol w:w="3995"/>
        <w:gridCol w:w="3229"/>
      </w:tblGrid>
      <w:tr>
        <w:trPr>
          <w:trHeight w:val="0"/>
        </w:trPr>
        <w:tc>
          <w:tcPr>
            <w:tcW w:w="3995" w:type="dxa"/>
            <w:vAlign w:val="top"/>
          </w:tcPr>
          <w:p>
            <w:pPr>
              <w:jc w:val="center"/>
            </w:pPr>
            <w:r>
              <w:rPr>
                <w:b w:val="1"/>
              </w:rPr>
              <w:t xml:space="preserve">切样本</w:t>
            </w:r>
          </w:p>
          <w:p>
            <w:pPr>
              <w:jc w:val="center"/>
            </w:pPr>
            <w:r>
              <w:rPr>
                <w:b w:val="1"/>
              </w:rPr>
              <w:t xml:space="preserve">这个工作需要培训3年</w:t>
            </w:r>
          </w:p>
          <w:p>
            <w:pPr>
              <w:jc w:val="center"/>
            </w:pPr>
            <w:r>
              <w:rPr>
                <w:b w:val="1"/>
              </w:rPr>
            </w:r>
          </w:p>
          <w:p>
            <w:pPr>
              <w:jc w:val="left"/>
            </w:pPr>
            <w:r>
              <w:t xml:space="preserve">仍需要人做的动作：</w:t>
            </w:r>
          </w:p>
          <w:p>
            <w:pPr>
              <w:numPr>
                <w:ilvl w:val="0"/>
                <w:numId w:val="11"/>
              </w:numPr>
              <w:jc w:val="left"/>
            </w:pPr>
            <w:r>
              <w:t xml:space="preserve">将加蜡凝固的样本切成毫米级别的拨片</w:t>
            </w:r>
          </w:p>
          <w:p>
            <w:pPr>
              <w:numPr>
                <w:ilvl w:val="0"/>
                <w:numId w:val="11"/>
              </w:numPr>
              <w:jc w:val="left"/>
            </w:pPr>
            <w:r>
              <w:t xml:space="preserve">并通过水平稳无气泡的放到拨片上</w:t>
            </w:r>
          </w:p>
          <w:p>
            <w:pPr>
              <w:ind/>
              <w:jc w:val="left"/>
            </w:pPr>
            <w:r/>
          </w:p>
          <w:p>
            <w:pPr>
              <w:ind/>
              <w:jc w:val="left"/>
            </w:pPr>
            <w:r>
              <w:t xml:space="preserve">失败的影响：</w:t>
            </w:r>
          </w:p>
          <w:p>
            <w:pPr>
              <w:ind/>
              <w:jc w:val="left"/>
            </w:pPr>
            <w:r>
              <w:t xml:space="preserve">因为是肿瘤病理，如果切坏了，没有办法再恢复，也无法再获得</w:t>
            </w:r>
          </w:p>
        </w:tc>
        <w:tc>
          <w:tcPr>
            <w:tcW w:w="3995" w:type="dxa"/>
            <w:vAlign w:val="top"/>
          </w:tcPr>
          <w:p>
            <w:pPr>
              <w:jc w:val="center"/>
            </w:pPr>
            <w:r>
              <w:rPr>
                <w:b w:val="1"/>
              </w:rPr>
              <w:t xml:space="preserve">放入架子，烘干</w:t>
            </w:r>
          </w:p>
          <w:p>
            <w:pPr>
              <w:jc w:val="center"/>
            </w:pPr>
            <w:r>
              <w:rPr>
                <w:b w:val="1"/>
              </w:rPr>
            </w:r>
          </w:p>
          <w:p>
            <w:pPr>
              <w:jc w:val="center"/>
            </w:pPr>
            <w:r>
              <w:rPr>
                <w:b w:val="1"/>
              </w:rPr>
            </w:r>
          </w:p>
          <w:p>
            <w:pPr>
              <w:jc w:val="left"/>
            </w:pPr>
            <w:r>
              <w:t xml:space="preserve">仍需要人做的动作：</w:t>
            </w:r>
          </w:p>
          <w:p>
            <w:pPr>
              <w:numPr>
                <w:ilvl w:val="0"/>
                <w:numId w:val="12"/>
              </w:numPr>
              <w:jc w:val="left"/>
            </w:pPr>
            <w:r>
              <w:t xml:space="preserve">烘烤样本</w:t>
            </w:r>
          </w:p>
        </w:tc>
        <w:tc>
          <w:tcPr>
            <w:tcW w:w="3229" w:type="dxa"/>
            <w:vAlign w:val="top"/>
          </w:tcPr>
          <w:p>
            <w:pPr>
              <w:jc w:val="center"/>
            </w:pPr>
            <w:r>
              <w:rPr>
                <w:b w:val="1"/>
              </w:rPr>
              <w:t xml:space="preserve">染色后收纳</w:t>
            </w:r>
          </w:p>
          <w:p>
            <w:pPr>
              <w:jc w:val="center"/>
            </w:pPr>
            <w:r>
              <w:rPr>
                <w:b w:val="1"/>
              </w:rPr>
              <w:t xml:space="preserve">染色有自动化设备完成</w:t>
            </w:r>
          </w:p>
          <w:p>
            <w:pPr>
              <w:jc w:val="center"/>
            </w:pPr>
            <w:r>
              <w:rPr>
                <w:b w:val="1"/>
              </w:rPr>
            </w:r>
          </w:p>
          <w:p>
            <w:pPr>
              <w:jc w:val="left"/>
            </w:pPr>
            <w:r>
              <w:t xml:space="preserve">仍需要人做的动作</w:t>
            </w:r>
            <w:r>
              <w:rPr>
                <w:b w:val="1"/>
              </w:rPr>
              <w:t xml:space="preserve">：</w:t>
            </w:r>
          </w:p>
          <w:p>
            <w:pPr>
              <w:numPr>
                <w:ilvl w:val="0"/>
                <w:numId w:val="13"/>
              </w:numPr>
              <w:jc w:val="left"/>
            </w:pPr>
            <w:r>
              <w:t xml:space="preserve">将拨片逐一放入收纳盒收纳，法律规定需要收纳20年</w:t>
            </w:r>
          </w:p>
        </w:tc>
      </w:tr>
      <w:tr>
        <w:trPr>
          <w:trHeight w:val="6585"/>
        </w:trPr>
        <w:tc>
          <w:tcPr>
            <w:tcW w:w="3995" w:type="dxa"/>
          </w:tcPr>
          <w:p>
            <w:hyperlink r:id="rId13">
              <w:r>
                <w:rPr>
                  <w:rStyle w:val="hyperlink"/>
                </w:rPr>
                <w:t xml:space="preserve">请至钉钉文档查看附件《IMG_8970.MOV》。</w:t>
              </w:r>
            </w:hyperlink>
          </w:p>
        </w:tc>
        <w:tc>
          <w:tcPr>
            <w:tcW w:w="3995" w:type="dxa"/>
          </w:tcPr>
          <w:p>
            <w:hyperlink r:id="rId14">
              <w:r>
                <w:rPr>
                  <w:rStyle w:val="hyperlink"/>
                </w:rPr>
                <w:t xml:space="preserve">请至钉钉文档查看附件《IMG_8975.MOV》。</w:t>
              </w:r>
            </w:hyperlink>
          </w:p>
        </w:tc>
        <w:tc>
          <w:tcPr>
            <w:tcW w:w="3229" w:type="dxa"/>
          </w:tcPr>
          <w:p>
            <w:hyperlink r:id="rId15">
              <w:r>
                <w:rPr>
                  <w:rStyle w:val="hyperlink"/>
                </w:rPr>
                <w:t xml:space="preserve">请至钉钉文档查看附件《IMG_8973.MOV》。</w:t>
              </w:r>
            </w:hyperlink>
          </w:p>
          <w:p>
            <w:pPr/>
            <w:r/>
          </w:p>
        </w:tc>
      </w:tr>
    </w:tbl>
    <w:p>
      <w:pPr>
        <w:ind/>
      </w:pPr>
      <w:r/>
    </w:p>
    <w:p>
      <w:bookmarkStart w:id="mt2w6abriufj10d7lsi" w:name="mt2w6abriufj10d7lsi"/>
      <w:pPr>
        <w:pStyle w:val="dingding-heading2"/>
        <w:ind/>
        <w:spacing w:line="223.99999999999997"/>
      </w:pPr>
      <w:r>
        <w:rPr>
          <w:sz w:val="36"/>
          <w:b w:val="1"/>
        </w:rPr>
        <w:t xml:space="preserve">常见的生物实验操作：</w:t>
      </w:r>
      <w:bookmarkEnd w:id="mt2w6abriufj10d7lsi"/>
    </w:p>
    <w:p>
      <w:bookmarkStart w:id="mt6wtb0yaao99tj743p" w:name="mt6wtb0yaao99tj743p"/>
      <w:pPr>
        <w:pStyle w:val="dingding-heading3"/>
        <w:spacing w:line="223.99999999999997"/>
      </w:pPr>
      <w:r>
        <w:rPr>
          <w:sz w:val="29"/>
          <w:b w:val="1"/>
        </w:rPr>
        <w:t xml:space="preserve">一、</w:t>
      </w:r>
      <w:r>
        <w:rPr>
          <w:sz w:val="29"/>
          <w:color w:val="000000"/>
        </w:rPr>
        <w:t xml:space="preserve">精准移液操作</w:t>
      </w:r>
      <w:bookmarkEnd w:id="mt6wtb0yaao99tj743p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5610"/>
        <w:gridCol w:w="5610"/>
      </w:tblGrid>
      <w:tr>
        <w:trPr>
          <w:trHeight w:val="0"/>
        </w:trPr>
        <w:tc>
          <w:tcPr>
            <w:tcW w:w="5610" w:type="dxa"/>
            <w:vAlign w:val="top"/>
          </w:tcPr>
          <w:p>
            <w:pPr>
              <w:jc w:val="center"/>
            </w:pPr>
            <w:r>
              <w:rPr>
                <w:b w:val="1"/>
              </w:rPr>
              <w:t xml:space="preserve">动作</w:t>
            </w:r>
          </w:p>
        </w:tc>
        <w:tc>
          <w:tcPr>
            <w:tcW w:w="561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5610" w:type="dxa"/>
          </w:tcPr>
          <w:p>
            <w:pPr>
              <w:numPr>
                <w:ilvl w:val="0"/>
                <w:numId w:val="14"/>
              </w:numPr>
            </w:pPr>
            <w:r>
              <w:t xml:space="preserve">移液枪设置：</w:t>
            </w:r>
          </w:p>
          <w:p>
            <w:pPr>
              <w:numPr>
                <w:ilvl w:val="0"/>
                <w:numId w:val="15"/>
              </w:numPr>
            </w:pPr>
            <w:r>
              <w:rPr>
                <w:sz w:val="24"/>
                <w:color w:val="000000"/>
              </w:rPr>
              <w:t xml:space="preserve">根据需要体积选择合适的移液枪（P10、P200、P1000等）</w:t>
            </w:r>
          </w:p>
          <w:p>
            <w:pPr>
              <w:numPr>
                <w:ilvl w:val="0"/>
                <w:numId w:val="16"/>
              </w:numPr>
            </w:pPr>
            <w:r>
              <w:rPr>
                <w:sz w:val="24"/>
                <w:color w:val="000000"/>
              </w:rPr>
              <w:t xml:space="preserve">转动体积调节旋钮设定目标体积，观察显示窗确认设置正确</w:t>
            </w:r>
          </w:p>
        </w:tc>
        <w:tc>
          <w:tcPr>
            <w:tcW w:w="5610" w:type="dxa"/>
          </w:tcPr>
          <w:p>
            <w:pPr/>
            <w:r/>
            <w:hyperlink r:id="rId16">
              <w:r>
                <w:rPr>
                  <w:rStyle w:val="hyperlink"/>
                </w:rPr>
                <w:t xml:space="preserve">YouTube</w:t>
              </w:r>
            </w:hyperlink>
            <w:r/>
          </w:p>
          <w:p>
            <w:pPr/>
            <w:r/>
            <w:r>
              <w:drawing>
                <wp:inline distT="0" distB="0" distL="0" distR="0">
                  <wp:extent cx="3390900" cy="1912293"/>
                  <wp:effectExtent b="0" l="0" r="0" t="0"/>
                  <wp:docPr id="1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/>
                        </pic:blipFill>
                        <pic:spPr>
                          <a:xfrm rot="0">
                            <a:off x="0" y="0"/>
                            <a:ext cx="3390900" cy="1912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  <w:tr>
        <w:trPr>
          <w:trHeight w:val="0"/>
        </w:trPr>
        <w:tc>
          <w:tcPr>
            <w:tcW w:w="5610" w:type="dxa"/>
          </w:tcPr>
          <w:p>
            <w:pPr>
              <w:numPr>
                <w:ilvl w:val="0"/>
                <w:numId w:val="17"/>
              </w:numPr>
            </w:pPr>
            <w:r>
              <w:t xml:space="preserve">装一次性枪头阶段</w:t>
            </w:r>
          </w:p>
          <w:p>
            <w:pPr>
              <w:numPr>
                <w:ilvl w:val="0"/>
                <w:numId w:val="18"/>
              </w:numPr>
            </w:pPr>
            <w:r>
              <w:rPr>
                <w:color w:val="000000"/>
              </w:rPr>
              <w:t xml:space="preserve">操作移液枪垂直向下按入</w:t>
            </w:r>
          </w:p>
          <w:p>
            <w:pPr>
              <w:ind w:left="480"/>
            </w:pPr>
            <w:r>
              <w:rPr>
                <w:color w:val="000000"/>
              </w:rPr>
              <w:t xml:space="preserve">注意：</w:t>
            </w:r>
          </w:p>
          <w:p>
            <w:pPr>
              <w:numPr>
                <w:ilvl w:val="1"/>
                <w:numId w:val="19"/>
              </w:numPr>
            </w:pPr>
            <w:r>
              <w:rPr>
                <w:color w:val="000000"/>
              </w:rPr>
              <w:t xml:space="preserve">“垂直向下”按入</w:t>
            </w:r>
          </w:p>
          <w:p>
            <w:pPr>
              <w:numPr>
                <w:ilvl w:val="1"/>
                <w:numId w:val="19"/>
              </w:numPr>
            </w:pPr>
            <w:r>
              <w:rPr>
                <w:color w:val="000000"/>
              </w:rPr>
              <w:t xml:space="preserve">避免晃动，或者用力插错位置</w:t>
            </w:r>
          </w:p>
          <w:p>
            <w:pPr>
              <w:numPr>
                <w:ilvl w:val="1"/>
                <w:numId w:val="19"/>
              </w:numPr>
            </w:pPr>
            <w:r>
              <w:rPr>
                <w:color w:val="000000"/>
              </w:rPr>
              <w:t xml:space="preserve">装好后，目视确认完全装好。避免用手导致污染</w:t>
            </w:r>
          </w:p>
        </w:tc>
        <w:tc>
          <w:tcPr>
            <w:tcW w:w="5610" w:type="dxa"/>
          </w:tcPr>
          <w:p>
            <w:pPr/>
            <w:r/>
            <w:r>
              <w:drawing>
                <wp:inline distT="0" distB="0" distL="0" distR="0">
                  <wp:extent cx="3390900" cy="2405510"/>
                  <wp:effectExtent b="0" l="0" r="0" t="0"/>
                  <wp:docPr id="2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/>
                        </pic:blipFill>
                        <pic:spPr>
                          <a:xfrm rot="0">
                            <a:off x="0" y="0"/>
                            <a:ext cx="3390900" cy="2405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  <w:tr>
        <w:trPr>
          <w:trHeight w:val="0"/>
        </w:trPr>
        <w:tc>
          <w:tcPr>
            <w:tcW w:w="5610" w:type="dxa"/>
          </w:tcPr>
          <w:p>
            <w:pPr>
              <w:numPr>
                <w:ilvl w:val="0"/>
                <w:numId w:val="20"/>
              </w:numPr>
            </w:pPr>
            <w:r>
              <w:rPr>
                <w:sz w:val="24"/>
                <w:color w:val="000000"/>
              </w:rPr>
              <w:t xml:space="preserve">预吸液润湿阶段</w:t>
            </w:r>
          </w:p>
          <w:p>
            <w:pPr>
              <w:numPr>
                <w:ilvl w:val="1"/>
                <w:numId w:val="20"/>
              </w:numPr>
            </w:pPr>
            <w:r>
              <w:rPr>
                <w:sz w:val="24"/>
                <w:color w:val="000000"/>
              </w:rPr>
              <w:t xml:space="preserve">左手打开装有A溶液的盖子</w:t>
            </w:r>
          </w:p>
          <w:p>
            <w:pPr>
              <w:numPr>
                <w:ilvl w:val="1"/>
                <w:numId w:val="20"/>
              </w:numPr>
            </w:pPr>
            <w:r>
              <w:rPr>
                <w:sz w:val="24"/>
                <w:color w:val="000000"/>
              </w:rPr>
              <w:t xml:space="preserve">右手用移液枪吸取+释放液体 2-3 次</w:t>
            </w:r>
          </w:p>
          <w:p>
            <w:pPr>
              <w:numPr>
                <w:ilvl w:val="1"/>
                <w:numId w:val="20"/>
              </w:numPr>
            </w:pPr>
            <w:r>
              <w:rPr>
                <w:sz w:val="24"/>
                <w:color w:val="000000"/>
              </w:rPr>
              <w:t xml:space="preserve">原理：干燥的吸头表面在首次接触液体时会吸收少量液体，导致第一次吸取量略少于设定体积。所以为了保证精度增加pre-wetting步骤，即在正式转移样品前，用</w:t>
            </w:r>
          </w:p>
        </w:tc>
        <w:tc>
          <w:tcPr>
            <w:tcW w:w="561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5610" w:type="dxa"/>
          </w:tcPr>
          <w:p>
            <w:pPr>
              <w:numPr>
                <w:ilvl w:val="0"/>
                <w:numId w:val="21"/>
              </w:numPr>
            </w:pPr>
            <w:r>
              <w:t xml:space="preserve">吸取液体</w:t>
            </w:r>
          </w:p>
          <w:p>
            <w:pPr>
              <w:numPr>
                <w:ilvl w:val="0"/>
                <w:numId w:val="22"/>
              </w:numPr>
            </w:pPr>
            <w:r>
              <w:rPr>
                <w:color w:val="000000"/>
              </w:rPr>
              <w:t xml:space="preserve">保持90度时进行吸取</w:t>
            </w:r>
          </w:p>
          <w:p>
            <w:pPr>
              <w:numPr>
                <w:ilvl w:val="0"/>
                <w:numId w:val="22"/>
              </w:numPr>
            </w:pPr>
            <w:r>
              <w:rPr>
                <w:color w:val="000000"/>
              </w:rPr>
              <w:t xml:space="preserve">注意吸取的速度</w:t>
            </w:r>
          </w:p>
          <w:p>
            <w:pPr>
              <w:numPr>
                <w:ilvl w:val="0"/>
                <w:numId w:val="22"/>
              </w:numPr>
            </w:pPr>
            <w:r>
              <w:rPr>
                <w:color w:val="000000"/>
              </w:rPr>
              <w:t xml:space="preserve">吸取后保持1s</w:t>
            </w:r>
          </w:p>
          <w:p>
            <w:pPr>
              <w:numPr>
                <w:ilvl w:val="0"/>
                <w:numId w:val="22"/>
              </w:numPr>
            </w:pPr>
            <w:r>
              <w:rPr>
                <w:color w:val="000000"/>
              </w:rPr>
              <w:t xml:space="preserve">移出吸头时，需要将吸头在试剂管内壁轻轻刮一下，以去除吸头外多余的液体</w:t>
            </w:r>
          </w:p>
          <w:p>
            <w:pPr>
              <w:ind w:left="480"/>
            </w:pPr>
            <w:r>
              <w:rPr>
                <w:color w:val="000000"/>
              </w:rPr>
              <w:t xml:space="preserve">注意：</w:t>
            </w:r>
          </w:p>
          <w:p>
            <w:pPr>
              <w:numPr>
                <w:ilvl w:val="1"/>
                <w:numId w:val="23"/>
              </w:numPr>
            </w:pPr>
            <w:r>
              <w:rPr>
                <w:color w:val="000000"/>
              </w:rPr>
              <w:t xml:space="preserve">移液枪的角度和尖端的浸入深度都会影响移取的准确性</w:t>
            </w:r>
          </w:p>
          <w:p>
            <w:pPr>
              <w:numPr>
                <w:ilvl w:val="2"/>
                <w:numId w:val="23"/>
              </w:numPr>
            </w:pPr>
            <w:r>
              <w:rPr>
                <w:color w:val="000000"/>
              </w:rPr>
              <w:t xml:space="preserve">尖端浸入过深，会导致过量液体遗留到吸头外部，放置液体时会带过去</w:t>
            </w:r>
          </w:p>
          <w:p>
            <w:pPr>
              <w:numPr>
                <w:ilvl w:val="2"/>
                <w:numId w:val="23"/>
              </w:numPr>
            </w:pPr>
            <w:r>
              <w:rPr>
                <w:color w:val="000000"/>
              </w:rPr>
              <w:t xml:space="preserve">浸入过浅会导致吸入气体 - 非常影响实验精度</w:t>
            </w:r>
          </w:p>
          <w:p>
            <w:pPr>
              <w:numPr>
                <w:ilvl w:val="1"/>
                <w:numId w:val="23"/>
              </w:numPr>
            </w:pPr>
            <w:r>
              <w:rPr>
                <w:color w:val="000000"/>
              </w:rPr>
              <w:t xml:space="preserve">粘稠液体的吸取速度需要比稀薄液体慢得多</w:t>
            </w:r>
          </w:p>
          <w:p>
            <w:pPr>
              <w:numPr>
                <w:ilvl w:val="1"/>
                <w:numId w:val="23"/>
              </w:numPr>
            </w:pPr>
            <w:r>
              <w:rPr>
                <w:color w:val="000000"/>
              </w:rPr>
              <w:t xml:space="preserve">吸取结束后目视check：</w:t>
            </w:r>
          </w:p>
          <w:p>
            <w:pPr>
              <w:numPr>
                <w:ilvl w:val="2"/>
                <w:numId w:val="23"/>
              </w:numPr>
            </w:pPr>
            <w:r>
              <w:rPr>
                <w:color w:val="000000"/>
              </w:rPr>
              <w:t xml:space="preserve">液体吸取充足</w:t>
            </w:r>
          </w:p>
          <w:p>
            <w:pPr>
              <w:numPr>
                <w:ilvl w:val="2"/>
                <w:numId w:val="23"/>
              </w:numPr>
            </w:pPr>
            <w:r>
              <w:rPr>
                <w:color w:val="000000"/>
              </w:rPr>
              <w:t xml:space="preserve">无气泡（如果有需要重新吸取）</w:t>
            </w:r>
          </w:p>
          <w:p>
            <w:pPr>
              <w:numPr>
                <w:ilvl w:val="1"/>
                <w:numId w:val="23"/>
              </w:numPr>
            </w:pPr>
            <w:r>
              <w:rPr>
                <w:sz w:val="24"/>
                <w:color w:val="000000"/>
              </w:rPr>
              <w:t xml:space="preserve">移液枪有两个按压点，吸液时，应该只按到第一个停止点（Soft Stop）。第二停止点应该只在分配液体时使用（Hard Stop）。如果将柱塞浸入液体中时按到第二停止点，会吸入过多液体</w:t>
            </w:r>
          </w:p>
          <w:p>
            <w:pPr>
              <w:ind/>
            </w:pPr>
            <w:r/>
          </w:p>
          <w:p>
            <w:pPr>
              <w:ind/>
            </w:pPr>
            <w:r/>
          </w:p>
        </w:tc>
        <w:tc>
          <w:tcPr>
            <w:tcW w:w="5610" w:type="dxa"/>
          </w:tcPr>
          <w:p>
            <w:pPr/>
            <w:r/>
            <w:r>
              <w:drawing>
                <wp:inline distT="0" distB="0" distL="0" distR="0">
                  <wp:extent cx="3390900" cy="2207793"/>
                  <wp:effectExtent b="0" l="0" r="0" t="0"/>
                  <wp:docPr id="3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/>
                        </pic:blipFill>
                        <pic:spPr>
                          <a:xfrm rot="0">
                            <a:off x="0" y="0"/>
                            <a:ext cx="3390900" cy="2207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</w:p>
        </w:tc>
      </w:tr>
      <w:tr>
        <w:trPr>
          <w:trHeight w:val="0"/>
        </w:trPr>
        <w:tc>
          <w:tcPr>
            <w:tcW w:w="5610" w:type="dxa"/>
          </w:tcPr>
          <w:p>
            <w:pPr>
              <w:numPr>
                <w:ilvl w:val="0"/>
                <w:numId w:val="24"/>
              </w:numPr>
            </w:pPr>
            <w:r>
              <w:rPr>
                <w:color w:val="000000"/>
              </w:rPr>
              <w:t xml:space="preserve">转移液体</w:t>
            </w:r>
          </w:p>
          <w:p>
            <w:pPr>
              <w:numPr>
                <w:ilvl w:val="1"/>
                <w:numId w:val="21"/>
              </w:numPr>
            </w:pPr>
            <w:r>
              <w:rPr>
                <w:color w:val="000000"/>
              </w:rPr>
              <w:t xml:space="preserve">离开液体来源容器A，关闭溶液盖子A</w:t>
            </w:r>
          </w:p>
          <w:p>
            <w:pPr>
              <w:numPr>
                <w:ilvl w:val="0"/>
                <w:numId w:val="25"/>
              </w:numPr>
            </w:pPr>
            <w:r>
              <w:rPr>
                <w:color w:val="000000"/>
              </w:rPr>
              <w:t xml:space="preserve">移动到目标容器B，打开溶液盖子B</w:t>
            </w:r>
          </w:p>
          <w:p>
            <w:pPr>
              <w:numPr>
                <w:ilvl w:val="0"/>
                <w:numId w:val="25"/>
              </w:numPr>
            </w:pPr>
            <w:r>
              <w:rPr>
                <w:color w:val="000000"/>
              </w:rPr>
              <w:t xml:space="preserve">握紧移液枪将吸头垂直深入溶液中，不能过深</w:t>
            </w:r>
          </w:p>
          <w:p>
            <w:pPr>
              <w:ind/>
            </w:pPr>
            <w:r>
              <w:rPr>
                <w:color w:val="000000"/>
              </w:rPr>
              <w:t xml:space="preserve">       注意：</w:t>
            </w:r>
          </w:p>
          <w:p>
            <w:pPr>
              <w:numPr>
                <w:ilvl w:val="1"/>
                <w:numId w:val="21"/>
              </w:numPr>
            </w:pPr>
            <w:r>
              <w:rPr>
                <w:color w:val="000000"/>
              </w:rPr>
              <w:t xml:space="preserve">移动过程中，为了避免交叉感染。需要避免吸取液体后快速移动或者悬停。并且尽量每次只打开一个容器瓶</w:t>
            </w:r>
          </w:p>
        </w:tc>
        <w:tc>
          <w:tcPr>
            <w:tcW w:w="561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5610" w:type="dxa"/>
          </w:tcPr>
          <w:p>
            <w:pPr>
              <w:numPr>
                <w:ilvl w:val="0"/>
                <w:numId w:val="26"/>
              </w:numPr>
            </w:pPr>
            <w:r>
              <w:rPr>
                <w:sz w:val="24"/>
                <w:color w:val="000000"/>
              </w:rPr>
              <w:t xml:space="preserve">释放阶段</w:t>
            </w:r>
          </w:p>
          <w:p>
            <w:pPr>
              <w:numPr>
                <w:ilvl w:val="1"/>
                <w:numId w:val="26"/>
              </w:numPr>
            </w:pPr>
            <w:r>
              <w:rPr>
                <w:sz w:val="24"/>
                <w:color w:val="000000"/>
              </w:rPr>
              <w:t xml:space="preserve">吸头末端缓慢靠近容器内壁，吸头与容器内壁成20-45度</w:t>
            </w:r>
          </w:p>
          <w:p>
            <w:pPr>
              <w:numPr>
                <w:ilvl w:val="1"/>
                <w:numId w:val="26"/>
              </w:numPr>
            </w:pPr>
            <w:r>
              <w:rPr>
                <w:sz w:val="24"/>
                <w:color w:val="000000"/>
              </w:rPr>
              <w:t xml:space="preserve">按压至第一个Soft Stop后继续按压直至第二个Hard Stop</w:t>
            </w:r>
          </w:p>
          <w:p>
            <w:pPr>
              <w:numPr>
                <w:ilvl w:val="1"/>
                <w:numId w:val="26"/>
              </w:numPr>
            </w:pPr>
            <w:r>
              <w:rPr>
                <w:sz w:val="24"/>
                <w:color w:val="000000"/>
              </w:rPr>
              <w:t xml:space="preserve">停留1秒确保液体完全释放</w:t>
            </w:r>
          </w:p>
          <w:p>
            <w:pPr>
              <w:numPr>
                <w:ilvl w:val="1"/>
                <w:numId w:val="26"/>
              </w:numPr>
            </w:pPr>
            <w:r>
              <w:rPr>
                <w:sz w:val="24"/>
                <w:color w:val="000000"/>
              </w:rPr>
              <w:t xml:space="preserve">缓慢抬起移液枪</w:t>
            </w:r>
          </w:p>
          <w:p>
            <w:pPr>
              <w:numPr>
                <w:ilvl w:val="1"/>
                <w:numId w:val="26"/>
              </w:numPr>
            </w:pPr>
            <w:r>
              <w:rPr>
                <w:sz w:val="24"/>
                <w:color w:val="000000"/>
              </w:rPr>
              <w:t xml:space="preserve">关闭</w:t>
            </w:r>
            <w:r>
              <w:rPr>
                <w:color w:val="000000"/>
              </w:rPr>
              <w:t xml:space="preserve">容器B盖子</w:t>
            </w:r>
          </w:p>
          <w:p>
            <w:pPr>
              <w:ind/>
            </w:pPr>
            <w:r>
              <w:rPr>
                <w:sz w:val="24"/>
                <w:color w:val="000000"/>
              </w:rPr>
              <w:t xml:space="preserve">        注意：</w:t>
            </w:r>
          </w:p>
          <w:p>
            <w:pPr>
              <w:numPr>
                <w:ilvl w:val="0"/>
                <w:numId w:val="27"/>
              </w:numPr>
            </w:pPr>
            <w:r>
              <w:rPr>
                <w:sz w:val="24"/>
                <w:color w:val="000000"/>
              </w:rPr>
              <w:t xml:space="preserve">如果吸头浸没在液体中按下到第二停止点，则测量将不准确，空气脉冲会进入液体源，而不是排出吸头中的液体。第一个停止点到第二个停止点之间，是额外多了一个空气脉冲排出残留 </w:t>
            </w:r>
            <w:r>
              <w:rPr>
                <w:sz w:val="24"/>
                <w:color w:val="2C2C2B"/>
                <w:b w:val="1"/>
                <w:shd w:val="clear" w:color="auto" w:fill="FFF5B8"/>
              </w:rPr>
              <w:t xml:space="preserve">- 非常需要力反馈</w:t>
            </w:r>
          </w:p>
        </w:tc>
        <w:tc>
          <w:tcPr>
            <w:tcW w:w="5610" w:type="dxa"/>
          </w:tcPr>
          <w:p>
            <w:pPr/>
            <w:r/>
            <w:r>
              <w:drawing>
                <wp:inline distT="0" distB="0" distL="0" distR="0">
                  <wp:extent cx="3390900" cy="1941468"/>
                  <wp:effectExtent b="0" l="0" r="0" t="0"/>
                  <wp:docPr id="4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/>
                        </pic:blipFill>
                        <pic:spPr>
                          <a:xfrm rot="0">
                            <a:off x="0" y="0"/>
                            <a:ext cx="3390900" cy="1941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</w:p>
        </w:tc>
      </w:tr>
      <w:tr>
        <w:trPr>
          <w:trHeight w:val="0"/>
        </w:trPr>
        <w:tc>
          <w:tcPr>
            <w:tcW w:w="5610" w:type="dxa"/>
          </w:tcPr>
          <w:p>
            <w:pPr>
              <w:numPr>
                <w:ilvl w:val="0"/>
                <w:numId w:val="28"/>
              </w:numPr>
            </w:pPr>
            <w:r>
              <w:t xml:space="preserve">废弃阶段</w:t>
            </w:r>
          </w:p>
          <w:p>
            <w:pPr>
              <w:numPr>
                <w:ilvl w:val="1"/>
                <w:numId w:val="28"/>
              </w:numPr>
            </w:pPr>
            <w:r>
              <w:t xml:space="preserve">小心将移液枪移到废液融资上</w:t>
            </w:r>
          </w:p>
          <w:p>
            <w:pPr>
              <w:numPr>
                <w:ilvl w:val="1"/>
                <w:numId w:val="28"/>
              </w:numPr>
            </w:pPr>
            <w:r>
              <w:t xml:space="preserve">用拇指按下吸头弹出杆，将吸头弹出</w:t>
            </w:r>
          </w:p>
          <w:p>
            <w:pPr>
              <w:numPr>
                <w:ilvl w:val="1"/>
                <w:numId w:val="28"/>
              </w:numPr>
            </w:pPr>
            <w:r>
              <w:t xml:space="preserve">将移液枪竖直放置在移液器支架上消毒</w:t>
            </w:r>
          </w:p>
        </w:tc>
        <w:tc>
          <w:tcPr>
            <w:tcW w:w="5610" w:type="dxa"/>
          </w:tcPr>
          <w:p>
            <w:pPr/>
            <w:r/>
            <w:r>
              <w:drawing>
                <wp:inline distT="0" distB="0" distL="0" distR="0">
                  <wp:extent cx="3390900" cy="2398720"/>
                  <wp:effectExtent b="0" l="0" r="0" t="0"/>
                  <wp:docPr id="5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/>
                        </pic:blipFill>
                        <pic:spPr>
                          <a:xfrm rot="0">
                            <a:off x="0" y="0"/>
                            <a:ext cx="3390900" cy="239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</w:tbl>
    <w:p>
      <w:bookmarkStart w:id="mt6xjibgvtxffo9yjsk" w:name="mt6xjibgvtxffo9yjsk"/>
      <w:pPr>
        <w:pStyle w:val="dingding-heading3"/>
        <w:spacing w:line="223.99999999999997"/>
      </w:pPr>
      <w:r>
        <w:rPr>
          <w:sz w:val="29"/>
          <w:color w:val="000000"/>
          <w:b w:val="1"/>
        </w:rPr>
        <w:t xml:space="preserve">二、PCR样品制备</w:t>
      </w:r>
      <w:bookmarkEnd w:id="mt6xjibgvtxffo9yjsk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5617"/>
        <w:gridCol w:w="5602"/>
      </w:tblGrid>
      <w:tr>
        <w:trPr>
          <w:trHeight w:val="0"/>
        </w:trPr>
        <w:tc>
          <w:tcPr>
            <w:tcW w:w="5617" w:type="dxa"/>
            <w:vAlign w:val="top"/>
          </w:tcPr>
          <w:p>
            <w:pPr>
              <w:jc w:val="center"/>
            </w:pPr>
            <w:r>
              <w:rPr>
                <w:b w:val="1"/>
              </w:rPr>
              <w:t xml:space="preserve">动作</w:t>
            </w:r>
          </w:p>
        </w:tc>
        <w:tc>
          <w:tcPr>
            <w:tcW w:w="5602" w:type="dxa"/>
            <w:vAlign w:val="top"/>
          </w:tcPr>
          <w:p>
            <w:pPr/>
            <w:r/>
          </w:p>
        </w:tc>
      </w:tr>
      <w:tr>
        <w:trPr>
          <w:trHeight w:val="0"/>
        </w:trPr>
        <w:tc>
          <w:tcPr>
            <w:tcW w:w="5617" w:type="dxa"/>
            <w:vAlign w:val="top"/>
          </w:tcPr>
          <w:p>
            <w:pPr>
              <w:numPr>
                <w:ilvl w:val="0"/>
                <w:numId w:val="29"/>
              </w:numPr>
            </w:pPr>
            <w:r/>
          </w:p>
        </w:tc>
        <w:tc>
          <w:tcPr>
            <w:tcW w:w="5602" w:type="dxa"/>
            <w:vAlign w:val="top"/>
          </w:tcPr>
          <w:p>
            <w:pPr/>
            <w:r/>
          </w:p>
        </w:tc>
      </w:tr>
    </w:tbl>
    <w:p>
      <w:bookmarkStart w:id="mt74zp75l9rjzhuun78" w:name="mt74zp75l9rjzhuun78"/>
      <w:pPr>
        <w:pStyle w:val="dingding-heading3"/>
        <w:spacing w:line="223.99999999999997"/>
      </w:pPr>
      <w:r>
        <w:rPr>
          <w:sz w:val="29"/>
          <w:b w:val="1"/>
        </w:rPr>
        <w:t xml:space="preserve">三、细菌培养与分离（平板划线）</w:t>
      </w:r>
      <w:bookmarkEnd w:id="mt74zp75l9rjzhuun78"/>
    </w:p>
    <w:p>
      <w:bookmarkStart w:id="mt752q2b1fu0u12n792" w:name="mt752q2b1fu0u12n792"/>
      <w:pPr>
        <w:pStyle w:val="dingding-heading3"/>
        <w:spacing w:line="223.99999999999997"/>
      </w:pPr>
      <w:r>
        <w:rPr>
          <w:sz w:val="29"/>
          <w:color w:val="000000"/>
          <w:b w:val="1"/>
        </w:rPr>
        <w:t xml:space="preserve">四、DNA凝胶电泳</w:t>
      </w:r>
      <w:bookmarkEnd w:id="mt752q2b1fu0u12n792"/>
    </w:p>
    <w:p>
      <w:bookmarkStart w:id="mt752jj8kx4tn9xxnkd" w:name="mt752jj8kx4tn9xxnkd"/>
      <w:pPr>
        <w:pStyle w:val="dingding-heading3"/>
        <w:spacing w:line="223.99999999999997"/>
      </w:pPr>
      <w:r>
        <w:rPr>
          <w:sz w:val="29"/>
          <w:color w:val="000000"/>
          <w:b w:val="1"/>
        </w:rPr>
        <w:t xml:space="preserve">五、ELISA检测</w:t>
      </w:r>
      <w:bookmarkEnd w:id="mt752jj8kx4tn9xxnkd"/>
    </w:p>
    <w:p>
      <w:pPr/>
      <w:r/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6" w15:restartNumberingAfterBreak="0">
    <w:lvl w:ilvl="0">
      <w:start w:val="1"/>
      <w:numFmt w:val="bullet"/>
      <w:lvlText w:val="●"/>
      <w:lvlJc w:val="left"/>
      <w:pPr>
        <w:ind w:left="900" w:hanging="420"/>
      </w:pPr>
      <w:rPr/>
    </w:lvl>
  </w:abstractNum>
  <w:abstractNum w:abstractNumId="1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  <w:lvl w:ilvl="2">
      <w:start w:val="1"/>
      <w:numFmt w:val="bullet"/>
      <w:lvlText w:val="■"/>
      <w:lvlJc w:val="left"/>
      <w:pPr>
        <w:ind w:left="1260" w:hanging="420"/>
      </w:pPr>
      <w:rPr/>
    </w:lvl>
  </w:abstractNum>
  <w:abstractNum w:abstractNumId="27" w15:restartNumberingAfterBreak="0">
    <w:lvl w:ilvl="0">
      <w:start w:val="7"/>
      <w:numFmt w:val="decimal"/>
      <w:lvlText w:val="%1."/>
      <w:lvlJc w:val="left"/>
      <w:pPr>
        <w:ind w:left="420" w:hanging="420"/>
      </w:pPr>
      <w:rPr/>
    </w:lvl>
    <w:lvl w:ilvl="1">
      <w:start w:val="1"/>
      <w:numFmt w:val="lowerLetter"/>
      <w:lvlText w:val="%2."/>
      <w:lvlJc w:val="left"/>
      <w:pPr>
        <w:ind w:left="840" w:hanging="420"/>
      </w:pPr>
      <w:rPr/>
    </w:lvl>
  </w:abstractNum>
  <w:abstractNum w:abstractNumId="25" w15:restartNumberingAfterBreak="0">
    <w:lvl w:ilvl="0">
      <w:start w:val="6"/>
      <w:numFmt w:val="decimal"/>
      <w:lvlText w:val="%1."/>
      <w:lvlJc w:val="left"/>
      <w:pPr>
        <w:ind w:left="420" w:hanging="420"/>
      </w:pPr>
      <w:rPr/>
    </w:lvl>
    <w:lvl w:ilvl="1">
      <w:start w:val="1"/>
      <w:numFmt w:val="lowerLetter"/>
      <w:lvlText w:val="%2."/>
      <w:lvlJc w:val="left"/>
      <w:pPr>
        <w:ind w:left="84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1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2" w15:restartNumberingAfterBreak="0">
    <w:lvl w:ilvl="1">
      <w:start w:val="1"/>
      <w:numFmt w:val="bullet"/>
      <w:lvlText w:val="○"/>
      <w:lvlJc w:val="left"/>
      <w:pPr>
        <w:ind w:left="840" w:hanging="420"/>
      </w:pPr>
      <w:rPr/>
    </w:lvl>
    <w:lvl w:ilvl="2">
      <w:start w:val="1"/>
      <w:numFmt w:val="bullet"/>
      <w:lvlText w:val="■"/>
      <w:lvlJc w:val="left"/>
      <w:pPr>
        <w:ind w:left="1260" w:hanging="420"/>
      </w:pPr>
      <w:rPr/>
    </w:lvl>
  </w:abstractNum>
  <w:abstractNum w:abstractNumId="21" w15:restartNumberingAfterBreak="0">
    <w:lvl w:ilvl="0">
      <w:start w:val="1"/>
      <w:numFmt w:val="bullet"/>
      <w:lvlText w:val="●"/>
      <w:lvlJc w:val="left"/>
      <w:pPr>
        <w:ind w:left="900" w:hanging="420"/>
      </w:pPr>
      <w:rPr/>
    </w:lvl>
  </w:abstractNum>
  <w:abstractNum w:abstractNumId="17" w15:restartNumberingAfterBreak="0">
    <w:lvl w:ilvl="0">
      <w:start w:val="1"/>
      <w:numFmt w:val="bullet"/>
      <w:lvlText w:val="●"/>
      <w:lvlJc w:val="left"/>
      <w:pPr>
        <w:ind w:left="90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13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8" w15:restartNumberingAfterBreak="0"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28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6" w15:restartNumberingAfterBreak="0">
    <w:lvl w:ilvl="0">
      <w:start w:val="2"/>
      <w:numFmt w:val="decimal"/>
      <w:lvlText w:val="%1."/>
      <w:lvlJc w:val="left"/>
      <w:pPr>
        <w:ind w:left="420" w:hanging="420"/>
      </w:pPr>
      <w:rPr/>
    </w:lvl>
  </w:abstractNum>
  <w:abstractNum w:abstractNumId="1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4" w15:restartNumberingAfterBreak="0">
    <w:lvl w:ilvl="0">
      <w:start w:val="1"/>
      <w:numFmt w:val="bullet"/>
      <w:lvlText w:val="●"/>
      <w:lvlJc w:val="left"/>
      <w:pPr>
        <w:ind w:left="90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0" w15:restartNumberingAfterBreak="0">
    <w:lvl w:ilvl="0">
      <w:start w:val="4"/>
      <w:numFmt w:val="decimal"/>
      <w:lvlText w:val="%1.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23" w15:restartNumberingAfterBreak="0">
    <w:lvl w:ilvl="0">
      <w:start w:val="5"/>
      <w:numFmt w:val="decimal"/>
      <w:lvlText w:val="%1.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decimal"/>
      <w:lvlText w:val="%1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5" w15:restartNumberingAfterBreak="0">
    <w:lvl w:ilvl="0">
      <w:start w:val="1"/>
      <w:numFmt w:val="bullet"/>
      <w:lvlText w:val="●"/>
      <w:lvlJc w:val="left"/>
      <w:pPr>
        <w:ind w:left="900" w:hanging="420"/>
      </w:pPr>
      <w:rPr/>
    </w:lvl>
  </w:abstractNum>
  <w:abstractNum w:abstractNumId="19" w15:restartNumberingAfterBreak="0">
    <w:lvl w:ilvl="0">
      <w:start w:val="3"/>
      <w:numFmt w:val="decimal"/>
      <w:lvlText w:val="%1."/>
      <w:lvlJc w:val="left"/>
      <w:pPr>
        <w:ind w:left="420" w:hanging="420"/>
      </w:pPr>
      <w:rPr/>
    </w:lvl>
    <w:lvl w:ilvl="1">
      <w:start w:val="1"/>
      <w:numFmt w:val="lowerLetter"/>
      <w:lvlText w:val="%2."/>
      <w:lvlJc w:val="left"/>
      <w:pPr>
        <w:ind w:left="840" w:hanging="420"/>
      </w:pPr>
      <w:rPr/>
    </w:lvl>
  </w:abstractNum>
  <w:abstractNum w:abstractNumId="24" w15:restartNumberingAfterBreak="0">
    <w:lvl w:ilvl="0">
      <w:start w:val="1"/>
      <w:numFmt w:val="bullet"/>
      <w:lvlText w:val="●"/>
      <w:lvlJc w:val="left"/>
      <w:pPr>
        <w:ind w:left="90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16">
    <w:abstractNumId w:val="15"/>
  </w:num>
  <w:num w:numId="28">
    <w:abstractNumId w:val="27"/>
  </w:num>
  <w:num w:numId="14">
    <w:abstractNumId w:val="13"/>
  </w:num>
  <w:num w:numId="5">
    <w:abstractNumId w:val="4"/>
  </w:num>
  <w:num w:numId="10">
    <w:abstractNumId w:val="9"/>
  </w:num>
  <w:num w:numId="26">
    <w:abstractNumId w:val="25"/>
  </w:num>
  <w:num w:numId="29">
    <w:abstractNumId w:val="28"/>
  </w:num>
  <w:num w:numId="24">
    <w:abstractNumId w:val="23"/>
  </w:num>
  <w:num w:numId="17">
    <w:abstractNumId w:val="16"/>
  </w:num>
  <w:num w:numId="13">
    <w:abstractNumId w:val="12"/>
  </w:num>
  <w:num w:numId="15">
    <w:abstractNumId w:val="14"/>
  </w:num>
  <w:num w:numId="20">
    <w:abstractNumId w:val="19"/>
  </w:num>
  <w:num w:numId="6">
    <w:abstractNumId w:val="5"/>
  </w:num>
  <w:num w:numId="27">
    <w:abstractNumId w:val="26"/>
  </w:num>
  <w:num w:numId="2">
    <w:abstractNumId w:val="1"/>
  </w:num>
  <w:num w:numId="23">
    <w:abstractNumId w:val="22"/>
  </w:num>
  <w:num w:numId="25">
    <w:abstractNumId w:val="24"/>
  </w:num>
  <w:num w:numId="22">
    <w:abstractNumId w:val="21"/>
  </w:num>
  <w:num w:numId="11">
    <w:abstractNumId w:val="10"/>
  </w:num>
  <w:num w:numId="4">
    <w:abstractNumId w:val="3"/>
  </w:num>
  <w:num w:numId="1">
    <w:abstractNumId w:val="0"/>
  </w:num>
  <w:num w:numId="3">
    <w:abstractNumId w:val="2"/>
  </w:num>
  <w:num w:numId="19">
    <w:abstractNumId w:val="18"/>
  </w:num>
  <w:num w:numId="9">
    <w:abstractNumId w:val="8"/>
  </w:num>
  <w:num w:numId="18">
    <w:abstractNumId w:val="17"/>
  </w:num>
  <w:num w:numId="21">
    <w:abstractNumId w:val="20"/>
  </w:num>
  <w:num w:numId="12">
    <w:abstractNumId w:val="11"/>
  </w:num>
  <w:num w:numId="8">
    <w:abstractNumId w:val="7"/>
  </w:num>
  <w:num w:numId="7">
    <w:abstractNumId w:val="6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-heading5">
    <w:name w:val="heading 5"/>
    <w:basedOn w:val="NormalParagraph"/>
    <w:tcPr/>
    <w:pPr>
      <w:keepLines w:val="1"/>
      <w:keepNext w:val="1"/>
      <w:spacing w:before="348" w:after="130" w:lineRule="auto"/>
    </w:pPr>
    <w:rPr>
      <w:sz w:val="10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alidocs.dingtalk.com/i/nodes/vNG4YZ7JnP2R79YDsAa20lmAW2LD0oRE?cid=75632923848&amp;corpId=dingb8ae8b502e2f69e7acaaa37764f94726&amp;doc_type=wiki_doc&amp;iframeQuery=anchorId%3DX02mt2wcxksu7a5lj6xrnj&amp;utm_medium=im_card&amp;utm_scene=person_space&amp;utm_source=im" TargetMode="External" />
  <Relationship Id="rId5" Type="http://schemas.openxmlformats.org/officeDocument/2006/relationships/hyperlink" Target="https://alidocs.dingtalk.com/i/nodes/vNG4YZ7JnP2R79YDsAa20lmAW2LD0oRE?cid=75632923848&amp;corpId=dingb8ae8b502e2f69e7acaaa37764f94726&amp;doc_type=wiki_doc&amp;iframeQuery=anchorId%3DX02mt2wd4bb7fyn8bg3y9m&amp;utm_medium=im_card&amp;utm_scene=person_space&amp;utm_source=im" TargetMode="External" />
  <Relationship Id="rId6" Type="http://schemas.openxmlformats.org/officeDocument/2006/relationships/hyperlink" Target="https://alidocs.dingtalk.com/i/nodes/vNG4YZ7JnP2R79YDsAa20lmAW2LD0oRE?cid=75632923848&amp;corpId=dingb8ae8b502e2f69e7acaaa37764f94726&amp;doc_type=wiki_doc&amp;iframeQuery=anchorId%3DX02mt2wddihjlgsj6xd7yn&amp;utm_medium=im_card&amp;utm_scene=person_space&amp;utm_source=im" TargetMode="External" />
  <Relationship Id="rId7" Type="http://schemas.openxmlformats.org/officeDocument/2006/relationships/hyperlink" Target="https://alidocs.dingtalk.com/i/nodes/vNG4YZ7JnP2R79YDsAa20lmAW2LD0oRE?cid=75632923848&amp;corpId=dingb8ae8b502e2f69e7acaaa37764f94726&amp;doc_type=wiki_doc&amp;iframeQuery=anchorId%3DX02mt2wpocykm49hpnhgxo&amp;utm_medium=im_card&amp;utm_scene=person_space&amp;utm_source=im" TargetMode="External" />
  <Relationship Id="rId8" Type="http://schemas.openxmlformats.org/officeDocument/2006/relationships/hyperlink" Target="https://alidocs.dingtalk.com/i/nodes/vNG4YZ7JnP2R79YDsAa20lmAW2LD0oRE?cid=75632923848&amp;corpId=dingb8ae8b502e2f69e7acaaa37764f94726&amp;doc_type=wiki_doc&amp;iframeQuery=anchorId%3DX02mt2wpyqyp93yv3v504c&amp;utm_medium=im_card&amp;utm_scene=person_space&amp;utm_source=im" TargetMode="External" />
  <Relationship Id="rId9" Type="http://schemas.openxmlformats.org/officeDocument/2006/relationships/hyperlink" Target="https://alidocs.dingtalk.com/i/nodes/vNG4YZ7JnP2R79YDsAa20lmAW2LD0oRE?cid=75632923848&amp;corpId=dingb8ae8b502e2f69e7acaaa37764f94726&amp;doc_type=wiki_doc&amp;iframeQuery=anchorId%3DX02mt2wwjqi3zu7uzow6m1&amp;utm_medium=im_card&amp;utm_scene=person_space&amp;utm_source=im" TargetMode="External" />
  <Relationship Id="rId10" Type="http://schemas.openxmlformats.org/officeDocument/2006/relationships/hyperlink" Target="https://alidocs.dingtalk.com/i/nodes/vNG4YZ7JnP2R79YDsAa20lmAW2LD0oRE?cid=75632923848&amp;corpId=dingb8ae8b502e2f69e7acaaa37764f94726&amp;doc_type=wiki_doc&amp;iframeQuery=anchorId%3DX02mt2wy1sfa3jusbotca7&amp;utm_medium=im_card&amp;utm_scene=person_space&amp;utm_source=im" TargetMode="External" />
  <Relationship Id="rId11" Type="http://schemas.openxmlformats.org/officeDocument/2006/relationships/hyperlink" Target="https://alidocs.dingtalk.com/i/nodes/vNG4YZ7JnP2R79YDsAa20lmAW2LD0oRE?cid=75632923848&amp;corpId=dingb8ae8b502e2f69e7acaaa37764f94726&amp;doc_type=wiki_doc&amp;iframeQuery=anchorId%3DX02mt2wypm2aa8xpdtbie8&amp;utm_medium=im_card&amp;utm_scene=person_space&amp;utm_source=im" TargetMode="External" />
  <Relationship Id="rId12" Type="http://schemas.openxmlformats.org/officeDocument/2006/relationships/hyperlink" Target="https://alidocs.dingtalk.com/i/nodes/vNG4YZ7JnP2R79YDsAa20lmAW2LD0oRE?cid=75632923848&amp;corpId=dingb8ae8b502e2f69e7acaaa37764f94726&amp;doc_type=wiki_doc&amp;iframeQuery=anchorId%3DX02mt2xvan10skz1zd42sjd&amp;utm_medium=im_card&amp;utm_scene=person_space&amp;utm_source=im" TargetMode="External" />
  <Relationship Id="rId13" Type="http://schemas.openxmlformats.org/officeDocument/2006/relationships/hyperlink" Target="https://alidocs.dingtalk.com/i/nodes/vNG4YZ7JnP2R79YDsAa20lmAW2LD0oRE?cid=75632923848&amp;corpId=dingb8ae8b502e2f69e7acaaa37764f94726&amp;doc_type=wiki_doc&amp;iframeQuery=anchorId%3DX02mt2wzex0vf6m2jxcas&amp;utm_medium=im_card&amp;utm_scene=person_space&amp;utm_source=im" TargetMode="External" />
  <Relationship Id="rId14" Type="http://schemas.openxmlformats.org/officeDocument/2006/relationships/hyperlink" Target="https://alidocs.dingtalk.com/i/nodes/vNG4YZ7JnP2R79YDsAa20lmAW2LD0oRE?cid=75632923848&amp;corpId=dingb8ae8b502e2f69e7acaaa37764f94726&amp;doc_type=wiki_doc&amp;iframeQuery=anchorId%3DX02mt2x02mjps4qhvpolvb&amp;utm_medium=im_card&amp;utm_scene=person_space&amp;utm_source=im" TargetMode="External" />
  <Relationship Id="rId15" Type="http://schemas.openxmlformats.org/officeDocument/2006/relationships/hyperlink" Target="https://alidocs.dingtalk.com/i/nodes/vNG4YZ7JnP2R79YDsAa20lmAW2LD0oRE?cid=75632923848&amp;corpId=dingb8ae8b502e2f69e7acaaa37764f94726&amp;doc_type=wiki_doc&amp;iframeQuery=anchorId%3DX02mt2wzq8a0ovarnzfgnmk&amp;utm_medium=im_card&amp;utm_scene=person_space&amp;utm_source=im" TargetMode="External" />
  <Relationship Id="rId16" Type="http://schemas.openxmlformats.org/officeDocument/2006/relationships/hyperlink" Target="https://www.youtube.com/embed/eEGZWNF9voY&amp;t=265s" TargetMode="External" />
  <Relationship Id="rId17" Type="http://schemas.openxmlformats.org/officeDocument/2006/relationships/image" Target="media/image1.png" />
  <Relationship Id="rId18" Type="http://schemas.openxmlformats.org/officeDocument/2006/relationships/image" Target="media/image2.png" />
  <Relationship Id="rId19" Type="http://schemas.openxmlformats.org/officeDocument/2006/relationships/image" Target="media/image3.png" />
  <Relationship Id="rId20" Type="http://schemas.openxmlformats.org/officeDocument/2006/relationships/image" Target="media/image4.png" />
  <Relationship Id="rId21" Type="http://schemas.openxmlformats.org/officeDocument/2006/relationships/image" Target="media/image5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