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14BD07">
      <w:pPr>
        <w:spacing w:before="240" w:after="320"/>
        <w:jc w:val="center"/>
      </w:pPr>
      <w:r>
        <w:rPr>
          <w:rFonts w:ascii="黑体" w:hAnsi="黑体" w:eastAsia="黑体"/>
          <w:b/>
          <w:color w:val="1A2A5E"/>
          <w:sz w:val="40"/>
        </w:rPr>
        <w:t>实验室检测场景灵巧手训练</w:t>
      </w:r>
      <w:r>
        <w:rPr>
          <w:rFonts w:ascii="黑体" w:hAnsi="黑体" w:eastAsia="黑体"/>
          <w:b/>
          <w:color w:val="1A2A5E"/>
          <w:sz w:val="40"/>
        </w:rPr>
        <w:br w:type="textWrapping"/>
      </w:r>
      <w:r>
        <w:rPr>
          <w:rFonts w:ascii="黑体" w:hAnsi="黑体" w:eastAsia="黑体"/>
          <w:b/>
          <w:color w:val="1A2A5E"/>
          <w:sz w:val="40"/>
        </w:rPr>
        <w:t>三方合作协议</w:t>
      </w:r>
    </w:p>
    <w:p w14:paraId="139CC047">
      <w:pPr>
        <w:spacing w:after="80"/>
        <w:jc w:val="left"/>
      </w:pPr>
      <w:r>
        <w:rPr>
          <w:rFonts w:ascii="宋体" w:hAnsi="宋体" w:eastAsia="宋体"/>
          <w:b/>
          <w:sz w:val="24"/>
        </w:rPr>
        <w:t>甲方：Pasontech HK Limited</w:t>
      </w:r>
    </w:p>
    <w:p w14:paraId="446EAF3E">
      <w:pPr>
        <w:spacing w:after="80"/>
        <w:jc w:val="left"/>
      </w:pPr>
      <w:r>
        <w:rPr>
          <w:rFonts w:ascii="宋体" w:hAnsi="宋体" w:eastAsia="宋体"/>
          <w:b/>
          <w:sz w:val="24"/>
        </w:rPr>
        <w:t>乙方：睦灵科技（杭州）有限公司</w:t>
      </w:r>
    </w:p>
    <w:p w14:paraId="52722711">
      <w:pPr>
        <w:spacing w:after="80"/>
        <w:jc w:val="left"/>
      </w:pPr>
      <w:r>
        <w:rPr>
          <w:rFonts w:ascii="宋体" w:hAnsi="宋体" w:eastAsia="宋体"/>
          <w:b/>
          <w:sz w:val="24"/>
        </w:rPr>
        <w:t>丙方：云康集团股份有限公司（香港联交所股份代号：02325）</w:t>
      </w:r>
    </w:p>
    <w:p w14:paraId="625F14A6">
      <w:pPr>
        <w:spacing w:after="80"/>
        <w:jc w:val="left"/>
      </w:pPr>
      <w:r>
        <w:rPr>
          <w:rFonts w:ascii="宋体" w:hAnsi="宋体" w:eastAsia="宋体"/>
          <w:b w:val="0"/>
          <w:sz w:val="24"/>
        </w:rPr>
        <w:t>签署日期：____________　　签署地点：____________</w:t>
      </w:r>
    </w:p>
    <w:p w14:paraId="19D85009"/>
    <w:p w14:paraId="1436603D">
      <w:pPr>
        <w:spacing w:before="240" w:after="100"/>
        <w:jc w:val="left"/>
      </w:pPr>
      <w:r>
        <w:rPr>
          <w:rFonts w:ascii="黑体" w:hAnsi="黑体" w:eastAsia="黑体"/>
          <w:b/>
          <w:color w:val="1A5CA8"/>
          <w:sz w:val="26"/>
        </w:rPr>
        <w:t>鉴于：</w:t>
      </w:r>
    </w:p>
    <w:p w14:paraId="2EBDAC0C">
      <w:pPr>
        <w:spacing w:after="100" w:line="360" w:lineRule="auto"/>
        <w:ind w:firstLine="480"/>
        <w:jc w:val="both"/>
      </w:pPr>
      <w:r>
        <w:rPr>
          <w:rFonts w:ascii="宋体" w:hAnsi="宋体" w:eastAsia="宋体"/>
          <w:sz w:val="24"/>
        </w:rPr>
        <w:t>一、　甲方在生命健康与医疗产业领域拥有战略资源网络，可协调医疗机构及相关资源为合作提供场景支持。</w:t>
      </w:r>
    </w:p>
    <w:p w14:paraId="3E2375A1">
      <w:pPr>
        <w:spacing w:after="100" w:line="360" w:lineRule="auto"/>
        <w:ind w:firstLine="480"/>
        <w:jc w:val="both"/>
      </w:pPr>
      <w:r>
        <w:rPr>
          <w:rFonts w:ascii="宋体" w:hAnsi="宋体" w:eastAsia="宋体"/>
          <w:sz w:val="24"/>
        </w:rPr>
        <w:t>二、　乙方系专注具身智能「灵巧操作」的科技公司，拥有大脑模型、灵巧手本体、VLA操作模型及数据采集与训练体系等核心技术。</w:t>
      </w:r>
    </w:p>
    <w:p w14:paraId="70EE6CA1">
      <w:pPr>
        <w:spacing w:after="100" w:line="360" w:lineRule="auto"/>
        <w:ind w:firstLine="480"/>
        <w:jc w:val="both"/>
      </w:pPr>
      <w:r>
        <w:rPr>
          <w:rFonts w:ascii="宋体" w:hAnsi="宋体" w:eastAsia="宋体"/>
          <w:sz w:val="24"/>
        </w:rPr>
        <w:t>三、　丙方系国内领先的独立医学实验室（ICL）集团（香港联交所股份代号：02325），拥有覆盖全国的医学检验服务网络、实验室场地、检验分析设备及专业人员，具备开展灵巧手操作训练的真实场景条件。</w:t>
      </w:r>
    </w:p>
    <w:p w14:paraId="2BCC2722">
      <w:pPr>
        <w:spacing w:after="100" w:line="360" w:lineRule="auto"/>
        <w:ind w:firstLine="480"/>
        <w:jc w:val="both"/>
      </w:pPr>
      <w:r>
        <w:rPr>
          <w:rFonts w:ascii="宋体" w:hAnsi="宋体" w:eastAsia="宋体"/>
          <w:sz w:val="24"/>
        </w:rPr>
        <w:t>四、　三方就实验室检测场景下的灵巧手训练合作事宜，本着平等互利、优势互补的原则，经友好协商，达成如下协议。</w:t>
      </w:r>
    </w:p>
    <w:p w14:paraId="2B1A02BA">
      <w:pPr>
        <w:spacing w:before="240" w:after="100"/>
        <w:jc w:val="left"/>
      </w:pPr>
      <w:r>
        <w:rPr>
          <w:rFonts w:ascii="黑体" w:hAnsi="黑体" w:eastAsia="黑体"/>
          <w:b/>
          <w:color w:val="1A5CA8"/>
          <w:sz w:val="26"/>
        </w:rPr>
        <w:t>第一条　合作目标</w:t>
      </w:r>
    </w:p>
    <w:p w14:paraId="3E3B3015">
      <w:pPr>
        <w:spacing w:after="100" w:line="360" w:lineRule="auto"/>
        <w:ind w:firstLine="480"/>
        <w:jc w:val="both"/>
      </w:pPr>
      <w:r>
        <w:rPr>
          <w:rFonts w:ascii="宋体" w:hAnsi="宋体" w:eastAsia="宋体"/>
          <w:sz w:val="24"/>
        </w:rPr>
        <w:t>1.1　三方共同在丙方指定的医学实验室内，开展具身智能灵巧手在实验室检测场景中的操作训练与概念验证（POC），验证灵巧手在样本前处理、检测流转等环节的可行性，为后续商业化落地奠定基础。</w:t>
      </w:r>
    </w:p>
    <w:p w14:paraId="16312660">
      <w:pPr>
        <w:spacing w:before="240" w:after="100"/>
        <w:jc w:val="left"/>
      </w:pPr>
      <w:r>
        <w:rPr>
          <w:rFonts w:ascii="黑体" w:hAnsi="黑体" w:eastAsia="黑体"/>
          <w:b/>
          <w:color w:val="1A5CA8"/>
          <w:sz w:val="26"/>
        </w:rPr>
        <w:t>第二条　验证场景</w:t>
      </w:r>
    </w:p>
    <w:p w14:paraId="3A9C8C04">
      <w:pPr>
        <w:spacing w:after="100" w:line="360" w:lineRule="auto"/>
        <w:ind w:firstLine="480"/>
        <w:jc w:val="both"/>
      </w:pPr>
      <w:r>
        <w:rPr>
          <w:rFonts w:ascii="宋体" w:hAnsi="宋体" w:eastAsia="宋体"/>
          <w:sz w:val="24"/>
        </w:rPr>
        <w:t>2.1　首批概念验证场景为以下实验室检测环节（具体POC场景由联合工作组对焦确定）：</w:t>
      </w:r>
    </w:p>
    <w:p w14:paraId="39536C61">
      <w:pPr>
        <w:spacing w:after="80" w:line="360" w:lineRule="auto"/>
        <w:ind w:left="960" w:firstLine="0"/>
        <w:jc w:val="both"/>
      </w:pPr>
      <w:r>
        <w:rPr>
          <w:rFonts w:ascii="宋体" w:hAnsi="宋体" w:eastAsia="宋体"/>
          <w:sz w:val="22"/>
        </w:rPr>
        <w:t>· 检测分液环节：样本分注与移液处理等实验室液体操作；</w:t>
      </w:r>
    </w:p>
    <w:p w14:paraId="76C2133E">
      <w:pPr>
        <w:spacing w:after="80" w:line="360" w:lineRule="auto"/>
        <w:ind w:left="960" w:firstLine="0"/>
        <w:jc w:val="both"/>
      </w:pPr>
      <w:r>
        <w:rPr>
          <w:rFonts w:ascii="宋体" w:hAnsi="宋体" w:eastAsia="宋体"/>
          <w:sz w:val="22"/>
        </w:rPr>
        <w:t>· 样本转运环节：样本在不同检测设备与工位之间的转运与交接；</w:t>
      </w:r>
    </w:p>
    <w:p w14:paraId="57BA2FF3">
      <w:pPr>
        <w:spacing w:after="80" w:line="360" w:lineRule="auto"/>
        <w:ind w:left="960" w:firstLine="0"/>
        <w:jc w:val="both"/>
      </w:pPr>
      <w:r>
        <w:rPr>
          <w:rFonts w:ascii="宋体" w:hAnsi="宋体" w:eastAsia="宋体"/>
          <w:sz w:val="22"/>
        </w:rPr>
        <w:t>· 病理制片环节：组织切片经展片后于载玻片捞取的精细操作；</w:t>
      </w:r>
    </w:p>
    <w:p w14:paraId="29ADA36D">
      <w:pPr>
        <w:spacing w:after="80" w:line="360" w:lineRule="auto"/>
        <w:ind w:left="960" w:firstLine="0"/>
        <w:jc w:val="both"/>
      </w:pPr>
      <w:r>
        <w:rPr>
          <w:rFonts w:ascii="宋体" w:hAnsi="宋体" w:eastAsia="宋体"/>
          <w:sz w:val="22"/>
        </w:rPr>
        <w:t>· IVD试剂环节：试剂的配制、分装与上机装载等自动化操作。</w:t>
      </w:r>
    </w:p>
    <w:p w14:paraId="181B3761">
      <w:pPr>
        <w:spacing w:after="100" w:line="360" w:lineRule="auto"/>
        <w:ind w:firstLine="480"/>
        <w:jc w:val="both"/>
      </w:pPr>
      <w:r>
        <w:rPr>
          <w:rFonts w:ascii="宋体" w:hAnsi="宋体" w:eastAsia="宋体"/>
          <w:sz w:val="24"/>
        </w:rPr>
        <w:t>2.2　上述场景为初步方向，具体首个POC场景、技术指标、评价指标与验证计划，由三方团队于本协议签署后三周内完成对焦并形成书面《验证方案》作为本协议附件。</w:t>
      </w:r>
    </w:p>
    <w:p w14:paraId="797A98EC">
      <w:pPr>
        <w:spacing w:before="240" w:after="100"/>
        <w:jc w:val="left"/>
      </w:pPr>
      <w:r>
        <w:rPr>
          <w:rFonts w:ascii="黑体" w:hAnsi="黑体" w:eastAsia="黑体"/>
          <w:b/>
          <w:color w:val="1A5CA8"/>
          <w:sz w:val="26"/>
        </w:rPr>
        <w:t>第三条　三方分工与投入</w:t>
      </w:r>
    </w:p>
    <w:p w14:paraId="1437841E">
      <w:pPr>
        <w:spacing w:after="100" w:line="360" w:lineRule="auto"/>
        <w:ind w:firstLine="480"/>
        <w:jc w:val="both"/>
      </w:pPr>
      <w:r>
        <w:rPr>
          <w:rFonts w:ascii="宋体" w:hAnsi="宋体" w:eastAsia="宋体"/>
          <w:sz w:val="24"/>
        </w:rPr>
        <w:t>3.1　甲方职责：</w:t>
      </w:r>
    </w:p>
    <w:p w14:paraId="16596C2C">
      <w:pPr>
        <w:spacing w:after="80" w:line="360" w:lineRule="auto"/>
        <w:ind w:left="960" w:firstLine="0"/>
        <w:jc w:val="both"/>
      </w:pPr>
      <w:r>
        <w:rPr>
          <w:rFonts w:ascii="宋体" w:hAnsi="宋体" w:eastAsia="宋体"/>
          <w:sz w:val="22"/>
        </w:rPr>
        <w:t>· 负责协调丙方及关联资源，确保验证场景的落地与资源到位；</w:t>
      </w:r>
    </w:p>
    <w:p w14:paraId="229D96DD">
      <w:pPr>
        <w:spacing w:after="80" w:line="360" w:lineRule="auto"/>
        <w:ind w:left="960" w:firstLine="0"/>
        <w:jc w:val="both"/>
      </w:pPr>
      <w:r>
        <w:rPr>
          <w:rFonts w:ascii="宋体" w:hAnsi="宋体" w:eastAsia="宋体"/>
          <w:sz w:val="22"/>
        </w:rPr>
        <w:t>· 负责三方之间的商务对接与协调；</w:t>
      </w:r>
    </w:p>
    <w:p w14:paraId="08CDC557">
      <w:pPr>
        <w:spacing w:after="80" w:line="360" w:lineRule="auto"/>
        <w:ind w:left="960" w:firstLine="0"/>
        <w:jc w:val="both"/>
      </w:pPr>
      <w:r>
        <w:rPr>
          <w:rFonts w:ascii="宋体" w:hAnsi="宋体" w:eastAsia="宋体"/>
          <w:sz w:val="22"/>
        </w:rPr>
        <w:t>· 协调场景专家团队，提供医学检验专业知识与标准操作流程（SOP）支持。</w:t>
      </w:r>
    </w:p>
    <w:p w14:paraId="45A08F69">
      <w:pPr>
        <w:spacing w:after="100" w:line="360" w:lineRule="auto"/>
        <w:ind w:firstLine="480"/>
        <w:jc w:val="both"/>
      </w:pPr>
      <w:r>
        <w:rPr>
          <w:rFonts w:ascii="宋体" w:hAnsi="宋体" w:eastAsia="宋体"/>
          <w:sz w:val="24"/>
        </w:rPr>
        <w:t>3.2　乙方职责：</w:t>
      </w:r>
    </w:p>
    <w:p w14:paraId="18741FDB">
      <w:pPr>
        <w:spacing w:after="80" w:line="360" w:lineRule="auto"/>
        <w:ind w:left="960" w:firstLine="0"/>
        <w:jc w:val="both"/>
      </w:pPr>
      <w:r>
        <w:rPr>
          <w:rFonts w:ascii="宋体" w:hAnsi="宋体" w:eastAsia="宋体"/>
          <w:sz w:val="22"/>
        </w:rPr>
        <w:t>· 负责组织管理与技术实施，提供算法模型（含大脑模型及配套软件工具链）、灵巧手本体及合作硬件生态资源；</w:t>
      </w:r>
    </w:p>
    <w:p w14:paraId="5FBE4809">
      <w:pPr>
        <w:spacing w:after="80" w:line="360" w:lineRule="auto"/>
        <w:ind w:left="960" w:firstLine="0"/>
        <w:jc w:val="both"/>
      </w:pPr>
      <w:r>
        <w:rPr>
          <w:rFonts w:ascii="宋体" w:hAnsi="宋体" w:eastAsia="宋体"/>
          <w:sz w:val="22"/>
        </w:rPr>
        <w:t>· 派遣核心研发团队进驻实验室开展灵巧手训练与验证；</w:t>
      </w:r>
    </w:p>
    <w:p w14:paraId="23D71B2F">
      <w:pPr>
        <w:spacing w:after="80" w:line="360" w:lineRule="auto"/>
        <w:ind w:left="960" w:firstLine="0"/>
        <w:jc w:val="both"/>
      </w:pPr>
      <w:r>
        <w:rPr>
          <w:rFonts w:ascii="宋体" w:hAnsi="宋体" w:eastAsia="宋体"/>
          <w:sz w:val="22"/>
        </w:rPr>
        <w:t>· 按《验证方案》完成技术指标达标与验证报告。</w:t>
      </w:r>
    </w:p>
    <w:p w14:paraId="2CAC3EF8">
      <w:pPr>
        <w:spacing w:after="100" w:line="360" w:lineRule="auto"/>
        <w:ind w:firstLine="480"/>
        <w:jc w:val="both"/>
      </w:pPr>
      <w:r>
        <w:rPr>
          <w:rFonts w:ascii="宋体" w:hAnsi="宋体" w:eastAsia="宋体"/>
          <w:sz w:val="24"/>
        </w:rPr>
        <w:t>3.3　丙方职责：</w:t>
      </w:r>
    </w:p>
    <w:p w14:paraId="1DFF2987">
      <w:pPr>
        <w:spacing w:after="80" w:line="360" w:lineRule="auto"/>
        <w:ind w:left="960" w:firstLine="0"/>
        <w:jc w:val="both"/>
      </w:pPr>
      <w:r>
        <w:rPr>
          <w:rFonts w:ascii="宋体" w:hAnsi="宋体" w:eastAsia="宋体"/>
          <w:sz w:val="22"/>
        </w:rPr>
        <w:t>· 提供实验场地（指定实验室）、检验分析设备及配套器材，以租赁或借用方式供乙方使用；</w:t>
      </w:r>
    </w:p>
    <w:p w14:paraId="520B5BE8">
      <w:pPr>
        <w:spacing w:after="80" w:line="360" w:lineRule="auto"/>
        <w:ind w:left="960" w:firstLine="0"/>
        <w:jc w:val="both"/>
      </w:pPr>
      <w:r>
        <w:rPr>
          <w:rFonts w:ascii="宋体" w:hAnsi="宋体" w:eastAsia="宋体"/>
          <w:sz w:val="22"/>
        </w:rPr>
        <w:t>· 提供场景专业人员配合训练与验证（检验技师、实验室管理人员等）；</w:t>
      </w:r>
    </w:p>
    <w:p w14:paraId="6D49B2D3">
      <w:pPr>
        <w:spacing w:after="80" w:line="360" w:lineRule="auto"/>
        <w:ind w:left="960" w:firstLine="0"/>
        <w:jc w:val="both"/>
      </w:pPr>
      <w:r>
        <w:rPr>
          <w:rFonts w:ascii="宋体" w:hAnsi="宋体" w:eastAsia="宋体"/>
          <w:sz w:val="22"/>
        </w:rPr>
        <w:t>· 提供实验室安全管理制度与准入培训，确保验证活动合规安全。</w:t>
      </w:r>
    </w:p>
    <w:p w14:paraId="3A9E086A">
      <w:pPr>
        <w:spacing w:before="240" w:after="100"/>
        <w:jc w:val="left"/>
      </w:pPr>
      <w:r>
        <w:rPr>
          <w:rFonts w:ascii="黑体" w:hAnsi="黑体" w:eastAsia="黑体"/>
          <w:b/>
          <w:color w:val="1A5CA8"/>
          <w:sz w:val="26"/>
        </w:rPr>
        <w:t>第四条　时间安排</w:t>
      </w:r>
    </w:p>
    <w:p w14:paraId="4D00E367">
      <w:pPr>
        <w:spacing w:after="100" w:line="360" w:lineRule="auto"/>
        <w:ind w:firstLine="480"/>
        <w:jc w:val="both"/>
      </w:pPr>
      <w:r>
        <w:rPr>
          <w:rFonts w:ascii="宋体" w:hAnsi="宋体" w:eastAsia="宋体"/>
          <w:sz w:val="24"/>
        </w:rPr>
        <w:t>4.1　本协议签署后两周内，三方完成验证场景对焦并签署《验证方案》。</w:t>
      </w:r>
    </w:p>
    <w:p w14:paraId="11A38BBA">
      <w:pPr>
        <w:spacing w:after="100" w:line="360" w:lineRule="auto"/>
        <w:ind w:firstLine="480"/>
        <w:jc w:val="both"/>
      </w:pPr>
      <w:r>
        <w:rPr>
          <w:rFonts w:ascii="宋体" w:hAnsi="宋体" w:eastAsia="宋体"/>
          <w:sz w:val="24"/>
        </w:rPr>
        <w:t>4.2　实验室检测场景概念验证周期预计约十二个月，自《验证方案》签署之日起算。</w:t>
      </w:r>
    </w:p>
    <w:p w14:paraId="41B367D7">
      <w:pPr>
        <w:spacing w:after="100" w:line="360" w:lineRule="auto"/>
        <w:ind w:firstLine="480"/>
        <w:jc w:val="both"/>
      </w:pPr>
      <w:r>
        <w:rPr>
          <w:rFonts w:ascii="宋体" w:hAnsi="宋体" w:eastAsia="宋体"/>
          <w:sz w:val="24"/>
        </w:rPr>
        <w:t>4.3　验证分为三个阶段：</w:t>
      </w:r>
    </w:p>
    <w:p w14:paraId="63B18FE5">
      <w:pPr>
        <w:spacing w:after="80" w:line="360" w:lineRule="auto"/>
        <w:ind w:left="960" w:firstLine="0"/>
        <w:jc w:val="both"/>
      </w:pPr>
      <w:r>
        <w:rPr>
          <w:rFonts w:ascii="宋体" w:hAnsi="宋体" w:eastAsia="宋体"/>
          <w:sz w:val="22"/>
        </w:rPr>
        <w:t>· 第一阶段（第1-3个月）：场景部署与灵巧手基础训练，完成设备进场、环境适配与首场景试运行；</w:t>
      </w:r>
    </w:p>
    <w:p w14:paraId="7BBE08E3">
      <w:pPr>
        <w:spacing w:after="80" w:line="360" w:lineRule="auto"/>
        <w:ind w:left="960" w:firstLine="0"/>
        <w:jc w:val="both"/>
      </w:pPr>
      <w:r>
        <w:rPr>
          <w:rFonts w:ascii="宋体" w:hAnsi="宋体" w:eastAsia="宋体"/>
          <w:sz w:val="22"/>
        </w:rPr>
        <w:t>· 第二阶段（第4-8个月）：多场景验证与模型迭代，完成全部候选场景的POC验证与数据采集；</w:t>
      </w:r>
    </w:p>
    <w:p w14:paraId="61B0B81F">
      <w:pPr>
        <w:spacing w:after="80" w:line="360" w:lineRule="auto"/>
        <w:ind w:left="960" w:firstLine="0"/>
        <w:jc w:val="both"/>
      </w:pPr>
      <w:r>
        <w:rPr>
          <w:rFonts w:ascii="宋体" w:hAnsi="宋体" w:eastAsia="宋体"/>
          <w:sz w:val="22"/>
        </w:rPr>
        <w:t>· 第三阶段（第9-12个月）：验证总结与成果评估，形成验证报告与商业化建议。</w:t>
      </w:r>
    </w:p>
    <w:p w14:paraId="272CBCDB">
      <w:pPr>
        <w:spacing w:before="240" w:after="100"/>
        <w:jc w:val="left"/>
      </w:pPr>
      <w:r>
        <w:rPr>
          <w:rFonts w:ascii="黑体" w:hAnsi="黑体" w:eastAsia="黑体"/>
          <w:b/>
          <w:color w:val="1A5CA8"/>
          <w:sz w:val="26"/>
        </w:rPr>
        <w:t>第五条　知识产权</w:t>
      </w:r>
    </w:p>
    <w:p w14:paraId="1AC6ECC5">
      <w:pPr>
        <w:spacing w:after="100" w:line="360" w:lineRule="auto"/>
        <w:ind w:firstLine="480"/>
        <w:jc w:val="both"/>
      </w:pPr>
      <w:r>
        <w:rPr>
          <w:rFonts w:ascii="宋体" w:hAnsi="宋体" w:eastAsia="宋体"/>
          <w:sz w:val="24"/>
        </w:rPr>
        <w:t>5.1　各方在合作前各自拥有的知识产权归各自所有，不因本协议的签署而发生转移。</w:t>
      </w:r>
    </w:p>
    <w:p w14:paraId="444C6172">
      <w:pPr>
        <w:spacing w:after="100" w:line="360" w:lineRule="auto"/>
        <w:ind w:firstLine="480"/>
        <w:jc w:val="both"/>
      </w:pPr>
      <w:r>
        <w:rPr>
          <w:rFonts w:ascii="宋体" w:hAnsi="宋体" w:eastAsia="宋体"/>
          <w:sz w:val="24"/>
        </w:rPr>
        <w:t>5.2　本协议项下验证阶段产生的知识产权，按以下分类原则处理：</w:t>
      </w:r>
    </w:p>
    <w:p w14:paraId="5BF0B695">
      <w:pPr>
        <w:spacing w:before="240" w:after="100"/>
        <w:jc w:val="left"/>
      </w:pPr>
      <w:r>
        <w:rPr>
          <w:rFonts w:ascii="黑体" w:hAnsi="黑体" w:eastAsia="黑体"/>
          <w:b/>
          <w:color w:val="1A5CA8"/>
          <w:sz w:val="22"/>
        </w:rPr>
        <w:t>（1）底层技术</w:t>
      </w:r>
    </w:p>
    <w:p w14:paraId="73A5FD0B">
      <w:pPr>
        <w:spacing w:after="100" w:line="360" w:lineRule="auto"/>
        <w:ind w:firstLine="480"/>
        <w:jc w:val="both"/>
        <w:rPr>
          <w:highlight w:val="yellow"/>
        </w:rPr>
      </w:pPr>
      <w:r>
        <w:rPr>
          <w:rFonts w:ascii="宋体" w:hAnsi="宋体" w:eastAsia="宋体"/>
          <w:sz w:val="24"/>
        </w:rPr>
        <w:t>5.2.1　乙方在验证过程中对其原有大脑模型、灵巧手操作算法等底层技术进行的改进、迭代和优化，知识产权归乙方所有。</w:t>
      </w:r>
      <w:r>
        <w:rPr>
          <w:rFonts w:ascii="宋体" w:hAnsi="宋体" w:eastAsia="宋体"/>
          <w:sz w:val="24"/>
          <w:highlight w:val="yellow"/>
        </w:rPr>
        <w:t>甲方获得上述改进版本在生命健康领域的独家使用权。</w:t>
      </w:r>
    </w:p>
    <w:p w14:paraId="7733627F">
      <w:pPr>
        <w:spacing w:before="240" w:after="100"/>
        <w:jc w:val="left"/>
      </w:pPr>
      <w:r>
        <w:rPr>
          <w:rFonts w:ascii="黑体" w:hAnsi="黑体" w:eastAsia="黑体"/>
          <w:b/>
          <w:color w:val="1A5CA8"/>
          <w:sz w:val="22"/>
        </w:rPr>
        <w:t>（2）场景应用方案</w:t>
      </w:r>
    </w:p>
    <w:p w14:paraId="0CF9CAA1">
      <w:pPr>
        <w:spacing w:after="100" w:line="360" w:lineRule="auto"/>
        <w:ind w:firstLine="480"/>
        <w:jc w:val="both"/>
      </w:pPr>
      <w:r>
        <w:rPr>
          <w:rFonts w:ascii="宋体" w:hAnsi="宋体" w:eastAsia="宋体"/>
          <w:sz w:val="24"/>
        </w:rPr>
        <w:t>5.2.2　针对实验室检测特定场景（如分液操作、样本转运、病理制片等）开发的应用方案、工艺流程、软硬件配置方案及衍生技术，由甲方与乙方共同共有。丙方作为场景方，获得该</w:t>
      </w:r>
      <w:r>
        <w:rPr>
          <w:rFonts w:ascii="宋体" w:hAnsi="宋体" w:eastAsia="宋体"/>
          <w:sz w:val="24"/>
          <w:highlight w:val="yellow"/>
        </w:rPr>
        <w:t>场景应用方案的免费使用权及未来产品的优先采购权</w:t>
      </w:r>
      <w:r>
        <w:rPr>
          <w:rFonts w:ascii="宋体" w:hAnsi="宋体" w:eastAsia="宋体"/>
          <w:sz w:val="24"/>
        </w:rPr>
        <w:t>，作为其提供场景资源的对价。</w:t>
      </w:r>
    </w:p>
    <w:p w14:paraId="7619C84D">
      <w:pPr>
        <w:spacing w:before="240" w:after="100"/>
        <w:jc w:val="left"/>
      </w:pPr>
      <w:r>
        <w:rPr>
          <w:rFonts w:ascii="黑体" w:hAnsi="黑体" w:eastAsia="黑体"/>
          <w:b/>
          <w:color w:val="1A5CA8"/>
          <w:sz w:val="22"/>
        </w:rPr>
        <w:t>（3）数据</w:t>
      </w:r>
    </w:p>
    <w:p w14:paraId="25269904">
      <w:pPr>
        <w:spacing w:after="100" w:line="360" w:lineRule="auto"/>
        <w:ind w:firstLine="480"/>
        <w:jc w:val="both"/>
      </w:pPr>
      <w:r>
        <w:rPr>
          <w:rFonts w:ascii="宋体" w:hAnsi="宋体" w:eastAsia="宋体"/>
          <w:sz w:val="24"/>
        </w:rPr>
        <w:t>5.2.3　验证过程中产生的操作数据、场景数据及验证数据，其</w:t>
      </w:r>
      <w:bookmarkStart w:id="0" w:name="_GoBack"/>
      <w:r>
        <w:rPr>
          <w:rFonts w:ascii="宋体" w:hAnsi="宋体" w:eastAsia="宋体"/>
          <w:sz w:val="24"/>
          <w:highlight w:val="yellow"/>
        </w:rPr>
        <w:t>所有权归丙方所有。</w:t>
      </w:r>
      <w:bookmarkEnd w:id="0"/>
      <w:r>
        <w:rPr>
          <w:rFonts w:ascii="宋体" w:hAnsi="宋体" w:eastAsia="宋体"/>
          <w:sz w:val="24"/>
        </w:rPr>
        <w:t>甲方与乙方获得上述数据用于模型训练与场景适配的使用许可，但不得将原始数据向第三方转让或披露。涉及患者信息和个人隐私的数据，须依法脱敏处理后方可使用。</w:t>
      </w:r>
    </w:p>
    <w:p w14:paraId="4D6E931D">
      <w:pPr>
        <w:spacing w:after="100" w:line="360" w:lineRule="auto"/>
        <w:ind w:firstLine="480"/>
        <w:jc w:val="both"/>
      </w:pPr>
      <w:r>
        <w:rPr>
          <w:rFonts w:ascii="宋体" w:hAnsi="宋体" w:eastAsia="宋体"/>
          <w:sz w:val="24"/>
        </w:rPr>
        <w:t>5.3　未经其他两方书面同意，任何一方不得以其他两方名义或使用其名称、商标、品牌进行对外宣传。</w:t>
      </w:r>
    </w:p>
    <w:p w14:paraId="56753265">
      <w:pPr>
        <w:spacing w:before="240" w:after="100"/>
        <w:jc w:val="left"/>
      </w:pPr>
      <w:r>
        <w:rPr>
          <w:rFonts w:ascii="黑体" w:hAnsi="黑体" w:eastAsia="黑体"/>
          <w:b/>
          <w:color w:val="1A5CA8"/>
          <w:sz w:val="26"/>
        </w:rPr>
        <w:t>第六条　保密条款</w:t>
      </w:r>
    </w:p>
    <w:p w14:paraId="09566AC1">
      <w:pPr>
        <w:spacing w:after="100" w:line="360" w:lineRule="auto"/>
        <w:ind w:firstLine="480"/>
        <w:jc w:val="both"/>
      </w:pPr>
      <w:r>
        <w:rPr>
          <w:rFonts w:ascii="宋体" w:hAnsi="宋体" w:eastAsia="宋体"/>
          <w:sz w:val="24"/>
        </w:rPr>
        <w:t>6.1　三方对在合作过程中知悉的其他方商业秘密、技术秘密、经营信息、患者相关信息及未公开资料负有保密义务，未经信息披露方书面同意，不得向第三方披露或用于本协议以外的目的。</w:t>
      </w:r>
    </w:p>
    <w:p w14:paraId="2298896D">
      <w:pPr>
        <w:spacing w:after="100" w:line="360" w:lineRule="auto"/>
        <w:ind w:firstLine="480"/>
        <w:jc w:val="both"/>
      </w:pPr>
      <w:r>
        <w:rPr>
          <w:rFonts w:ascii="宋体" w:hAnsi="宋体" w:eastAsia="宋体"/>
          <w:sz w:val="24"/>
        </w:rPr>
        <w:t>6.2　涉及患者信息、医疗数据的处理，三方均应遵守适用法律法规及医疗健康数据监管要求。</w:t>
      </w:r>
    </w:p>
    <w:p w14:paraId="3F3FF0BC">
      <w:pPr>
        <w:spacing w:after="100" w:line="360" w:lineRule="auto"/>
        <w:ind w:firstLine="480"/>
        <w:jc w:val="both"/>
      </w:pPr>
      <w:r>
        <w:rPr>
          <w:rFonts w:ascii="宋体" w:hAnsi="宋体" w:eastAsia="宋体"/>
          <w:sz w:val="24"/>
        </w:rPr>
        <w:t>6.3　本条保密义务不因本协议的终止或失效而失效，保密期限自知悉之日起______年。</w:t>
      </w:r>
    </w:p>
    <w:p w14:paraId="3D012E0A">
      <w:pPr>
        <w:spacing w:before="240" w:after="100"/>
        <w:jc w:val="left"/>
      </w:pPr>
      <w:r>
        <w:rPr>
          <w:rFonts w:ascii="黑体" w:hAnsi="黑体" w:eastAsia="黑体"/>
          <w:b/>
          <w:color w:val="1A5CA8"/>
          <w:sz w:val="26"/>
        </w:rPr>
        <w:t>第七条　费用安排</w:t>
      </w:r>
    </w:p>
    <w:p w14:paraId="3E24FBF4">
      <w:pPr>
        <w:spacing w:after="100" w:line="360" w:lineRule="auto"/>
        <w:ind w:firstLine="480"/>
        <w:jc w:val="both"/>
      </w:pPr>
      <w:r>
        <w:rPr>
          <w:rFonts w:ascii="宋体" w:hAnsi="宋体" w:eastAsia="宋体"/>
          <w:sz w:val="24"/>
        </w:rPr>
        <w:t>7.1　本协议项下概念验证阶段各方各自承担其投入的成本：</w:t>
      </w:r>
    </w:p>
    <w:p w14:paraId="458E5039">
      <w:pPr>
        <w:spacing w:after="80" w:line="360" w:lineRule="auto"/>
        <w:ind w:left="960" w:firstLine="0"/>
        <w:jc w:val="both"/>
      </w:pPr>
      <w:r>
        <w:rPr>
          <w:rFonts w:ascii="宋体" w:hAnsi="宋体" w:eastAsia="宋体"/>
          <w:sz w:val="22"/>
        </w:rPr>
        <w:t>· 甲方承担协调与商务对接成本；</w:t>
      </w:r>
    </w:p>
    <w:p w14:paraId="25CCBD28">
      <w:pPr>
        <w:spacing w:after="80" w:line="360" w:lineRule="auto"/>
        <w:ind w:left="960" w:firstLine="0"/>
        <w:jc w:val="both"/>
      </w:pPr>
      <w:r>
        <w:rPr>
          <w:rFonts w:ascii="宋体" w:hAnsi="宋体" w:eastAsia="宋体"/>
          <w:sz w:val="22"/>
        </w:rPr>
        <w:t>· 乙方承担算法模型、灵巧手本体及研发团队的投入成本；</w:t>
      </w:r>
    </w:p>
    <w:p w14:paraId="7040687E">
      <w:pPr>
        <w:spacing w:after="80" w:line="360" w:lineRule="auto"/>
        <w:ind w:left="960" w:firstLine="0"/>
        <w:jc w:val="both"/>
      </w:pPr>
      <w:r>
        <w:rPr>
          <w:rFonts w:ascii="宋体" w:hAnsi="宋体" w:eastAsia="宋体"/>
          <w:sz w:val="22"/>
        </w:rPr>
        <w:t>· 丙方承担实验室场地、设备的日常运营成本（不含乙方设备的损耗与维护）。</w:t>
      </w:r>
    </w:p>
    <w:p w14:paraId="6A51CCE9">
      <w:pPr>
        <w:spacing w:after="100" w:line="360" w:lineRule="auto"/>
        <w:ind w:firstLine="480"/>
        <w:jc w:val="both"/>
      </w:pPr>
      <w:r>
        <w:rPr>
          <w:rFonts w:ascii="宋体" w:hAnsi="宋体" w:eastAsia="宋体"/>
          <w:sz w:val="24"/>
        </w:rPr>
        <w:t>7.2　验证阶段如产生额外的设备采购、耗材消耗或第三方服务费用，由三方另行协商分担方式。</w:t>
      </w:r>
    </w:p>
    <w:p w14:paraId="50A250AA">
      <w:pPr>
        <w:spacing w:after="100" w:line="360" w:lineRule="auto"/>
        <w:ind w:firstLine="480"/>
        <w:jc w:val="both"/>
      </w:pPr>
      <w:r>
        <w:rPr>
          <w:rFonts w:ascii="宋体" w:hAnsi="宋体" w:eastAsia="宋体"/>
          <w:sz w:val="24"/>
        </w:rPr>
        <w:t>7.3　商业化阶段的收益分配与授权许可费用，由三方在商业化协议中另行约定。</w:t>
      </w:r>
    </w:p>
    <w:p w14:paraId="44C28133">
      <w:pPr>
        <w:spacing w:before="240" w:after="100"/>
        <w:jc w:val="left"/>
      </w:pPr>
      <w:r>
        <w:rPr>
          <w:rFonts w:ascii="黑体" w:hAnsi="黑体" w:eastAsia="黑体"/>
          <w:b/>
          <w:color w:val="1A5CA8"/>
          <w:sz w:val="26"/>
        </w:rPr>
        <w:t>第八条　验证验收与退出机制</w:t>
      </w:r>
    </w:p>
    <w:p w14:paraId="19A6B45B">
      <w:pPr>
        <w:spacing w:after="100" w:line="360" w:lineRule="auto"/>
        <w:ind w:firstLine="480"/>
        <w:jc w:val="both"/>
      </w:pPr>
      <w:r>
        <w:rPr>
          <w:rFonts w:ascii="宋体" w:hAnsi="宋体" w:eastAsia="宋体"/>
          <w:sz w:val="24"/>
        </w:rPr>
        <w:t>8.1　验证阶段结束时，乙方应提交《验证报告》，经三方联合评估确认。</w:t>
      </w:r>
    </w:p>
    <w:p w14:paraId="30875DE5">
      <w:pPr>
        <w:spacing w:after="100" w:line="360" w:lineRule="auto"/>
        <w:ind w:firstLine="480"/>
        <w:jc w:val="both"/>
      </w:pPr>
      <w:r>
        <w:rPr>
          <w:rFonts w:ascii="宋体" w:hAnsi="宋体" w:eastAsia="宋体"/>
          <w:sz w:val="24"/>
        </w:rPr>
        <w:t>8.2　如验证未达预期目标，三方协商决定是否调整方案继续验证或终止本协议。终止时各方各自收回其投入的设备与资料，已产生的知识产权按第五条处理。</w:t>
      </w:r>
    </w:p>
    <w:p w14:paraId="23BB5016">
      <w:pPr>
        <w:spacing w:after="100" w:line="360" w:lineRule="auto"/>
        <w:ind w:firstLine="480"/>
        <w:jc w:val="both"/>
      </w:pPr>
      <w:r>
        <w:rPr>
          <w:rFonts w:ascii="宋体" w:hAnsi="宋体" w:eastAsia="宋体"/>
          <w:sz w:val="24"/>
        </w:rPr>
        <w:t>8.3　如验证达到预期目标，三方签署《验证确认书》，进入商业化阶段协商。</w:t>
      </w:r>
    </w:p>
    <w:p w14:paraId="5909B01A">
      <w:pPr>
        <w:spacing w:before="240" w:after="100"/>
        <w:jc w:val="left"/>
      </w:pPr>
      <w:r>
        <w:rPr>
          <w:rFonts w:ascii="黑体" w:hAnsi="黑体" w:eastAsia="黑体"/>
          <w:b/>
          <w:color w:val="1A5CA8"/>
          <w:sz w:val="26"/>
        </w:rPr>
        <w:t>第九条　其他</w:t>
      </w:r>
    </w:p>
    <w:p w14:paraId="460C87BA">
      <w:pPr>
        <w:spacing w:after="100" w:line="360" w:lineRule="auto"/>
        <w:ind w:firstLine="480"/>
        <w:jc w:val="both"/>
      </w:pPr>
      <w:r>
        <w:rPr>
          <w:rFonts w:ascii="宋体" w:hAnsi="宋体" w:eastAsia="宋体"/>
          <w:sz w:val="24"/>
        </w:rPr>
        <w:t>9.1　本协议自三方授权代表签字（或盖章）之日起生效，有效期至验证阶段完成或协议终止之日止。</w:t>
      </w:r>
    </w:p>
    <w:p w14:paraId="2284DEB6">
      <w:pPr>
        <w:spacing w:after="100" w:line="360" w:lineRule="auto"/>
        <w:ind w:firstLine="480"/>
        <w:jc w:val="both"/>
      </w:pPr>
      <w:r>
        <w:rPr>
          <w:rFonts w:ascii="宋体" w:hAnsi="宋体" w:eastAsia="宋体"/>
          <w:sz w:val="24"/>
        </w:rPr>
        <w:t>9.2　本协议的修改、补充须经三方书面一致确认。</w:t>
      </w:r>
    </w:p>
    <w:p w14:paraId="211D42E9">
      <w:pPr>
        <w:spacing w:after="100" w:line="360" w:lineRule="auto"/>
        <w:ind w:firstLine="480"/>
        <w:jc w:val="both"/>
      </w:pPr>
      <w:r>
        <w:rPr>
          <w:rFonts w:ascii="宋体" w:hAnsi="宋体" w:eastAsia="宋体"/>
          <w:sz w:val="24"/>
        </w:rPr>
        <w:t>9.3　本协议一式叁份，三方各执壹份，具有同等效力。</w:t>
      </w:r>
    </w:p>
    <w:p w14:paraId="66070C66">
      <w:pPr>
        <w:spacing w:after="100" w:line="360" w:lineRule="auto"/>
        <w:ind w:firstLine="480"/>
        <w:jc w:val="both"/>
      </w:pPr>
      <w:r>
        <w:rPr>
          <w:rFonts w:ascii="宋体" w:hAnsi="宋体" w:eastAsia="宋体"/>
          <w:sz w:val="24"/>
        </w:rPr>
        <w:t>9.4　本协议适用中华人民共和国法律（就内地事项）及香港特别行政区法律（就香港事项）。</w:t>
      </w:r>
    </w:p>
    <w:p w14:paraId="0328BF00">
      <w:pPr>
        <w:spacing w:after="100" w:line="360" w:lineRule="auto"/>
        <w:ind w:firstLine="480"/>
        <w:jc w:val="both"/>
      </w:pPr>
      <w:r>
        <w:rPr>
          <w:rFonts w:ascii="宋体" w:hAnsi="宋体" w:eastAsia="宋体"/>
          <w:sz w:val="24"/>
        </w:rPr>
        <w:t>9.5　本协议项下争议，三方应友好协商解决；协商不成的，提交____________仲裁。</w:t>
      </w:r>
    </w:p>
    <w:p w14:paraId="0E4F3412">
      <w:pPr>
        <w:spacing w:before="160" w:after="160"/>
        <w:jc w:val="center"/>
      </w:pPr>
      <w:r>
        <w:rPr>
          <w:color w:val="AAAAAA"/>
          <w:sz w:val="20"/>
        </w:rPr>
        <w:t>— — — — — — — — — — — — — — — — — — — —</w:t>
      </w:r>
    </w:p>
    <w:p w14:paraId="6D07F495">
      <w:pPr>
        <w:spacing w:after="80"/>
        <w:jc w:val="left"/>
      </w:pPr>
      <w:r>
        <w:rPr>
          <w:rFonts w:ascii="宋体" w:hAnsi="宋体" w:eastAsia="宋体"/>
          <w:b/>
          <w:sz w:val="24"/>
        </w:rPr>
        <w:t>甲方：Pasontech HK Limited</w:t>
      </w:r>
    </w:p>
    <w:p w14:paraId="654D251C">
      <w:pPr>
        <w:spacing w:after="80"/>
        <w:jc w:val="left"/>
      </w:pPr>
      <w:r>
        <w:rPr>
          <w:rFonts w:ascii="宋体" w:hAnsi="宋体" w:eastAsia="宋体"/>
          <w:b w:val="0"/>
          <w:sz w:val="24"/>
        </w:rPr>
        <w:t>授权代表（签字）：________________　　盖章：________________</w:t>
      </w:r>
    </w:p>
    <w:p w14:paraId="345D8EDC"/>
    <w:p w14:paraId="1775956A">
      <w:pPr>
        <w:spacing w:after="80"/>
        <w:jc w:val="left"/>
      </w:pPr>
      <w:r>
        <w:rPr>
          <w:rFonts w:ascii="宋体" w:hAnsi="宋体" w:eastAsia="宋体"/>
          <w:b/>
          <w:sz w:val="24"/>
        </w:rPr>
        <w:t>乙方：睦灵科技（杭州）有限公司</w:t>
      </w:r>
    </w:p>
    <w:p w14:paraId="2AF77C5B">
      <w:pPr>
        <w:spacing w:after="80"/>
        <w:jc w:val="left"/>
      </w:pPr>
      <w:r>
        <w:rPr>
          <w:rFonts w:ascii="宋体" w:hAnsi="宋体" w:eastAsia="宋体"/>
          <w:b w:val="0"/>
          <w:sz w:val="24"/>
        </w:rPr>
        <w:t>授权代表（签字）：________________　　盖章：________________</w:t>
      </w:r>
    </w:p>
    <w:p w14:paraId="527FA054"/>
    <w:p w14:paraId="4FD8467A">
      <w:pPr>
        <w:spacing w:after="80"/>
        <w:jc w:val="left"/>
      </w:pPr>
      <w:r>
        <w:rPr>
          <w:rFonts w:ascii="宋体" w:hAnsi="宋体" w:eastAsia="宋体"/>
          <w:b/>
          <w:sz w:val="24"/>
        </w:rPr>
        <w:t>丙方：云康集团股份有限公司</w:t>
      </w:r>
    </w:p>
    <w:p w14:paraId="5E434AA2">
      <w:pPr>
        <w:spacing w:after="80"/>
        <w:jc w:val="left"/>
      </w:pPr>
      <w:r>
        <w:rPr>
          <w:rFonts w:ascii="宋体" w:hAnsi="宋体" w:eastAsia="宋体"/>
          <w:b w:val="0"/>
          <w:sz w:val="24"/>
        </w:rPr>
        <w:t>授权代表（签字）：________________　　盖章：________________</w:t>
      </w:r>
    </w:p>
    <w:sectPr>
      <w:pgSz w:w="11906" w:h="16838"/>
      <w:pgMar w:top="1417" w:right="1417" w:bottom="1417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0244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6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2338</Words>
  <Characters>2591</Characters>
  <Lines>0</Lines>
  <Paragraphs>0</Paragraphs>
  <TotalTime>7</TotalTime>
  <ScaleCrop>false</ScaleCrop>
  <LinksUpToDate>false</LinksUpToDate>
  <CharactersWithSpaces>2683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Anson</cp:lastModifiedBy>
  <dcterms:modified xsi:type="dcterms:W3CDTF">2026-08-25T12:14:42Z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eyJoZGlkIjoiMDljYzUzMWQ4OWI0YzBkYjYzMDRhZTY5ZjZkYmFmYTgiLCJ1c2VySWQiOiI0MzU1NzQ3NTQifQ==</vt:lpwstr>
  </property>
  <property fmtid="{D5CDD505-2E9C-101B-9397-08002B2CF9AE}" pid="3" name="KSOProductBuildVer">
    <vt:lpwstr>2052-12.1.0.28043</vt:lpwstr>
  </property>
  <property fmtid="{D5CDD505-2E9C-101B-9397-08002B2CF9AE}" pid="4" name="ICV">
    <vt:lpwstr>44199F92781149EFB5784E63730426D4_12</vt:lpwstr>
  </property>
</Properties>
</file>