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8CF43">
      <w:pPr>
        <w:pStyle w:val="3"/>
        <w:jc w:val="center"/>
      </w:pPr>
      <w:r>
        <w:rPr>
          <w:rFonts w:hint="eastAsia" w:ascii="宋体" w:hAnsi="宋体" w:eastAsia="宋体" w:cs="宋体"/>
          <w:sz w:val="40"/>
          <w:lang w:eastAsia="zh-CN"/>
        </w:rPr>
        <w:t>战略合作备忘录</w:t>
      </w:r>
    </w:p>
    <w:p w14:paraId="75E35A2F">
      <w:pPr>
        <w:jc w:val="both"/>
      </w:pPr>
      <w:r>
        <w:rPr>
          <w:rFonts w:hint="eastAsia" w:ascii="宋体" w:hAnsi="宋体" w:eastAsia="宋体" w:cs="宋体"/>
          <w:lang w:eastAsia="zh-CN"/>
        </w:rPr>
        <w:t>甲方：云康集团（签署主体全称：</w:t>
      </w:r>
      <w:bookmarkStart w:id="0" w:name="甲方签署主体全称"/>
      <w:r>
        <w:t>________________________</w:t>
      </w:r>
      <w:bookmarkEnd w:id="0"/>
      <w:r>
        <w:rPr>
          <w:rFonts w:hint="eastAsia" w:ascii="宋体" w:hAnsi="宋体" w:eastAsia="宋体" w:cs="宋体"/>
          <w:lang w:eastAsia="zh-CN"/>
        </w:rPr>
        <w:t>）</w:t>
      </w:r>
    </w:p>
    <w:p w14:paraId="4BE64321">
      <w:pPr>
        <w:jc w:val="both"/>
      </w:pPr>
      <w:r>
        <w:rPr>
          <w:rFonts w:hint="eastAsia" w:ascii="宋体" w:hAnsi="宋体" w:eastAsia="宋体" w:cs="宋体"/>
          <w:lang w:eastAsia="zh-CN"/>
        </w:rPr>
        <w:t>乙方：睦灵科技（杭州）有限公司</w:t>
      </w:r>
    </w:p>
    <w:p w14:paraId="48C1EBB5">
      <w:pPr>
        <w:jc w:val="both"/>
      </w:pPr>
      <w:r>
        <w:rPr>
          <w:rFonts w:hint="eastAsia" w:ascii="宋体" w:hAnsi="宋体" w:eastAsia="宋体" w:cs="宋体"/>
          <w:lang w:eastAsia="zh-CN"/>
        </w:rPr>
        <w:t>签署日期：</w:t>
      </w:r>
      <w:bookmarkStart w:id="1" w:name="签署日期"/>
      <w:r>
        <w:t>____________</w:t>
      </w:r>
      <w:bookmarkEnd w:id="1"/>
      <w:r>
        <w:t>    </w:t>
      </w:r>
      <w:r>
        <w:rPr>
          <w:rFonts w:hint="eastAsia" w:ascii="宋体" w:hAnsi="宋体" w:eastAsia="宋体" w:cs="宋体"/>
          <w:lang w:eastAsia="zh-CN"/>
        </w:rPr>
        <w:t>签署地点：</w:t>
      </w:r>
      <w:bookmarkStart w:id="2" w:name="签署地点"/>
      <w:r>
        <w:t>____________</w:t>
      </w:r>
      <w:bookmarkEnd w:id="2"/>
    </w:p>
    <w:p w14:paraId="0D8B5BAA">
      <w:pPr>
        <w:ind w:firstLine="480"/>
        <w:jc w:val="both"/>
      </w:pPr>
      <w:r>
        <w:rPr>
          <w:rFonts w:hint="eastAsia" w:ascii="宋体" w:hAnsi="宋体" w:eastAsia="宋体" w:cs="宋体"/>
          <w:b/>
          <w:lang w:eastAsia="zh-CN"/>
        </w:rPr>
        <w:t>鉴于：</w:t>
      </w:r>
    </w:p>
    <w:p w14:paraId="292772BB">
      <w:pPr>
        <w:ind w:firstLine="480"/>
        <w:jc w:val="both"/>
      </w:pPr>
      <w:r>
        <w:rPr>
          <w:rFonts w:hint="eastAsia" w:ascii="宋体" w:hAnsi="宋体" w:eastAsia="宋体" w:cs="宋体"/>
          <w:lang w:eastAsia="zh-CN"/>
        </w:rPr>
        <w:t>（一）甲方系国内领先的独立医学实验室（</w:t>
      </w:r>
      <w:r>
        <w:t>ICL</w:t>
      </w:r>
      <w:r>
        <w:rPr>
          <w:rFonts w:hint="eastAsia" w:ascii="宋体" w:hAnsi="宋体" w:eastAsia="宋体" w:cs="宋体"/>
          <w:lang w:eastAsia="zh-CN"/>
        </w:rPr>
        <w:t>，</w:t>
      </w:r>
      <w:r>
        <w:t>Independent Clinical Laboratory</w:t>
      </w:r>
      <w:r>
        <w:rPr>
          <w:rFonts w:hint="eastAsia" w:ascii="宋体" w:hAnsi="宋体" w:eastAsia="宋体" w:cs="宋体"/>
          <w:lang w:eastAsia="zh-CN"/>
        </w:rPr>
        <w:t>）集团，深耕病理诊断、远程数字病理平台运营、医学检验服务网络，并积极布局海外检测中心，在医疗检验场景、临床专业知识及医院渠道方面具有深厚积累；</w:t>
      </w:r>
    </w:p>
    <w:p w14:paraId="5DF6AB73">
      <w:pPr>
        <w:ind w:firstLine="480"/>
        <w:jc w:val="both"/>
      </w:pPr>
      <w:r>
        <w:rPr>
          <w:rFonts w:hint="eastAsia" w:ascii="宋体" w:hAnsi="宋体" w:eastAsia="宋体" w:cs="宋体"/>
          <w:lang w:eastAsia="zh-CN"/>
        </w:rPr>
        <w:t>（二）乙方系专注具身智能</w:t>
      </w:r>
      <w:r>
        <w:t>"</w:t>
      </w:r>
      <w:r>
        <w:rPr>
          <w:rFonts w:hint="eastAsia"/>
          <w:lang w:val="en-US" w:eastAsia="zh-CN"/>
        </w:rPr>
        <w:t>自主进化的智能上限、灵巧操作</w:t>
      </w:r>
      <w:r>
        <w:t>"</w:t>
      </w:r>
      <w:r>
        <w:rPr>
          <w:rFonts w:hint="eastAsia" w:ascii="宋体" w:hAnsi="宋体" w:eastAsia="宋体" w:cs="宋体"/>
          <w:lang w:eastAsia="zh-CN"/>
        </w:rPr>
        <w:t>的科技公司，拥有跨本体通用大脑模型</w:t>
      </w:r>
      <w:r>
        <w:rPr>
          <w:rFonts w:hint="eastAsia" w:cs="宋体"/>
          <w:lang w:eastAsia="zh-CN"/>
        </w:rPr>
        <w:t>、</w:t>
      </w:r>
      <w:r>
        <w:rPr>
          <w:rFonts w:hint="eastAsia" w:ascii="宋体" w:hAnsi="宋体" w:eastAsia="宋体" w:cs="宋体"/>
          <w:lang w:eastAsia="zh-CN"/>
        </w:rPr>
        <w:t>数据</w:t>
      </w:r>
      <w:r>
        <w:rPr>
          <w:rFonts w:hint="eastAsia" w:cs="宋体"/>
          <w:lang w:val="en-US" w:eastAsia="zh-CN"/>
        </w:rPr>
        <w:t>管线</w:t>
      </w:r>
      <w:r>
        <w:rPr>
          <w:rFonts w:hint="eastAsia" w:ascii="宋体" w:hAnsi="宋体" w:eastAsia="宋体" w:cs="宋体"/>
          <w:lang w:eastAsia="zh-CN"/>
        </w:rPr>
        <w:t>体系及触觉世界模型等核心技术，致力于将具身智能技术应用于真实物理场景；</w:t>
      </w:r>
    </w:p>
    <w:p w14:paraId="54AD68A6">
      <w:pPr>
        <w:ind w:firstLine="480"/>
        <w:jc w:val="both"/>
      </w:pPr>
      <w:r>
        <w:rPr>
          <w:rFonts w:hint="eastAsia" w:ascii="宋体" w:hAnsi="宋体" w:eastAsia="宋体" w:cs="宋体"/>
          <w:lang w:eastAsia="zh-CN"/>
        </w:rPr>
        <w:t>（三）双方团队就具身智能技术在生命科学与医学检验领域的应用达成初步合作意向；</w:t>
      </w:r>
      <w:r>
        <w:rPr>
          <w:rFonts w:hint="eastAsia" w:cs="宋体"/>
          <w:lang w:val="en-US" w:eastAsia="zh-CN"/>
        </w:rPr>
        <w:t>双方</w:t>
      </w:r>
      <w:r>
        <w:rPr>
          <w:rFonts w:hint="eastAsia" w:ascii="宋体" w:hAnsi="宋体" w:eastAsia="宋体" w:cs="宋体"/>
          <w:lang w:eastAsia="zh-CN"/>
        </w:rPr>
        <w:t>本着平等互利、优势互补、分阶段推进的原则，经友好协商，就近期与远期合作方向达成如下备忘录。</w:t>
      </w:r>
    </w:p>
    <w:p w14:paraId="7AE5D3EA">
      <w:pPr>
        <w:pStyle w:val="4"/>
      </w:pPr>
      <w:r>
        <w:rPr>
          <w:rFonts w:hint="eastAsia" w:ascii="宋体" w:hAnsi="宋体" w:eastAsia="宋体" w:cs="宋体"/>
          <w:sz w:val="28"/>
          <w:lang w:eastAsia="zh-CN"/>
        </w:rPr>
        <w:t>第一部分　双方共识</w:t>
      </w:r>
    </w:p>
    <w:p w14:paraId="26ADA046">
      <w:pPr>
        <w:ind w:firstLine="480"/>
        <w:jc w:val="both"/>
      </w:pPr>
      <w:r>
        <w:rPr>
          <w:rFonts w:hint="eastAsia" w:ascii="宋体" w:hAnsi="宋体" w:eastAsia="宋体" w:cs="宋体"/>
          <w:b/>
          <w:lang w:eastAsia="zh-CN"/>
        </w:rPr>
        <w:t>第一条　合作宗旨</w:t>
      </w:r>
      <w:r>
        <w:rPr>
          <w:rFonts w:hint="eastAsia" w:ascii="宋体" w:hAnsi="宋体" w:eastAsia="宋体" w:cs="宋体"/>
          <w:lang w:eastAsia="zh-CN"/>
        </w:rPr>
        <w:t>：双方共同推动具身智能技术在生命科学与医学检验领域的应用落地，探索</w:t>
      </w:r>
      <w:r>
        <w:t>"</w:t>
      </w:r>
      <w:r>
        <w:rPr>
          <w:rFonts w:hint="eastAsia" w:ascii="宋体" w:hAnsi="宋体" w:eastAsia="宋体" w:cs="宋体"/>
          <w:lang w:eastAsia="zh-CN"/>
        </w:rPr>
        <w:t>具身智能＋医疗健康</w:t>
      </w:r>
      <w:r>
        <w:t>"</w:t>
      </w:r>
      <w:r>
        <w:rPr>
          <w:rFonts w:hint="eastAsia" w:ascii="宋体" w:hAnsi="宋体" w:eastAsia="宋体" w:cs="宋体"/>
          <w:lang w:eastAsia="zh-CN"/>
        </w:rPr>
        <w:t>的结合路径，提升实验室自动化水平与医疗服务效率。</w:t>
      </w:r>
    </w:p>
    <w:p w14:paraId="7D49AB3F">
      <w:pPr>
        <w:ind w:firstLine="480"/>
        <w:jc w:val="both"/>
      </w:pPr>
      <w:r>
        <w:rPr>
          <w:rFonts w:hint="eastAsia" w:ascii="宋体" w:hAnsi="宋体" w:eastAsia="宋体" w:cs="宋体"/>
          <w:b/>
          <w:lang w:eastAsia="zh-CN"/>
        </w:rPr>
        <w:t>第二条　优势互补</w:t>
      </w:r>
      <w:r>
        <w:rPr>
          <w:rFonts w:hint="eastAsia" w:ascii="宋体" w:hAnsi="宋体" w:eastAsia="宋体" w:cs="宋体"/>
          <w:lang w:eastAsia="zh-CN"/>
        </w:rPr>
        <w:t>：甲方拥有真实医疗检验场景、临床与病理专业知识、标准检验流程及政府、医院渠道资源；乙方拥有具身智能大脑模型、机器人操作技术、数据采集与训练体系。双方合作可实现</w:t>
      </w:r>
      <w:r>
        <w:t>"</w:t>
      </w:r>
      <w:r>
        <w:rPr>
          <w:rFonts w:hint="eastAsia" w:ascii="宋体" w:hAnsi="宋体" w:eastAsia="宋体" w:cs="宋体"/>
          <w:lang w:eastAsia="zh-CN"/>
        </w:rPr>
        <w:t>场景＋技术</w:t>
      </w:r>
      <w:r>
        <w:t>"</w:t>
      </w:r>
      <w:r>
        <w:rPr>
          <w:rFonts w:hint="eastAsia" w:ascii="宋体" w:hAnsi="宋体" w:eastAsia="宋体" w:cs="宋体"/>
          <w:lang w:eastAsia="zh-CN"/>
        </w:rPr>
        <w:t>的深度耦合。</w:t>
      </w:r>
    </w:p>
    <w:p w14:paraId="6C457221">
      <w:pPr>
        <w:ind w:firstLine="480"/>
        <w:jc w:val="both"/>
      </w:pPr>
      <w:r>
        <w:rPr>
          <w:rFonts w:hint="eastAsia" w:ascii="宋体" w:hAnsi="宋体" w:eastAsia="宋体" w:cs="宋体"/>
          <w:b/>
          <w:lang w:eastAsia="zh-CN"/>
        </w:rPr>
        <w:t>第三条　场景选择原则</w:t>
      </w:r>
      <w:r>
        <w:rPr>
          <w:rFonts w:hint="eastAsia" w:ascii="宋体" w:hAnsi="宋体" w:eastAsia="宋体" w:cs="宋体"/>
          <w:lang w:eastAsia="zh-CN"/>
        </w:rPr>
        <w:t>：双方一致同意，场景切入遵循</w:t>
      </w:r>
      <w:r>
        <w:t>"</w:t>
      </w:r>
      <w:r>
        <w:rPr>
          <w:rFonts w:hint="eastAsia" w:ascii="宋体" w:hAnsi="宋体" w:eastAsia="宋体" w:cs="宋体"/>
          <w:lang w:eastAsia="zh-CN"/>
        </w:rPr>
        <w:t>安全优先、合规先行</w:t>
      </w:r>
      <w:r>
        <w:t>"</w:t>
      </w:r>
      <w:r>
        <w:rPr>
          <w:rFonts w:hint="eastAsia" w:ascii="宋体" w:hAnsi="宋体" w:eastAsia="宋体" w:cs="宋体"/>
          <w:lang w:eastAsia="zh-CN"/>
        </w:rPr>
        <w:t>原则，优先选择</w:t>
      </w:r>
      <w:r>
        <w:rPr>
          <w:rFonts w:hint="eastAsia" w:ascii="宋体" w:hAnsi="宋体" w:eastAsia="宋体" w:cs="宋体"/>
          <w:b w:val="0"/>
          <w:bCs/>
          <w:lang w:eastAsia="zh-CN"/>
        </w:rPr>
        <w:t>不直接接触患者身体</w:t>
      </w:r>
      <w:r>
        <w:rPr>
          <w:rFonts w:hint="eastAsia" w:ascii="宋体" w:hAnsi="宋体" w:eastAsia="宋体" w:cs="宋体"/>
          <w:lang w:eastAsia="zh-CN"/>
        </w:rPr>
        <w:t>、操作高频、业务价值高、可标准化验证的环节开展验证，再逐步向更复杂场景延伸。</w:t>
      </w:r>
    </w:p>
    <w:p w14:paraId="5569B624">
      <w:pPr>
        <w:ind w:firstLine="480"/>
        <w:jc w:val="both"/>
      </w:pPr>
      <w:r>
        <w:rPr>
          <w:rFonts w:hint="eastAsia" w:ascii="宋体" w:hAnsi="宋体" w:eastAsia="宋体" w:cs="宋体"/>
          <w:b/>
          <w:lang w:eastAsia="zh-CN"/>
        </w:rPr>
        <w:t>第四条　推进路径共识</w:t>
      </w:r>
      <w:r>
        <w:rPr>
          <w:rFonts w:hint="eastAsia" w:ascii="宋体" w:hAnsi="宋体" w:eastAsia="宋体" w:cs="宋体"/>
          <w:lang w:eastAsia="zh-CN"/>
        </w:rPr>
        <w:t>：双方本着务实渐进的原则灵活确定合作载体与形式，采取</w:t>
      </w:r>
      <w:r>
        <w:t>"</w:t>
      </w:r>
      <w:r>
        <w:rPr>
          <w:rFonts w:hint="eastAsia" w:ascii="宋体" w:hAnsi="宋体" w:eastAsia="宋体" w:cs="宋体"/>
          <w:lang w:eastAsia="zh-CN"/>
        </w:rPr>
        <w:t>先场景验证、后商业推广</w:t>
      </w:r>
      <w:r>
        <w:t>"</w:t>
      </w:r>
      <w:r>
        <w:rPr>
          <w:rFonts w:hint="eastAsia" w:ascii="宋体" w:hAnsi="宋体" w:eastAsia="宋体" w:cs="宋体"/>
          <w:lang w:eastAsia="zh-CN"/>
        </w:rPr>
        <w:t>的分阶段推进模式；各阶段具体合作内容、投入安排与商业条款以双方另行签署的正式协议为准。</w:t>
      </w:r>
    </w:p>
    <w:p w14:paraId="30494DCC">
      <w:pPr>
        <w:ind w:firstLine="480"/>
        <w:jc w:val="both"/>
      </w:pPr>
      <w:r>
        <w:rPr>
          <w:rFonts w:hint="eastAsia" w:ascii="宋体" w:hAnsi="宋体" w:eastAsia="宋体" w:cs="宋体"/>
          <w:b/>
          <w:lang w:eastAsia="zh-CN"/>
        </w:rPr>
        <w:t>第五条　场景界定共识</w:t>
      </w:r>
      <w:r>
        <w:rPr>
          <w:rFonts w:hint="eastAsia" w:ascii="宋体" w:hAnsi="宋体" w:eastAsia="宋体" w:cs="宋体"/>
          <w:lang w:eastAsia="zh-CN"/>
        </w:rPr>
        <w:t>：双方认同医疗健康场景需精细化界定与分类考察</w:t>
      </w:r>
      <w:r>
        <w:rPr>
          <w:rFonts w:hint="eastAsia" w:cs="宋体"/>
          <w:lang w:eastAsia="zh-CN"/>
        </w:rPr>
        <w:t>、</w:t>
      </w:r>
      <w:r>
        <w:rPr>
          <w:rFonts w:hint="eastAsia" w:cs="宋体"/>
          <w:lang w:val="en-US" w:eastAsia="zh-CN"/>
        </w:rPr>
        <w:t>探索合作</w:t>
      </w:r>
      <w:r>
        <w:rPr>
          <w:rFonts w:hint="eastAsia" w:ascii="宋体" w:hAnsi="宋体" w:eastAsia="宋体" w:cs="宋体"/>
          <w:lang w:eastAsia="zh-CN"/>
        </w:rPr>
        <w:t>。</w:t>
      </w:r>
      <w:r>
        <w:rPr>
          <w:rFonts w:hint="eastAsia" w:cs="宋体"/>
          <w:lang w:val="en-US" w:eastAsia="zh-CN"/>
        </w:rPr>
        <w:t>不同场景</w:t>
      </w:r>
      <w:r>
        <w:rPr>
          <w:rFonts w:hint="eastAsia" w:ascii="宋体" w:hAnsi="宋体" w:eastAsia="宋体" w:cs="宋体"/>
          <w:lang w:eastAsia="zh-CN"/>
        </w:rPr>
        <w:t>运营模式、临床流程与自动化需求存在本质差异，双方在场景考察与方案设计中将分别界定、分别评估。</w:t>
      </w:r>
    </w:p>
    <w:p w14:paraId="02217DDC">
      <w:pPr>
        <w:pStyle w:val="4"/>
      </w:pPr>
      <w:r>
        <w:rPr>
          <w:rFonts w:hint="eastAsia" w:ascii="宋体" w:hAnsi="宋体" w:eastAsia="宋体" w:cs="宋体"/>
          <w:sz w:val="28"/>
          <w:lang w:eastAsia="zh-CN"/>
        </w:rPr>
        <w:t>第二部分　近期合作内容</w:t>
      </w:r>
    </w:p>
    <w:p w14:paraId="36441C93">
      <w:pPr>
        <w:pStyle w:val="5"/>
      </w:pPr>
      <w:r>
        <w:rPr>
          <w:rFonts w:hint="eastAsia" w:ascii="宋体" w:hAnsi="宋体" w:eastAsia="宋体" w:cs="宋体"/>
          <w:sz w:val="25"/>
          <w:lang w:eastAsia="zh-CN"/>
        </w:rPr>
        <w:t>（一）生命科学领域具身智能应用合作</w:t>
      </w:r>
    </w:p>
    <w:p w14:paraId="759FF287">
      <w:pPr>
        <w:ind w:firstLine="480"/>
        <w:jc w:val="both"/>
      </w:pPr>
      <w:r>
        <w:rPr>
          <w:rFonts w:hint="eastAsia" w:ascii="宋体" w:hAnsi="宋体" w:eastAsia="宋体" w:cs="宋体"/>
          <w:b/>
          <w:lang w:eastAsia="zh-CN"/>
        </w:rPr>
        <w:t>1. 合作方向：双方共同探索具身智能技术在生命科学实验室场景的应用落地，具体合作形式与载体由双方根据验证进展协商确定。</w:t>
      </w:r>
    </w:p>
    <w:p w14:paraId="05433E4E">
      <w:pPr>
        <w:ind w:firstLine="480"/>
        <w:jc w:val="both"/>
      </w:pPr>
      <w:r>
        <w:rPr>
          <w:rFonts w:hint="eastAsia" w:ascii="宋体" w:hAnsi="宋体" w:eastAsia="宋体" w:cs="宋体"/>
          <w:b/>
          <w:lang w:eastAsia="zh-CN"/>
        </w:rPr>
        <w:t>2. 前期场景验证：</w:t>
      </w:r>
    </w:p>
    <w:p w14:paraId="0B35E067">
      <w:pPr>
        <w:numPr>
          <w:ilvl w:val="0"/>
          <w:numId w:val="1"/>
        </w:numPr>
        <w:ind w:left="425" w:leftChars="0" w:hanging="425" w:firstLineChars="0"/>
        <w:jc w:val="both"/>
        <w:rPr>
          <w:rFonts w:hint="eastAsia" w:cs="宋体"/>
          <w:lang w:val="en-US" w:eastAsia="zh-CN"/>
        </w:rPr>
      </w:pPr>
      <w:r>
        <w:rPr>
          <w:rFonts w:hint="eastAsia" w:cs="宋体"/>
          <w:lang w:val="en-US" w:eastAsia="zh-CN"/>
        </w:rPr>
        <w:t>前期场景验证</w:t>
      </w:r>
      <w:r>
        <w:rPr>
          <w:rFonts w:hint="eastAsia" w:cs="宋体"/>
          <w:lang w:val="en-US" w:eastAsia="zh-CN"/>
        </w:rPr>
        <w:t>及评测拟在杭州开展，由乙方负责组织管理；</w:t>
      </w:r>
    </w:p>
    <w:p w14:paraId="156D1D67">
      <w:pPr>
        <w:numPr>
          <w:ilvl w:val="0"/>
          <w:numId w:val="1"/>
        </w:numPr>
        <w:ind w:left="425" w:leftChars="0" w:hanging="425" w:firstLineChars="0"/>
        <w:jc w:val="both"/>
        <w:rPr>
          <w:rFonts w:hint="eastAsia" w:cs="宋体"/>
          <w:lang w:val="en-US" w:eastAsia="zh-CN"/>
        </w:rPr>
      </w:pPr>
      <w:r>
        <w:rPr>
          <w:rFonts w:hint="eastAsia" w:cs="宋体"/>
          <w:lang w:val="en-US" w:eastAsia="zh-CN"/>
        </w:rPr>
        <w:t>双方将围绕不直接接触患者身体的高频高价值场景开展首批验证，候选方向包括：</w:t>
      </w:r>
    </w:p>
    <w:p w14:paraId="44B72473">
      <w:pPr>
        <w:numPr>
          <w:ilvl w:val="0"/>
          <w:numId w:val="2"/>
        </w:numPr>
        <w:ind w:left="0" w:leftChars="0" w:firstLine="482" w:firstLineChars="200"/>
        <w:jc w:val="both"/>
      </w:pPr>
      <w:r>
        <w:rPr>
          <w:rFonts w:hint="eastAsia" w:cs="宋体"/>
          <w:b/>
          <w:bCs/>
          <w:lang w:val="en-US" w:eastAsia="zh-CN"/>
        </w:rPr>
        <w:t>检测</w:t>
      </w:r>
      <w:r>
        <w:rPr>
          <w:rFonts w:hint="eastAsia" w:ascii="宋体" w:hAnsi="宋体" w:eastAsia="宋体" w:cs="宋体"/>
          <w:b/>
          <w:lang w:eastAsia="zh-CN"/>
        </w:rPr>
        <w:t>分液环节</w:t>
      </w:r>
      <w:r>
        <w:rPr>
          <w:rFonts w:hint="eastAsia" w:ascii="宋体" w:hAnsi="宋体" w:eastAsia="宋体" w:cs="宋体"/>
          <w:lang w:eastAsia="zh-CN"/>
        </w:rPr>
        <w:t>：样本分注与移液处理等实验室液体操作；</w:t>
      </w:r>
    </w:p>
    <w:p w14:paraId="48897C67">
      <w:pPr>
        <w:numPr>
          <w:ilvl w:val="0"/>
          <w:numId w:val="2"/>
        </w:numPr>
        <w:ind w:left="0" w:leftChars="0" w:firstLine="482" w:firstLineChars="200"/>
        <w:jc w:val="both"/>
      </w:pPr>
      <w:r>
        <w:rPr>
          <w:rFonts w:hint="eastAsia" w:ascii="宋体" w:hAnsi="宋体" w:eastAsia="宋体" w:cs="宋体"/>
          <w:b/>
          <w:lang w:eastAsia="zh-CN"/>
        </w:rPr>
        <w:t>细胞培养制片流程中</w:t>
      </w:r>
      <w:r>
        <w:rPr>
          <w:rFonts w:hint="eastAsia" w:ascii="宋体" w:hAnsi="宋体" w:eastAsia="宋体" w:cs="宋体"/>
          <w:lang w:eastAsia="zh-CN"/>
        </w:rPr>
        <w:t>：细胞培养制片全流程中，样本在培养、观察、制片等不同设备与工位之间的转运与交接；</w:t>
      </w:r>
    </w:p>
    <w:p w14:paraId="1DFAEFE5">
      <w:pPr>
        <w:numPr>
          <w:ilvl w:val="0"/>
          <w:numId w:val="2"/>
        </w:numPr>
        <w:ind w:left="0" w:leftChars="0" w:firstLine="482" w:firstLineChars="200"/>
        <w:jc w:val="both"/>
      </w:pPr>
      <w:r>
        <w:rPr>
          <w:rFonts w:hint="eastAsia" w:ascii="宋体" w:hAnsi="宋体" w:eastAsia="宋体" w:cs="宋体"/>
          <w:b/>
          <w:lang w:eastAsia="zh-CN"/>
        </w:rPr>
        <w:t>病理组织切片</w:t>
      </w:r>
      <w:r>
        <w:rPr>
          <w:rFonts w:hint="eastAsia" w:cs="宋体"/>
          <w:b/>
          <w:lang w:eastAsia="zh-CN"/>
        </w:rPr>
        <w:t>、</w:t>
      </w:r>
      <w:r>
        <w:rPr>
          <w:rFonts w:hint="eastAsia" w:ascii="宋体" w:hAnsi="宋体" w:eastAsia="宋体" w:cs="宋体"/>
          <w:b/>
          <w:lang w:eastAsia="zh-CN"/>
        </w:rPr>
        <w:t>捞片环节</w:t>
      </w:r>
      <w:r>
        <w:rPr>
          <w:rFonts w:hint="eastAsia" w:ascii="宋体" w:hAnsi="宋体" w:eastAsia="宋体" w:cs="宋体"/>
          <w:lang w:eastAsia="zh-CN"/>
        </w:rPr>
        <w:t>：组织切片经展片后于载玻片捞取的精细操作。</w:t>
      </w:r>
    </w:p>
    <w:p w14:paraId="23933DE6">
      <w:pPr>
        <w:ind w:firstLine="480"/>
        <w:jc w:val="both"/>
      </w:pPr>
      <w:r>
        <w:rPr>
          <w:rFonts w:hint="eastAsia" w:ascii="宋体" w:hAnsi="宋体" w:eastAsia="宋体" w:cs="宋体"/>
          <w:lang w:eastAsia="zh-CN"/>
        </w:rPr>
        <w:t>上述候选场景为初步方向，具体首个</w:t>
      </w:r>
      <w:r>
        <w:t>POC</w:t>
      </w:r>
      <w:r>
        <w:rPr>
          <w:rFonts w:hint="eastAsia" w:ascii="宋体" w:hAnsi="宋体" w:eastAsia="宋体" w:cs="宋体"/>
          <w:lang w:eastAsia="zh-CN"/>
        </w:rPr>
        <w:t>（</w:t>
      </w:r>
      <w:r>
        <w:t>Proof of Concept</w:t>
      </w:r>
      <w:r>
        <w:rPr>
          <w:rFonts w:hint="eastAsia" w:ascii="宋体" w:hAnsi="宋体" w:eastAsia="宋体" w:cs="宋体"/>
          <w:lang w:eastAsia="zh-CN"/>
        </w:rPr>
        <w:t>，概念验证）场景、技术指标、评价指标与验证计划，</w:t>
      </w:r>
      <w:bookmarkStart w:id="3" w:name="场景对焦周期"/>
      <w:r>
        <w:rPr>
          <w:rFonts w:hint="eastAsia" w:ascii="宋体" w:hAnsi="宋体" w:eastAsia="宋体" w:cs="宋体"/>
          <w:lang w:eastAsia="zh-CN"/>
        </w:rPr>
        <w:t>由双方团队进一步对焦明确，原则上于</w:t>
      </w:r>
      <w:bookmarkEnd w:id="3"/>
      <w:r>
        <w:rPr>
          <w:rFonts w:hint="eastAsia" w:cs="宋体"/>
          <w:lang w:val="en-US" w:eastAsia="zh-CN"/>
        </w:rPr>
        <w:t>本MOU签署三</w:t>
      </w:r>
      <w:r>
        <w:rPr>
          <w:rFonts w:hint="eastAsia" w:ascii="宋体" w:hAnsi="宋体" w:eastAsia="宋体" w:cs="宋体"/>
          <w:lang w:eastAsia="zh-CN"/>
        </w:rPr>
        <w:t>周内完成对焦并形成书面验证方案。</w:t>
      </w:r>
    </w:p>
    <w:p w14:paraId="41053DD3">
      <w:pPr>
        <w:numPr>
          <w:ilvl w:val="0"/>
          <w:numId w:val="1"/>
        </w:numPr>
        <w:ind w:left="425" w:leftChars="0" w:hanging="425" w:firstLineChars="0"/>
        <w:jc w:val="both"/>
        <w:rPr>
          <w:rFonts w:hint="eastAsia" w:cs="宋体"/>
          <w:lang w:val="en-US" w:eastAsia="zh-CN"/>
        </w:rPr>
      </w:pPr>
      <w:r>
        <w:rPr>
          <w:rFonts w:hint="eastAsia" w:cs="宋体"/>
          <w:lang w:val="en-US" w:eastAsia="zh-CN"/>
        </w:rPr>
        <w:t>乙方投入：实验场地、算法模型（含大脑模型及配套软件工具链）、机器人本体及合作硬件生态资源、核心研发团队；</w:t>
      </w:r>
    </w:p>
    <w:p w14:paraId="450A14E4">
      <w:pPr>
        <w:numPr>
          <w:ilvl w:val="0"/>
          <w:numId w:val="1"/>
        </w:numPr>
        <w:ind w:left="425" w:leftChars="0" w:hanging="425" w:firstLineChars="0"/>
        <w:jc w:val="both"/>
        <w:rPr>
          <w:rFonts w:hint="eastAsia" w:cs="宋体"/>
          <w:lang w:val="en-US" w:eastAsia="zh-CN"/>
        </w:rPr>
      </w:pPr>
      <w:r>
        <w:rPr>
          <w:rFonts w:hint="eastAsia" w:cs="宋体"/>
          <w:lang w:val="en-US" w:eastAsia="zh-CN"/>
        </w:rPr>
        <w:t>甲方投入：实验设备与装置（检验分析设备、工作台及配套器材）以租赁或借用方式投入，并提供医学检验专业知识与标准操作流程（SOP）支持及场景专家团队。</w:t>
      </w:r>
    </w:p>
    <w:p w14:paraId="75CA8985">
      <w:pPr>
        <w:ind w:firstLine="480"/>
        <w:jc w:val="both"/>
      </w:pPr>
      <w:r>
        <w:rPr>
          <w:rFonts w:hint="eastAsia" w:ascii="宋体" w:hAnsi="宋体" w:eastAsia="宋体" w:cs="宋体"/>
          <w:b/>
          <w:lang w:eastAsia="zh-CN"/>
        </w:rPr>
        <w:t>3. 后续深化</w:t>
      </w:r>
      <w:r>
        <w:rPr>
          <w:rFonts w:hint="eastAsia" w:cs="宋体"/>
          <w:b/>
          <w:lang w:val="en-US" w:eastAsia="zh-CN"/>
        </w:rPr>
        <w:t>合作</w:t>
      </w:r>
      <w:r>
        <w:rPr>
          <w:rFonts w:hint="eastAsia" w:ascii="宋体" w:hAnsi="宋体" w:eastAsia="宋体" w:cs="宋体"/>
          <w:b/>
          <w:lang w:eastAsia="zh-CN"/>
        </w:rPr>
        <w:t>：在前期验证成果基础上，双方视进展深化合作，包括但不限于在杭州、广州等地</w:t>
      </w:r>
      <w:r>
        <w:rPr>
          <w:rFonts w:hint="eastAsia" w:cs="宋体"/>
          <w:b/>
          <w:lang w:val="en-US" w:eastAsia="zh-CN"/>
        </w:rPr>
        <w:t>落地</w:t>
      </w:r>
      <w:r>
        <w:rPr>
          <w:rFonts w:hint="eastAsia" w:ascii="宋体" w:hAnsi="宋体" w:eastAsia="宋体" w:cs="宋体"/>
          <w:b/>
          <w:lang w:eastAsia="zh-CN"/>
        </w:rPr>
        <w:t>合作</w:t>
      </w:r>
      <w:r>
        <w:rPr>
          <w:rFonts w:hint="eastAsia" w:cs="宋体"/>
          <w:b/>
          <w:lang w:val="en-US" w:eastAsia="zh-CN"/>
        </w:rPr>
        <w:t>测试基地与实验室</w:t>
      </w:r>
      <w:r>
        <w:rPr>
          <w:rFonts w:hint="eastAsia" w:ascii="宋体" w:hAnsi="宋体" w:eastAsia="宋体" w:cs="宋体"/>
          <w:b/>
          <w:lang w:eastAsia="zh-CN"/>
        </w:rPr>
        <w:t>。具体运行机制、费用分担、人员安排及成果归属，由双方另行签署正式协议予以约定。</w:t>
      </w:r>
    </w:p>
    <w:p w14:paraId="3CE6CE5D">
      <w:pPr>
        <w:pStyle w:val="5"/>
      </w:pPr>
      <w:r>
        <w:rPr>
          <w:rFonts w:hint="eastAsia" w:ascii="宋体" w:hAnsi="宋体" w:eastAsia="宋体" w:cs="宋体"/>
          <w:sz w:val="25"/>
          <w:lang w:eastAsia="zh-CN"/>
        </w:rPr>
        <w:t>（</w:t>
      </w:r>
      <w:r>
        <w:rPr>
          <w:rFonts w:hint="eastAsia" w:ascii="宋体" w:hAnsi="宋体" w:eastAsia="宋体" w:cs="宋体"/>
          <w:sz w:val="25"/>
          <w:lang w:val="en-US" w:eastAsia="zh-CN"/>
        </w:rPr>
        <w:t>二</w:t>
      </w:r>
      <w:bookmarkStart w:id="12" w:name="_GoBack"/>
      <w:bookmarkEnd w:id="12"/>
      <w:r>
        <w:rPr>
          <w:rFonts w:hint="eastAsia" w:ascii="宋体" w:hAnsi="宋体" w:eastAsia="宋体" w:cs="宋体"/>
          <w:sz w:val="25"/>
          <w:lang w:eastAsia="zh-CN"/>
        </w:rPr>
        <w:t>）康复医疗场景联合考察交流</w:t>
      </w:r>
    </w:p>
    <w:p w14:paraId="526B067F">
      <w:pPr>
        <w:ind w:firstLine="480"/>
        <w:jc w:val="both"/>
      </w:pPr>
      <w:r>
        <w:rPr>
          <w:rFonts w:hint="eastAsia" w:ascii="宋体" w:hAnsi="宋体" w:eastAsia="宋体" w:cs="宋体"/>
          <w:lang w:eastAsia="zh-CN"/>
        </w:rPr>
        <w:t>双方共同组织对康复医疗机构的实地考察与交流。目标系形成康复场景下具身智能应用的机会清单与初步判断，为后续场景扩展提供依据。</w:t>
      </w:r>
    </w:p>
    <w:p w14:paraId="6D69907A">
      <w:pPr>
        <w:pStyle w:val="4"/>
      </w:pPr>
      <w:r>
        <w:rPr>
          <w:rFonts w:hint="eastAsia" w:ascii="宋体" w:hAnsi="宋体" w:eastAsia="宋体" w:cs="宋体"/>
          <w:sz w:val="28"/>
          <w:lang w:eastAsia="zh-CN"/>
        </w:rPr>
        <w:t>第三部分　远期合作方向</w:t>
      </w:r>
    </w:p>
    <w:p w14:paraId="7D8639B6">
      <w:pPr>
        <w:pStyle w:val="5"/>
      </w:pPr>
      <w:r>
        <w:rPr>
          <w:rFonts w:hint="eastAsia" w:ascii="宋体" w:hAnsi="宋体" w:eastAsia="宋体" w:cs="宋体"/>
          <w:sz w:val="25"/>
          <w:lang w:eastAsia="zh-CN"/>
        </w:rPr>
        <w:t>（一）场景扩展</w:t>
      </w:r>
    </w:p>
    <w:p w14:paraId="63A10FE7">
      <w:pPr>
        <w:ind w:firstLine="480"/>
        <w:jc w:val="both"/>
      </w:pPr>
      <w:r>
        <w:rPr>
          <w:rFonts w:hint="eastAsia" w:ascii="宋体" w:hAnsi="宋体" w:eastAsia="宋体" w:cs="宋体"/>
          <w:lang w:eastAsia="zh-CN"/>
        </w:rPr>
        <w:t>在试点验证基础上，双方探讨在以下场景开展进一步合作：</w:t>
      </w:r>
    </w:p>
    <w:p w14:paraId="7A4070BA">
      <w:pPr>
        <w:ind w:firstLine="480"/>
        <w:jc w:val="both"/>
      </w:pPr>
      <w:r>
        <w:rPr>
          <w:rFonts w:hint="eastAsia" w:ascii="宋体" w:hAnsi="宋体" w:eastAsia="宋体" w:cs="宋体"/>
          <w:lang w:eastAsia="zh-CN"/>
        </w:rPr>
        <w:t>（</w:t>
      </w:r>
      <w:r>
        <w:t>1</w:t>
      </w:r>
      <w:r>
        <w:rPr>
          <w:rFonts w:hint="eastAsia" w:ascii="宋体" w:hAnsi="宋体" w:eastAsia="宋体" w:cs="宋体"/>
          <w:lang w:eastAsia="zh-CN"/>
        </w:rPr>
        <w:t>）</w:t>
      </w:r>
      <w:r>
        <w:t>HPV</w:t>
      </w:r>
      <w:r>
        <w:rPr>
          <w:rFonts w:hint="eastAsia" w:ascii="宋体" w:hAnsi="宋体" w:eastAsia="宋体" w:cs="宋体"/>
          <w:lang w:eastAsia="zh-CN"/>
        </w:rPr>
        <w:t>（</w:t>
      </w:r>
      <w:r>
        <w:t>Human Papillomavirus</w:t>
      </w:r>
      <w:r>
        <w:rPr>
          <w:rFonts w:hint="eastAsia" w:ascii="宋体" w:hAnsi="宋体" w:eastAsia="宋体" w:cs="宋体"/>
          <w:lang w:eastAsia="zh-CN"/>
        </w:rPr>
        <w:t>）筛查等样本采集场景；</w:t>
      </w:r>
    </w:p>
    <w:p w14:paraId="32269F12">
      <w:pPr>
        <w:ind w:firstLine="480"/>
        <w:jc w:val="both"/>
      </w:pPr>
      <w:r>
        <w:rPr>
          <w:rFonts w:hint="eastAsia" w:ascii="宋体" w:hAnsi="宋体" w:eastAsia="宋体" w:cs="宋体"/>
          <w:lang w:eastAsia="zh-CN"/>
        </w:rPr>
        <w:t>（</w:t>
      </w:r>
      <w:r>
        <w:t>2</w:t>
      </w:r>
      <w:r>
        <w:rPr>
          <w:rFonts w:hint="eastAsia" w:ascii="宋体" w:hAnsi="宋体" w:eastAsia="宋体" w:cs="宋体"/>
          <w:lang w:eastAsia="zh-CN"/>
        </w:rPr>
        <w:t>）超声诊断相关辅助场景；</w:t>
      </w:r>
    </w:p>
    <w:p w14:paraId="56C7EC3E">
      <w:pPr>
        <w:ind w:firstLine="480"/>
        <w:jc w:val="both"/>
      </w:pPr>
      <w:r>
        <w:rPr>
          <w:rFonts w:hint="eastAsia" w:ascii="宋体" w:hAnsi="宋体" w:eastAsia="宋体" w:cs="宋体"/>
          <w:lang w:eastAsia="zh-CN"/>
        </w:rPr>
        <w:t>（</w:t>
      </w:r>
      <w:r>
        <w:t>3</w:t>
      </w:r>
      <w:r>
        <w:rPr>
          <w:rFonts w:hint="eastAsia" w:ascii="宋体" w:hAnsi="宋体" w:eastAsia="宋体" w:cs="宋体"/>
          <w:lang w:eastAsia="zh-CN"/>
        </w:rPr>
        <w:t>）康复领域的更多具身智能应用场景。</w:t>
      </w:r>
    </w:p>
    <w:p w14:paraId="196DC72A">
      <w:pPr>
        <w:pStyle w:val="5"/>
      </w:pPr>
      <w:r>
        <w:rPr>
          <w:rFonts w:hint="eastAsia" w:ascii="宋体" w:hAnsi="宋体" w:eastAsia="宋体" w:cs="宋体"/>
          <w:sz w:val="25"/>
          <w:lang w:eastAsia="zh-CN"/>
        </w:rPr>
        <w:t>（二）数据采集合作</w:t>
      </w:r>
    </w:p>
    <w:p w14:paraId="11167F3F">
      <w:pPr>
        <w:ind w:firstLine="480"/>
        <w:jc w:val="both"/>
      </w:pPr>
      <w:r>
        <w:rPr>
          <w:rFonts w:hint="eastAsia" w:ascii="宋体" w:hAnsi="宋体" w:eastAsia="宋体" w:cs="宋体"/>
          <w:lang w:eastAsia="zh-CN"/>
        </w:rPr>
        <w:t>双方探讨共建医疗场景具身智能数据体系，包括无本体（穿戴式</w:t>
      </w:r>
      <w:r>
        <w:t>/</w:t>
      </w:r>
      <w:r>
        <w:rPr>
          <w:rFonts w:hint="eastAsia" w:ascii="宋体" w:hAnsi="宋体" w:eastAsia="宋体" w:cs="宋体"/>
          <w:lang w:eastAsia="zh-CN"/>
        </w:rPr>
        <w:t>遥操作）数据采集、真机数据采集及仿真合成数据等多元数据采集方式，用于模型训练与场景适配。医疗数据的权属、合规、脱敏及使用范围，由双方在正式协议中依照适用法律法规另行约定。</w:t>
      </w:r>
    </w:p>
    <w:p w14:paraId="01B8B0BC">
      <w:pPr>
        <w:pStyle w:val="5"/>
      </w:pPr>
      <w:r>
        <w:rPr>
          <w:rFonts w:hint="eastAsia" w:ascii="宋体" w:hAnsi="宋体" w:eastAsia="宋体" w:cs="宋体"/>
          <w:sz w:val="25"/>
          <w:lang w:eastAsia="zh-CN"/>
        </w:rPr>
        <w:t>（三）海外检测中心端到端运营方案</w:t>
      </w:r>
    </w:p>
    <w:p w14:paraId="1822B479">
      <w:pPr>
        <w:ind w:firstLine="480"/>
        <w:jc w:val="both"/>
      </w:pPr>
      <w:r>
        <w:rPr>
          <w:rFonts w:hint="eastAsia" w:ascii="宋体" w:hAnsi="宋体" w:eastAsia="宋体" w:cs="宋体"/>
          <w:lang w:eastAsia="zh-CN"/>
        </w:rPr>
        <w:t>双方探讨面向甲方海外检测中心，共同设计并部署</w:t>
      </w:r>
      <w:r>
        <w:t>"</w:t>
      </w:r>
      <w:r>
        <w:rPr>
          <w:rFonts w:hint="eastAsia" w:ascii="宋体" w:hAnsi="宋体" w:eastAsia="宋体" w:cs="宋体"/>
          <w:lang w:eastAsia="zh-CN"/>
        </w:rPr>
        <w:t>具身智能＋工业自动化</w:t>
      </w:r>
      <w:r>
        <w:t>"</w:t>
      </w:r>
      <w:r>
        <w:rPr>
          <w:rFonts w:hint="eastAsia" w:ascii="宋体" w:hAnsi="宋体" w:eastAsia="宋体" w:cs="宋体"/>
          <w:lang w:eastAsia="zh-CN"/>
        </w:rPr>
        <w:t>的实验室端到端运营方案，涵盖样本前处理、检测流转、后处理等全流程的自动化与智能化设计、实施与运维。</w:t>
      </w:r>
    </w:p>
    <w:p w14:paraId="16800E75">
      <w:pPr>
        <w:pStyle w:val="4"/>
      </w:pPr>
      <w:r>
        <w:rPr>
          <w:rFonts w:hint="eastAsia" w:ascii="宋体" w:hAnsi="宋体" w:eastAsia="宋体" w:cs="宋体"/>
          <w:sz w:val="28"/>
          <w:lang w:eastAsia="zh-CN"/>
        </w:rPr>
        <w:t>第四部分　合作机制</w:t>
      </w:r>
    </w:p>
    <w:p w14:paraId="4BA97DDB">
      <w:pPr>
        <w:ind w:firstLine="480"/>
        <w:jc w:val="both"/>
      </w:pPr>
      <w:r>
        <w:rPr>
          <w:rFonts w:hint="eastAsia" w:ascii="宋体" w:hAnsi="宋体" w:eastAsia="宋体" w:cs="宋体"/>
          <w:b/>
          <w:lang w:eastAsia="zh-CN"/>
        </w:rPr>
        <w:t>1. 联络人机制</w:t>
      </w:r>
      <w:r>
        <w:rPr>
          <w:rFonts w:hint="eastAsia" w:ascii="宋体" w:hAnsi="宋体" w:eastAsia="宋体" w:cs="宋体"/>
          <w:lang w:eastAsia="zh-CN"/>
        </w:rPr>
        <w:t>：双方各指定一名联络人负责日常沟通与事务对接。甲方联络人：</w:t>
      </w:r>
      <w:bookmarkStart w:id="4" w:name="甲方联络人"/>
      <w:r>
        <w:t>____________</w:t>
      </w:r>
      <w:bookmarkEnd w:id="4"/>
      <w:r>
        <w:rPr>
          <w:rFonts w:hint="eastAsia" w:ascii="宋体" w:hAnsi="宋体" w:eastAsia="宋体" w:cs="宋体"/>
          <w:lang w:eastAsia="zh-CN"/>
        </w:rPr>
        <w:t>；乙方联络人：</w:t>
      </w:r>
      <w:bookmarkStart w:id="5" w:name="乙方联络人"/>
      <w:r>
        <w:t>____________</w:t>
      </w:r>
      <w:bookmarkEnd w:id="5"/>
      <w:r>
        <w:rPr>
          <w:rFonts w:hint="eastAsia" w:ascii="宋体" w:hAnsi="宋体" w:eastAsia="宋体" w:cs="宋体"/>
          <w:lang w:eastAsia="zh-CN"/>
        </w:rPr>
        <w:t>。</w:t>
      </w:r>
    </w:p>
    <w:p w14:paraId="39B9E004">
      <w:pPr>
        <w:ind w:firstLine="480"/>
        <w:jc w:val="both"/>
      </w:pPr>
      <w:r>
        <w:rPr>
          <w:rFonts w:hint="eastAsia" w:ascii="宋体" w:hAnsi="宋体" w:eastAsia="宋体" w:cs="宋体"/>
          <w:b/>
          <w:lang w:eastAsia="zh-CN"/>
        </w:rPr>
        <w:t>2. 联合工作组</w:t>
      </w:r>
      <w:r>
        <w:rPr>
          <w:rFonts w:hint="eastAsia" w:ascii="宋体" w:hAnsi="宋体" w:eastAsia="宋体" w:cs="宋体"/>
          <w:lang w:eastAsia="zh-CN"/>
        </w:rPr>
        <w:t>：双方组建联合工作组，不定期召开工作会议，对焦合作进展、协调资源投入、推进场景验证。</w:t>
      </w:r>
    </w:p>
    <w:p w14:paraId="497B7333">
      <w:pPr>
        <w:ind w:firstLine="480"/>
        <w:jc w:val="both"/>
      </w:pPr>
      <w:r>
        <w:rPr>
          <w:rFonts w:hint="eastAsia" w:ascii="宋体" w:hAnsi="宋体" w:eastAsia="宋体" w:cs="宋体"/>
          <w:b/>
          <w:lang w:eastAsia="zh-CN"/>
        </w:rPr>
        <w:t>3. 定期回顾</w:t>
      </w:r>
      <w:r>
        <w:rPr>
          <w:rFonts w:hint="eastAsia" w:ascii="宋体" w:hAnsi="宋体" w:eastAsia="宋体" w:cs="宋体"/>
          <w:lang w:eastAsia="zh-CN"/>
        </w:rPr>
        <w:t>：双方原则上每</w:t>
      </w:r>
      <w:r>
        <w:rPr>
          <w:rFonts w:hint="eastAsia" w:cs="宋体"/>
          <w:lang w:val="en-US" w:eastAsia="zh-CN"/>
        </w:rPr>
        <w:t>月</w:t>
      </w:r>
      <w:r>
        <w:rPr>
          <w:rFonts w:hint="eastAsia" w:ascii="宋体" w:hAnsi="宋体" w:eastAsia="宋体" w:cs="宋体"/>
          <w:lang w:eastAsia="zh-CN"/>
        </w:rPr>
        <w:t>对合作进展进行一次回顾，评估阶段成果并商定下一阶段计划。</w:t>
      </w:r>
    </w:p>
    <w:p w14:paraId="2D6C2941">
      <w:pPr>
        <w:pStyle w:val="4"/>
      </w:pPr>
      <w:r>
        <w:rPr>
          <w:rFonts w:hint="eastAsia" w:ascii="宋体" w:hAnsi="宋体" w:eastAsia="宋体" w:cs="宋体"/>
          <w:sz w:val="28"/>
          <w:lang w:eastAsia="zh-CN"/>
        </w:rPr>
        <w:t>第五部分　保密条款</w:t>
      </w:r>
    </w:p>
    <w:p w14:paraId="51397784">
      <w:pPr>
        <w:ind w:firstLine="480"/>
        <w:jc w:val="both"/>
      </w:pPr>
      <w:r>
        <w:t xml:space="preserve">1. </w:t>
      </w:r>
      <w:r>
        <w:rPr>
          <w:rFonts w:hint="eastAsia" w:ascii="宋体" w:hAnsi="宋体" w:eastAsia="宋体" w:cs="宋体"/>
          <w:lang w:eastAsia="zh-CN"/>
        </w:rPr>
        <w:t>双方对在合作洽谈及履行本备忘录过程中知悉的对方商业秘密、技术秘密、经营信息、患者相关信息及未公开资料（以下称</w:t>
      </w:r>
      <w:r>
        <w:t>"</w:t>
      </w:r>
      <w:r>
        <w:rPr>
          <w:rFonts w:hint="eastAsia" w:ascii="宋体" w:hAnsi="宋体" w:eastAsia="宋体" w:cs="宋体"/>
          <w:lang w:eastAsia="zh-CN"/>
        </w:rPr>
        <w:t>保密信息</w:t>
      </w:r>
      <w:r>
        <w:t>"</w:t>
      </w:r>
      <w:r>
        <w:rPr>
          <w:rFonts w:hint="eastAsia" w:ascii="宋体" w:hAnsi="宋体" w:eastAsia="宋体" w:cs="宋体"/>
          <w:lang w:eastAsia="zh-CN"/>
        </w:rPr>
        <w:t>）负有保密义务，未经信息披露方书面同意，不得向任何第三方披露或用于本备忘录以外的目的。</w:t>
      </w:r>
    </w:p>
    <w:p w14:paraId="7B34F035">
      <w:pPr>
        <w:ind w:firstLine="480"/>
        <w:jc w:val="both"/>
      </w:pPr>
      <w:r>
        <w:t xml:space="preserve">2. </w:t>
      </w:r>
      <w:r>
        <w:rPr>
          <w:rFonts w:hint="eastAsia" w:ascii="宋体" w:hAnsi="宋体" w:eastAsia="宋体" w:cs="宋体"/>
          <w:lang w:eastAsia="zh-CN"/>
        </w:rPr>
        <w:t>涉及患者信息、医疗数据的处理，双方均应遵守适用法律法规及医疗健康数据监管要求。</w:t>
      </w:r>
    </w:p>
    <w:p w14:paraId="79F1DA9F">
      <w:pPr>
        <w:ind w:firstLine="480"/>
        <w:jc w:val="both"/>
      </w:pPr>
      <w:r>
        <w:t xml:space="preserve">3. </w:t>
      </w:r>
      <w:r>
        <w:rPr>
          <w:rFonts w:hint="eastAsia" w:ascii="宋体" w:hAnsi="宋体" w:eastAsia="宋体" w:cs="宋体"/>
          <w:lang w:eastAsia="zh-CN"/>
        </w:rPr>
        <w:t>本条保密义务不因本备忘录的终止或失效而失效，保密期限自知悉之日起</w:t>
      </w:r>
      <w:bookmarkStart w:id="6" w:name="保密期限"/>
      <w:r>
        <w:t>______</w:t>
      </w:r>
      <w:bookmarkEnd w:id="6"/>
      <w:r>
        <w:rPr>
          <w:rFonts w:hint="eastAsia" w:ascii="宋体" w:hAnsi="宋体" w:eastAsia="宋体" w:cs="宋体"/>
          <w:lang w:eastAsia="zh-CN"/>
        </w:rPr>
        <w:t>年。</w:t>
      </w:r>
    </w:p>
    <w:p w14:paraId="3EB1D62D">
      <w:pPr>
        <w:pStyle w:val="4"/>
      </w:pPr>
      <w:r>
        <w:rPr>
          <w:rFonts w:hint="eastAsia" w:ascii="宋体" w:hAnsi="宋体" w:eastAsia="宋体" w:cs="宋体"/>
          <w:sz w:val="28"/>
          <w:lang w:eastAsia="zh-CN"/>
        </w:rPr>
        <w:t>第六部分　知识产权</w:t>
      </w:r>
    </w:p>
    <w:p w14:paraId="3ED6C044">
      <w:pPr>
        <w:ind w:firstLine="480"/>
        <w:jc w:val="both"/>
      </w:pPr>
      <w:r>
        <w:t xml:space="preserve">1. </w:t>
      </w:r>
      <w:r>
        <w:rPr>
          <w:rFonts w:hint="eastAsia" w:ascii="宋体" w:hAnsi="宋体" w:eastAsia="宋体" w:cs="宋体"/>
          <w:lang w:eastAsia="zh-CN"/>
        </w:rPr>
        <w:t>双方在合作前各自拥有的知识产权（包括但不限于专利、软件著作权、模型权重、数据集、技术秘密）归各自所有，不因本备忘录的签署而发生转移。</w:t>
      </w:r>
    </w:p>
    <w:p w14:paraId="7D170B49">
      <w:pPr>
        <w:ind w:firstLine="480"/>
        <w:jc w:val="both"/>
      </w:pPr>
      <w:r>
        <w:rPr>
          <w:rFonts w:hint="eastAsia" w:ascii="宋体" w:hAnsi="宋体" w:eastAsia="宋体" w:cs="宋体"/>
          <w:lang w:eastAsia="zh-CN"/>
        </w:rPr>
        <w:t>2. 双方合作过程中产生的知识产权及相关成果的归属、使用与商业化安排，由双方在正式协议中另行约定。</w:t>
      </w:r>
    </w:p>
    <w:p w14:paraId="1EAEE48A">
      <w:pPr>
        <w:ind w:firstLine="480"/>
        <w:jc w:val="both"/>
      </w:pPr>
      <w:r>
        <w:t xml:space="preserve">3. </w:t>
      </w:r>
      <w:r>
        <w:rPr>
          <w:rFonts w:hint="eastAsia" w:ascii="宋体" w:hAnsi="宋体" w:eastAsia="宋体" w:cs="宋体"/>
          <w:lang w:eastAsia="zh-CN"/>
        </w:rPr>
        <w:t>未经对方书面同意，任何一方不得以对方名义或使用对方名称、商标、品牌进行对外宣传；涉及双方联合宣传的新闻口径，由双方事先对齐确认。</w:t>
      </w:r>
    </w:p>
    <w:p w14:paraId="003072B2">
      <w:pPr>
        <w:pStyle w:val="4"/>
      </w:pPr>
      <w:r>
        <w:rPr>
          <w:rFonts w:hint="eastAsia" w:ascii="宋体" w:hAnsi="宋体" w:eastAsia="宋体" w:cs="宋体"/>
          <w:sz w:val="28"/>
          <w:lang w:eastAsia="zh-CN"/>
        </w:rPr>
        <w:t>第七部分　非约束性声明</w:t>
      </w:r>
    </w:p>
    <w:p w14:paraId="498BD717">
      <w:pPr>
        <w:ind w:firstLine="480"/>
        <w:jc w:val="both"/>
      </w:pPr>
      <w:r>
        <w:t xml:space="preserve">1. </w:t>
      </w:r>
      <w:r>
        <w:rPr>
          <w:rFonts w:hint="eastAsia" w:ascii="宋体" w:hAnsi="宋体" w:eastAsia="宋体" w:cs="宋体"/>
          <w:lang w:eastAsia="zh-CN"/>
        </w:rPr>
        <w:t>本备忘录系双方合作意向的框架性文件，除第五部分（保密条款）、第六部分（知识产权）及本条外，不构成对任何一方具有法律约束力的义务。</w:t>
      </w:r>
    </w:p>
    <w:p w14:paraId="11B941D5">
      <w:pPr>
        <w:ind w:firstLine="480"/>
        <w:jc w:val="both"/>
      </w:pPr>
      <w:r>
        <w:t xml:space="preserve">2. </w:t>
      </w:r>
      <w:r>
        <w:rPr>
          <w:rFonts w:hint="eastAsia" w:ascii="宋体" w:hAnsi="宋体" w:eastAsia="宋体" w:cs="宋体"/>
          <w:lang w:eastAsia="zh-CN"/>
        </w:rPr>
        <w:t>双方具体合作事项的权利义务、投入安排、商业条款及责任承担，以双方另行签署的正式协议为准。</w:t>
      </w:r>
    </w:p>
    <w:p w14:paraId="4D8D0CB5">
      <w:pPr>
        <w:ind w:firstLine="480"/>
        <w:jc w:val="both"/>
      </w:pPr>
      <w:r>
        <w:t xml:space="preserve">3. </w:t>
      </w:r>
      <w:r>
        <w:rPr>
          <w:rFonts w:hint="eastAsia" w:ascii="宋体" w:hAnsi="宋体" w:eastAsia="宋体" w:cs="宋体"/>
          <w:lang w:eastAsia="zh-CN"/>
        </w:rPr>
        <w:t>任何一方在正式协议签署前，均有权基于自身独立判断调整或终止合作洽谈，且无需向对方承担责任，但应妥善处理已获取的保密信息。</w:t>
      </w:r>
    </w:p>
    <w:p w14:paraId="09793318">
      <w:pPr>
        <w:pStyle w:val="4"/>
      </w:pPr>
      <w:r>
        <w:rPr>
          <w:rFonts w:hint="eastAsia" w:ascii="宋体" w:hAnsi="宋体" w:eastAsia="宋体" w:cs="宋体"/>
          <w:sz w:val="28"/>
          <w:lang w:eastAsia="zh-CN"/>
        </w:rPr>
        <w:t>第八部分　其他</w:t>
      </w:r>
    </w:p>
    <w:p w14:paraId="5A3BD5F3">
      <w:pPr>
        <w:ind w:firstLine="480"/>
        <w:jc w:val="both"/>
      </w:pPr>
      <w:r>
        <w:t xml:space="preserve">1. </w:t>
      </w:r>
      <w:r>
        <w:rPr>
          <w:rFonts w:hint="eastAsia" w:ascii="宋体" w:hAnsi="宋体" w:eastAsia="宋体" w:cs="宋体"/>
          <w:lang w:eastAsia="zh-CN"/>
        </w:rPr>
        <w:t>本备忘录自双方授权代表签字（或盖章）之日起生效，有效期</w:t>
      </w:r>
      <w:bookmarkStart w:id="7" w:name="有效期"/>
      <w:r>
        <w:t>______</w:t>
      </w:r>
      <w:bookmarkEnd w:id="7"/>
      <w:r>
        <w:rPr>
          <w:rFonts w:hint="eastAsia" w:ascii="宋体" w:hAnsi="宋体" w:eastAsia="宋体" w:cs="宋体"/>
          <w:lang w:eastAsia="zh-CN"/>
        </w:rPr>
        <w:t>年。期满前经双方书面确认可延长。</w:t>
      </w:r>
    </w:p>
    <w:p w14:paraId="219526FA">
      <w:pPr>
        <w:ind w:firstLine="480"/>
        <w:jc w:val="both"/>
      </w:pPr>
      <w:r>
        <w:t xml:space="preserve">2. </w:t>
      </w:r>
      <w:r>
        <w:rPr>
          <w:rFonts w:hint="eastAsia" w:ascii="宋体" w:hAnsi="宋体" w:eastAsia="宋体" w:cs="宋体"/>
          <w:lang w:eastAsia="zh-CN"/>
        </w:rPr>
        <w:t>本备忘录的任何修改、补充，须经双方书面一致确认。</w:t>
      </w:r>
    </w:p>
    <w:p w14:paraId="27389637">
      <w:pPr>
        <w:ind w:firstLine="480"/>
        <w:jc w:val="both"/>
      </w:pPr>
      <w:r>
        <w:t xml:space="preserve">3. </w:t>
      </w:r>
      <w:r>
        <w:rPr>
          <w:rFonts w:hint="eastAsia" w:ascii="宋体" w:hAnsi="宋体" w:eastAsia="宋体" w:cs="宋体"/>
          <w:lang w:eastAsia="zh-CN"/>
        </w:rPr>
        <w:t>本备忘录一式贰份，双方各执壹份，具有同等效力。</w:t>
      </w:r>
    </w:p>
    <w:p w14:paraId="7135FF55">
      <w:pPr>
        <w:ind w:firstLine="420"/>
        <w:jc w:val="both"/>
      </w:pPr>
      <w:r>
        <w:rPr>
          <w:rFonts w:hint="eastAsia" w:ascii="宋体" w:hAnsi="宋体" w:eastAsia="宋体" w:cs="宋体"/>
          <w:color w:val="555555"/>
          <w:sz w:val="21"/>
          <w:lang w:eastAsia="zh-CN"/>
        </w:rPr>
        <w:t>（注：本文本为根据双方</w:t>
      </w:r>
      <w:r>
        <w:rPr>
          <w:color w:val="555555"/>
          <w:sz w:val="21"/>
        </w:rPr>
        <w:t>2026</w:t>
      </w:r>
      <w:r>
        <w:rPr>
          <w:rFonts w:hint="eastAsia" w:ascii="宋体" w:hAnsi="宋体" w:eastAsia="宋体" w:cs="宋体"/>
          <w:color w:val="555555"/>
          <w:sz w:val="21"/>
          <w:lang w:eastAsia="zh-CN"/>
        </w:rPr>
        <w:t>年</w:t>
      </w:r>
      <w:r>
        <w:rPr>
          <w:color w:val="555555"/>
          <w:sz w:val="21"/>
        </w:rPr>
        <w:t>8</w:t>
      </w:r>
      <w:r>
        <w:rPr>
          <w:rFonts w:hint="eastAsia" w:ascii="宋体" w:hAnsi="宋体" w:eastAsia="宋体" w:cs="宋体"/>
          <w:color w:val="555555"/>
          <w:sz w:val="21"/>
          <w:lang w:eastAsia="zh-CN"/>
        </w:rPr>
        <w:t>月</w:t>
      </w:r>
      <w:r>
        <w:rPr>
          <w:color w:val="555555"/>
          <w:sz w:val="21"/>
        </w:rPr>
        <w:t>19</w:t>
      </w:r>
      <w:r>
        <w:rPr>
          <w:rFonts w:hint="eastAsia" w:ascii="宋体" w:hAnsi="宋体" w:eastAsia="宋体" w:cs="宋体"/>
          <w:color w:val="555555"/>
          <w:sz w:val="21"/>
          <w:lang w:eastAsia="zh-CN"/>
        </w:rPr>
        <w:t>日至</w:t>
      </w:r>
      <w:r>
        <w:rPr>
          <w:color w:val="555555"/>
          <w:sz w:val="21"/>
        </w:rPr>
        <w:t>20</w:t>
      </w:r>
      <w:r>
        <w:rPr>
          <w:rFonts w:hint="eastAsia" w:ascii="宋体" w:hAnsi="宋体" w:eastAsia="宋体" w:cs="宋体"/>
          <w:color w:val="555555"/>
          <w:sz w:val="21"/>
          <w:lang w:eastAsia="zh-CN"/>
        </w:rPr>
        <w:t>日交流纪要整理的草案，供双方内部讨论与法务审阅，具体条款以双方协商定稿为准。）</w:t>
      </w:r>
    </w:p>
    <w:tbl>
      <w:tblPr>
        <w:tblStyle w:val="32"/>
        <w:tblW w:w="5000" w:type="pct"/>
        <w:tblInd w:w="0" w:type="dxa"/>
        <w:tblLayout w:type="autofit"/>
        <w:tblCellMar>
          <w:top w:w="0" w:type="dxa"/>
          <w:left w:w="108" w:type="dxa"/>
          <w:bottom w:w="0" w:type="dxa"/>
          <w:right w:w="108" w:type="dxa"/>
        </w:tblCellMar>
      </w:tblPr>
      <w:tblGrid>
        <w:gridCol w:w="4276"/>
        <w:gridCol w:w="4276"/>
      </w:tblGrid>
      <w:tr w14:paraId="25F070FB">
        <w:tblPrEx>
          <w:tblCellMar>
            <w:top w:w="0" w:type="dxa"/>
            <w:left w:w="108" w:type="dxa"/>
            <w:bottom w:w="0" w:type="dxa"/>
            <w:right w:w="108" w:type="dxa"/>
          </w:tblCellMar>
        </w:tblPrEx>
        <w:tc>
          <w:tcPr>
            <w:tcW w:w="2500" w:type="pct"/>
            <w:tcBorders>
              <w:top w:val="nil"/>
              <w:left w:val="nil"/>
              <w:bottom w:val="nil"/>
              <w:right w:val="nil"/>
            </w:tcBorders>
            <w:tcMar>
              <w:top w:w="200" w:type="dxa"/>
              <w:left w:w="120" w:type="dxa"/>
              <w:bottom w:w="200" w:type="dxa"/>
              <w:right w:w="120" w:type="dxa"/>
            </w:tcMar>
            <w:vAlign w:val="center"/>
          </w:tcPr>
          <w:p w14:paraId="2981F291">
            <w:pPr>
              <w:spacing w:before="60" w:after="60" w:line="240" w:lineRule="auto"/>
              <w:jc w:val="both"/>
            </w:pPr>
            <w:r>
              <w:rPr>
                <w:rFonts w:hint="eastAsia"/>
                <w:b/>
                <w:sz w:val="24"/>
              </w:rPr>
              <w:t>甲方：云康集团</w:t>
            </w:r>
            <w:r>
              <w:rPr>
                <w:sz w:val="24"/>
              </w:rPr>
              <w:t xml:space="preserve"> </w:t>
            </w:r>
          </w:p>
          <w:p w14:paraId="047E05F5">
            <w:pPr>
              <w:spacing w:before="60" w:after="60" w:line="240" w:lineRule="auto"/>
              <w:jc w:val="both"/>
            </w:pPr>
            <w:r>
              <w:rPr>
                <w:rFonts w:hint="eastAsia"/>
                <w:sz w:val="24"/>
              </w:rPr>
              <w:t>（签署主体：</w:t>
            </w:r>
            <w:bookmarkStart w:id="8" w:name="甲方签署主体"/>
            <w:r>
              <w:rPr>
                <w:sz w:val="24"/>
              </w:rPr>
              <w:t>__________________</w:t>
            </w:r>
            <w:bookmarkEnd w:id="8"/>
            <w:r>
              <w:rPr>
                <w:rFonts w:hint="eastAsia"/>
                <w:sz w:val="24"/>
              </w:rPr>
              <w:t xml:space="preserve">） </w:t>
            </w:r>
          </w:p>
          <w:p w14:paraId="273DEA28">
            <w:pPr>
              <w:spacing w:before="60" w:after="60" w:line="240" w:lineRule="auto"/>
              <w:jc w:val="both"/>
            </w:pPr>
            <w:r>
              <w:rPr>
                <w:rFonts w:hint="eastAsia"/>
                <w:sz w:val="24"/>
              </w:rPr>
              <w:t xml:space="preserve">授权代表签字：__________________ </w:t>
            </w:r>
          </w:p>
          <w:p w14:paraId="66D8A251">
            <w:pPr>
              <w:spacing w:before="60" w:after="60" w:line="240" w:lineRule="auto"/>
              <w:jc w:val="both"/>
            </w:pPr>
            <w:r>
              <w:rPr>
                <w:rFonts w:hint="eastAsia"/>
                <w:sz w:val="24"/>
              </w:rPr>
              <w:t xml:space="preserve">（盖章） </w:t>
            </w:r>
          </w:p>
          <w:p w14:paraId="65D98D22">
            <w:pPr>
              <w:spacing w:before="60" w:after="60" w:line="240" w:lineRule="auto"/>
              <w:jc w:val="both"/>
            </w:pPr>
            <w:r>
              <w:rPr>
                <w:rFonts w:hint="eastAsia"/>
                <w:sz w:val="24"/>
              </w:rPr>
              <w:t>日期：</w:t>
            </w:r>
            <w:bookmarkStart w:id="9" w:name="甲方签署日期"/>
            <w:r>
              <w:rPr>
                <w:sz w:val="24"/>
              </w:rPr>
              <w:t>______________</w:t>
            </w:r>
            <w:bookmarkEnd w:id="9"/>
          </w:p>
        </w:tc>
        <w:tc>
          <w:tcPr>
            <w:tcW w:w="2500" w:type="pct"/>
            <w:tcBorders>
              <w:top w:val="nil"/>
              <w:left w:val="nil"/>
              <w:bottom w:val="nil"/>
              <w:right w:val="nil"/>
            </w:tcBorders>
            <w:tcMar>
              <w:top w:w="200" w:type="dxa"/>
              <w:left w:w="120" w:type="dxa"/>
              <w:bottom w:w="200" w:type="dxa"/>
              <w:right w:w="120" w:type="dxa"/>
            </w:tcMar>
            <w:vAlign w:val="center"/>
          </w:tcPr>
          <w:p w14:paraId="4BC0EFE6">
            <w:pPr>
              <w:spacing w:before="60" w:after="60" w:line="240" w:lineRule="auto"/>
              <w:jc w:val="both"/>
            </w:pPr>
            <w:r>
              <w:rPr>
                <w:rFonts w:hint="eastAsia"/>
                <w:b/>
                <w:sz w:val="24"/>
              </w:rPr>
              <w:t>乙方：</w:t>
            </w:r>
            <w:r>
              <w:rPr>
                <w:rFonts w:hint="eastAsia"/>
                <w:b/>
                <w:sz w:val="24"/>
                <w:lang w:val="en-US" w:eastAsia="zh-CN"/>
              </w:rPr>
              <w:t>睦灵科技（杭州）有限公司</w:t>
            </w:r>
            <w:r>
              <w:rPr>
                <w:sz w:val="24"/>
              </w:rPr>
              <w:t xml:space="preserve"> </w:t>
            </w:r>
          </w:p>
          <w:p w14:paraId="0C3CABA9">
            <w:pPr>
              <w:spacing w:before="60" w:after="60" w:line="240" w:lineRule="auto"/>
              <w:jc w:val="both"/>
            </w:pPr>
            <w:r>
              <w:rPr>
                <w:rFonts w:hint="eastAsia"/>
                <w:sz w:val="24"/>
              </w:rPr>
              <w:t>（签署主体：</w:t>
            </w:r>
            <w:bookmarkStart w:id="10" w:name="乙方签署主体"/>
            <w:r>
              <w:rPr>
                <w:sz w:val="24"/>
              </w:rPr>
              <w:t>__________________</w:t>
            </w:r>
            <w:bookmarkEnd w:id="10"/>
            <w:r>
              <w:rPr>
                <w:rFonts w:hint="eastAsia"/>
                <w:sz w:val="24"/>
              </w:rPr>
              <w:t xml:space="preserve">） </w:t>
            </w:r>
          </w:p>
          <w:p w14:paraId="09C7A00E">
            <w:pPr>
              <w:spacing w:before="60" w:after="60" w:line="240" w:lineRule="auto"/>
              <w:jc w:val="both"/>
            </w:pPr>
            <w:r>
              <w:rPr>
                <w:rFonts w:hint="eastAsia"/>
                <w:sz w:val="24"/>
              </w:rPr>
              <w:t xml:space="preserve">授权代表签字：__________________ </w:t>
            </w:r>
          </w:p>
          <w:p w14:paraId="374CFC75">
            <w:pPr>
              <w:spacing w:before="60" w:after="60" w:line="240" w:lineRule="auto"/>
              <w:jc w:val="both"/>
            </w:pPr>
            <w:r>
              <w:rPr>
                <w:rFonts w:hint="eastAsia"/>
                <w:sz w:val="24"/>
              </w:rPr>
              <w:t xml:space="preserve">（盖章） </w:t>
            </w:r>
          </w:p>
          <w:p w14:paraId="15E121DA">
            <w:pPr>
              <w:spacing w:before="60" w:after="60" w:line="240" w:lineRule="auto"/>
              <w:jc w:val="both"/>
            </w:pPr>
            <w:r>
              <w:rPr>
                <w:rFonts w:hint="eastAsia"/>
                <w:sz w:val="24"/>
              </w:rPr>
              <w:t>日期：</w:t>
            </w:r>
            <w:bookmarkStart w:id="11" w:name="乙方签署日期"/>
            <w:r>
              <w:rPr>
                <w:sz w:val="24"/>
              </w:rPr>
              <w:t>______________</w:t>
            </w:r>
            <w:bookmarkEnd w:id="11"/>
          </w:p>
        </w:tc>
      </w:tr>
    </w:tbl>
    <w:p w14:paraId="45370F42"/>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7" w:lineRule="auto"/>
      </w:pPr>
      <w:r>
        <w:separator/>
      </w:r>
    </w:p>
  </w:footnote>
  <w:footnote w:type="continuationSeparator" w:id="1">
    <w:p>
      <w:pPr>
        <w:spacing w:before="0" w:after="0" w:line="367"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1B953D"/>
    <w:multiLevelType w:val="singleLevel"/>
    <w:tmpl w:val="F81B953D"/>
    <w:lvl w:ilvl="0" w:tentative="0">
      <w:start w:val="1"/>
      <w:numFmt w:val="decimal"/>
      <w:lvlText w:val="(%1)"/>
      <w:lvlJc w:val="left"/>
      <w:pPr>
        <w:ind w:left="425" w:hanging="425"/>
      </w:pPr>
      <w:rPr>
        <w:rFonts w:hint="default"/>
      </w:rPr>
    </w:lvl>
  </w:abstractNum>
  <w:abstractNum w:abstractNumId="1">
    <w:nsid w:val="6DC97412"/>
    <w:multiLevelType w:val="singleLevel"/>
    <w:tmpl w:val="6DC97412"/>
    <w:lvl w:ilvl="0" w:tentative="0">
      <w:start w:val="1"/>
      <w:numFmt w:val="decimalEnclosedCircleChinese"/>
      <w:suff w:val="nothing"/>
      <w:lvlText w:val="%1　"/>
      <w:lvlJc w:val="left"/>
      <w:pPr>
        <w:ind w:left="0" w:firstLine="40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D77BDF"/>
    <w:rsid w:val="26EE03F8"/>
    <w:rsid w:val="36A5176E"/>
    <w:rsid w:val="449C7124"/>
    <w:rsid w:val="4CE7306E"/>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7" w:lineRule="auto"/>
      <w:ind w:firstLine="480"/>
      <w:jc w:val="both"/>
    </w:pPr>
    <w:rPr>
      <w:rFonts w:ascii="宋体" w:hAnsi="宋体" w:eastAsia="宋体" w:cstheme="minorBidi"/>
      <w:color w:val="000000"/>
      <w:sz w:val="24"/>
      <w:szCs w:val="22"/>
      <w:lang w:val="en-US" w:eastAsia="en-US" w:bidi="ar-SA"/>
    </w:rPr>
  </w:style>
  <w:style w:type="paragraph" w:styleId="3">
    <w:name w:val="heading 1"/>
    <w:basedOn w:val="1"/>
    <w:next w:val="1"/>
    <w:link w:val="152"/>
    <w:qFormat/>
    <w:uiPriority w:val="9"/>
    <w:pPr>
      <w:keepNext/>
      <w:keepLines/>
      <w:spacing w:before="480" w:after="120"/>
      <w:jc w:val="center"/>
      <w:outlineLvl w:val="0"/>
    </w:pPr>
    <w:rPr>
      <w:rFonts w:ascii="黑体" w:hAnsi="黑体" w:eastAsia="黑体"/>
      <w:b/>
      <w:bCs/>
      <w:color w:val="376092" w:themeColor="accent1" w:themeShade="BF"/>
      <w:sz w:val="40"/>
      <w:szCs w:val="28"/>
    </w:rPr>
  </w:style>
  <w:style w:type="paragraph" w:styleId="4">
    <w:name w:val="heading 2"/>
    <w:basedOn w:val="1"/>
    <w:next w:val="1"/>
    <w:link w:val="151"/>
    <w:unhideWhenUsed/>
    <w:qFormat/>
    <w:uiPriority w:val="9"/>
    <w:pPr>
      <w:keepNext/>
      <w:keepLines/>
      <w:spacing w:before="440" w:after="200"/>
      <w:outlineLvl w:val="1"/>
    </w:pPr>
    <w:rPr>
      <w:rFonts w:ascii="黑体" w:hAnsi="黑体" w:eastAsia="黑体"/>
      <w:b/>
      <w:bCs/>
      <w:color w:val="4F81BD" w:themeColor="accent1"/>
      <w:sz w:val="28"/>
      <w:szCs w:val="26"/>
      <w14:textFill>
        <w14:solidFill>
          <w14:schemeClr w14:val="accent1"/>
        </w14:solidFill>
      </w14:textFill>
    </w:rPr>
  </w:style>
  <w:style w:type="paragraph" w:styleId="5">
    <w:name w:val="heading 3"/>
    <w:basedOn w:val="1"/>
    <w:next w:val="1"/>
    <w:link w:val="135"/>
    <w:unhideWhenUsed/>
    <w:qFormat/>
    <w:uiPriority w:val="9"/>
    <w:pPr>
      <w:keepNext/>
      <w:keepLines/>
      <w:spacing w:before="280" w:after="160"/>
      <w:outlineLvl w:val="2"/>
    </w:pPr>
    <w:rPr>
      <w:rFonts w:ascii="黑体" w:hAnsi="黑体" w:eastAsia="黑体"/>
      <w:b/>
      <w:bCs/>
      <w:color w:val="4F81BD" w:themeColor="accent1"/>
      <w:sz w:val="25"/>
      <w14:textFill>
        <w14:solidFill>
          <w14:schemeClr w14:val="accent1"/>
        </w14:solidFill>
      </w14:textFill>
    </w:rPr>
  </w:style>
  <w:style w:type="paragraph" w:styleId="6">
    <w:name w:val="heading 4"/>
    <w:basedOn w:val="1"/>
    <w:next w:val="1"/>
    <w:link w:val="14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48"/>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3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4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3"/>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2"/>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5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contextualSpacing/>
    </w:pPr>
  </w:style>
  <w:style w:type="paragraph" w:styleId="14">
    <w:name w:val="List Number"/>
    <w:basedOn w:val="1"/>
    <w:unhideWhenUsed/>
    <w:qFormat/>
    <w:uiPriority w:val="99"/>
    <w:p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contextualSpacing/>
    </w:pPr>
  </w:style>
  <w:style w:type="paragraph" w:styleId="17">
    <w:name w:val="Body Text 3"/>
    <w:basedOn w:val="1"/>
    <w:link w:val="142"/>
    <w:unhideWhenUsed/>
    <w:qFormat/>
    <w:uiPriority w:val="99"/>
    <w:pPr>
      <w:spacing w:after="120"/>
    </w:pPr>
    <w:rPr>
      <w:sz w:val="16"/>
      <w:szCs w:val="16"/>
    </w:rPr>
  </w:style>
  <w:style w:type="paragraph" w:styleId="18">
    <w:name w:val="List Bullet 3"/>
    <w:basedOn w:val="1"/>
    <w:unhideWhenUsed/>
    <w:qFormat/>
    <w:uiPriority w:val="99"/>
    <w:pPr>
      <w:contextualSpacing/>
    </w:pPr>
  </w:style>
  <w:style w:type="paragraph" w:styleId="19">
    <w:name w:val="Body Text"/>
    <w:basedOn w:val="1"/>
    <w:link w:val="158"/>
    <w:unhideWhenUsed/>
    <w:qFormat/>
    <w:uiPriority w:val="99"/>
    <w:pPr>
      <w:spacing w:after="120"/>
    </w:pPr>
  </w:style>
  <w:style w:type="paragraph" w:styleId="20">
    <w:name w:val="List Number 3"/>
    <w:basedOn w:val="1"/>
    <w:unhideWhenUsed/>
    <w:uiPriority w:val="99"/>
    <w:p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contextualSpacing/>
    </w:pPr>
  </w:style>
  <w:style w:type="paragraph" w:styleId="24">
    <w:name w:val="footer"/>
    <w:basedOn w:val="1"/>
    <w:link w:val="156"/>
    <w:unhideWhenUsed/>
    <w:qFormat/>
    <w:uiPriority w:val="99"/>
    <w:pPr>
      <w:tabs>
        <w:tab w:val="center" w:pos="4680"/>
        <w:tab w:val="right" w:pos="9360"/>
      </w:tabs>
      <w:spacing w:after="0" w:line="240" w:lineRule="auto"/>
    </w:pPr>
  </w:style>
  <w:style w:type="paragraph" w:styleId="25">
    <w:name w:val="header"/>
    <w:basedOn w:val="1"/>
    <w:link w:val="157"/>
    <w:unhideWhenUsed/>
    <w:qFormat/>
    <w:uiPriority w:val="99"/>
    <w:pPr>
      <w:tabs>
        <w:tab w:val="center" w:pos="4680"/>
        <w:tab w:val="right" w:pos="9360"/>
      </w:tabs>
      <w:spacing w:after="0" w:line="240" w:lineRule="auto"/>
    </w:pPr>
  </w:style>
  <w:style w:type="paragraph" w:styleId="26">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39"/>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36">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37">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38">
    <w:name w:val="Intense Emphasis"/>
    <w:basedOn w:val="132"/>
    <w:qFormat/>
    <w:uiPriority w:val="21"/>
    <w:rPr>
      <w:b/>
      <w:bCs/>
      <w:i/>
      <w:iCs/>
      <w:color w:val="4F81BD" w:themeColor="accent1"/>
      <w14:textFill>
        <w14:solidFill>
          <w14:schemeClr w14:val="accent1"/>
        </w14:solidFill>
      </w14:textFill>
    </w:rPr>
  </w:style>
  <w:style w:type="character" w:customStyle="1" w:styleId="139">
    <w:name w:val="Body Text 2 Char"/>
    <w:basedOn w:val="132"/>
    <w:link w:val="28"/>
    <w:qFormat/>
    <w:uiPriority w:val="99"/>
  </w:style>
  <w:style w:type="character" w:customStyle="1" w:styleId="140">
    <w:name w:val="Quote Char"/>
    <w:basedOn w:val="132"/>
    <w:link w:val="141"/>
    <w:qFormat/>
    <w:uiPriority w:val="29"/>
    <w:rPr>
      <w:i/>
      <w:iCs/>
      <w:color w:val="000000" w:themeColor="text1"/>
      <w14:textFill>
        <w14:solidFill>
          <w14:schemeClr w14:val="tx1"/>
        </w14:solidFill>
      </w14:textFill>
    </w:rPr>
  </w:style>
  <w:style w:type="paragraph" w:styleId="141">
    <w:name w:val="Quote"/>
    <w:basedOn w:val="1"/>
    <w:next w:val="1"/>
    <w:link w:val="140"/>
    <w:qFormat/>
    <w:uiPriority w:val="29"/>
    <w:rPr>
      <w:i/>
      <w:iCs/>
      <w:color w:val="000000" w:themeColor="text1"/>
      <w14:textFill>
        <w14:solidFill>
          <w14:schemeClr w14:val="tx1"/>
        </w14:solidFill>
      </w14:textFill>
    </w:rPr>
  </w:style>
  <w:style w:type="character" w:customStyle="1" w:styleId="142">
    <w:name w:val="Body Text 3 Char"/>
    <w:basedOn w:val="132"/>
    <w:link w:val="17"/>
    <w:uiPriority w:val="99"/>
    <w:rPr>
      <w:sz w:val="16"/>
      <w:szCs w:val="16"/>
    </w:rPr>
  </w:style>
  <w:style w:type="character" w:customStyle="1" w:styleId="143">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44">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46">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47">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48">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49">
    <w:name w:val="Subtle Reference"/>
    <w:basedOn w:val="132"/>
    <w:qFormat/>
    <w:uiPriority w:val="31"/>
    <w:rPr>
      <w:smallCaps/>
      <w:color w:val="C0504D" w:themeColor="accent2"/>
      <w:u w:val="single"/>
      <w14:textFill>
        <w14:solidFill>
          <w14:schemeClr w14:val="accent2"/>
        </w14:solidFill>
      </w14:textFill>
    </w:rPr>
  </w:style>
  <w:style w:type="paragraph" w:styleId="150">
    <w:name w:val="Intense Quote"/>
    <w:basedOn w:val="1"/>
    <w:next w:val="1"/>
    <w:link w:val="15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1">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2">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53">
    <w:name w:val="Intense Quote Char"/>
    <w:basedOn w:val="132"/>
    <w:link w:val="150"/>
    <w:uiPriority w:val="30"/>
    <w:rPr>
      <w:b/>
      <w:bCs/>
      <w:i/>
      <w:iCs/>
      <w:color w:val="4F81BD" w:themeColor="accent1"/>
      <w14:textFill>
        <w14:solidFill>
          <w14:schemeClr w14:val="accent1"/>
        </w14:solidFill>
      </w14:textFill>
    </w:rPr>
  </w:style>
  <w:style w:type="character" w:customStyle="1" w:styleId="154">
    <w:name w:val="Book Title"/>
    <w:basedOn w:val="132"/>
    <w:qFormat/>
    <w:uiPriority w:val="33"/>
    <w:rPr>
      <w:b/>
      <w:bCs/>
      <w:smallCaps/>
      <w:spacing w:val="5"/>
    </w:rPr>
  </w:style>
  <w:style w:type="paragraph" w:styleId="155">
    <w:name w:val="List Paragraph"/>
    <w:basedOn w:val="1"/>
    <w:qFormat/>
    <w:uiPriority w:val="34"/>
    <w:pPr>
      <w:ind w:left="720"/>
      <w:contextualSpacing/>
    </w:pPr>
  </w:style>
  <w:style w:type="character" w:customStyle="1" w:styleId="156">
    <w:name w:val="Footer Char"/>
    <w:basedOn w:val="132"/>
    <w:link w:val="24"/>
    <w:uiPriority w:val="99"/>
  </w:style>
  <w:style w:type="character" w:customStyle="1" w:styleId="157">
    <w:name w:val="Header Char"/>
    <w:basedOn w:val="132"/>
    <w:link w:val="25"/>
    <w:qFormat/>
    <w:uiPriority w:val="99"/>
  </w:style>
  <w:style w:type="character" w:customStyle="1" w:styleId="158">
    <w:name w:val="Body Text Char"/>
    <w:basedOn w:val="132"/>
    <w:link w:val="19"/>
    <w:uiPriority w:val="99"/>
  </w:style>
  <w:style w:type="character" w:customStyle="1" w:styleId="159">
    <w:name w:val="Macro Text Char"/>
    <w:basedOn w:val="132"/>
    <w:link w:val="2"/>
    <w:qFormat/>
    <w:uiPriority w:val="99"/>
    <w:rPr>
      <w:rFonts w:ascii="Courier" w:hAnsi="Courier"/>
      <w:sz w:val="20"/>
      <w:szCs w:val="20"/>
    </w:rPr>
  </w:style>
  <w:style w:type="paragraph" w:customStyle="1" w:styleId="160">
    <w:name w:val="TOC Heading"/>
    <w:basedOn w:val="3"/>
    <w:next w:val="1"/>
    <w:semiHidden/>
    <w:unhideWhenUsed/>
    <w:qFormat/>
    <w:uiPriority w:val="39"/>
    <w:pPr>
      <w:outlineLvl w:val="9"/>
    </w:pPr>
  </w:style>
  <w:style w:type="paragraph" w:styleId="16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62">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63">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Words>2722</Words>
  <Characters>2985</Characters>
  <TotalTime>11</TotalTime>
  <ScaleCrop>false</ScaleCrop>
  <LinksUpToDate>false</LinksUpToDate>
  <CharactersWithSpaces>3033</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2026-08-22T19:06:00Z</dcterms:created>
  <dc:creator>Lenovo</dc:creator>
  <cp:lastModifiedBy>Anson</cp:lastModifiedBy>
  <dcterms:modified xsi:type="dcterms:W3CDTF">2026-08-22T11:19:33Z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2052-12.1.0.28043</vt:lpwstr>
  </property>
  <property fmtid="{D5CDD505-2E9C-101B-9397-08002B2CF9AE}" pid="4" name="ICV">
    <vt:lpwstr>DB9A4BFCE7FD49BF95BE301791601C61_13</vt:lpwstr>
  </property>
</Properties>
</file>