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60A36">
      <w:pPr>
        <w:spacing w:before="120" w:after="320" w:line="360" w:lineRule="auto"/>
        <w:jc w:val="center"/>
      </w:pPr>
      <w:r>
        <w:rPr>
          <w:rFonts w:ascii="黑体" w:hAnsi="黑体" w:eastAsia="黑体" w:cs="黑体"/>
          <w:b/>
          <w:color w:val="1A2A5E"/>
          <w:sz w:val="32"/>
        </w:rPr>
        <w:t>石蜡切片捞片 项目实施细则</w:t>
      </w:r>
    </w:p>
    <w:p w14:paraId="5A7A5908">
      <w:pPr>
        <w:spacing w:line="360" w:lineRule="auto"/>
      </w:pPr>
      <w:r>
        <w:rPr>
          <w:rFonts w:ascii="宋体" w:hAnsi="宋体" w:eastAsia="宋体" w:cs="宋体"/>
          <w:b w:val="0"/>
          <w:sz w:val="24"/>
        </w:rPr>
        <w:t>甲方：Pasontech HK Limited</w:t>
      </w:r>
    </w:p>
    <w:p w14:paraId="7C58AAF4">
      <w:pPr>
        <w:spacing w:line="360" w:lineRule="auto"/>
      </w:pPr>
      <w:r>
        <w:rPr>
          <w:rFonts w:ascii="宋体" w:hAnsi="宋体" w:eastAsia="宋体" w:cs="宋体"/>
          <w:b w:val="0"/>
          <w:sz w:val="24"/>
        </w:rPr>
        <w:t>乙方：睦灵科技（杭州）有限公司</w:t>
      </w:r>
    </w:p>
    <w:p w14:paraId="4EE5FBE7">
      <w:pPr>
        <w:spacing w:line="360" w:lineRule="auto"/>
      </w:pPr>
      <w:r>
        <w:rPr>
          <w:rFonts w:ascii="宋体" w:hAnsi="宋体" w:eastAsia="宋体" w:cs="宋体"/>
          <w:b w:val="0"/>
          <w:sz w:val="24"/>
        </w:rPr>
        <w:t>丙方：____________（签署时填入具体机构）</w:t>
      </w:r>
    </w:p>
    <w:p w14:paraId="77B2B803">
      <w:pPr>
        <w:spacing w:line="360" w:lineRule="auto"/>
      </w:pPr>
      <w:r>
        <w:rPr>
          <w:rFonts w:ascii="宋体" w:hAnsi="宋体" w:eastAsia="宋体" w:cs="宋体"/>
          <w:b w:val="0"/>
          <w:sz w:val="24"/>
        </w:rPr>
        <w:t>签署日期：________年______月______日</w:t>
      </w:r>
    </w:p>
    <w:p w14:paraId="304CCB8E">
      <w:pPr>
        <w:spacing w:line="360" w:lineRule="auto"/>
      </w:pPr>
    </w:p>
    <w:p w14:paraId="7BBE8511">
      <w:pPr>
        <w:spacing w:before="120" w:after="40" w:line="360" w:lineRule="auto"/>
      </w:pPr>
      <w:r>
        <w:rPr>
          <w:rFonts w:ascii="黑体" w:hAnsi="黑体" w:eastAsia="黑体" w:cs="黑体"/>
          <w:b/>
          <w:color w:val="1A5CA8"/>
          <w:sz w:val="24"/>
        </w:rPr>
        <w:t>鉴于：</w:t>
      </w:r>
    </w:p>
    <w:p w14:paraId="10C48BCA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1. 为规范组织病理切片制备中「石蜡切片捞片」操作任务的实施，明确三方职责与技术指标，特制定本细则；</w:t>
      </w:r>
    </w:p>
    <w:p w14:paraId="0863CE9B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2. 本细则依托甲方协调的病理实验环境、乙方灵巧手操作系统及丙方提供的切片设备与实验场地而制定；</w:t>
      </w:r>
    </w:p>
    <w:p w14:paraId="62B4C3D0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3. 三方本着平等互利、优势互补的原则，经友好协商，就本项目操作任务实施细则达成一致。</w:t>
      </w:r>
    </w:p>
    <w:p w14:paraId="0485E5E1">
      <w:pPr>
        <w:spacing w:before="280" w:after="120" w:line="360" w:lineRule="auto"/>
      </w:pPr>
      <w:r>
        <w:rPr>
          <w:rFonts w:ascii="黑体" w:hAnsi="黑体" w:eastAsia="黑体" w:cs="黑体"/>
          <w:b/>
          <w:color w:val="1A5CA8"/>
          <w:sz w:val="24"/>
        </w:rPr>
        <w:t>第一条 项目内容</w:t>
      </w:r>
    </w:p>
    <w:p w14:paraId="7E7F331E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本细则项下操作任务为：组织样本经切片机完成组织切片并展片后，由灵巧手完成载玻片捞取操作。</w:t>
      </w:r>
    </w:p>
    <w:p w14:paraId="0E42B63E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目标：通过灵巧手精确执行展片后的切片捞片流程，实现石蜡切片从水浴至载玻片的稳定附着与放置，保障切片质量与操作效率，减少人工干预。</w:t>
      </w:r>
    </w:p>
    <w:p w14:paraId="1C6A292C">
      <w:pPr>
        <w:spacing w:before="280" w:after="120" w:line="360" w:lineRule="auto"/>
      </w:pPr>
      <w:r>
        <w:rPr>
          <w:rFonts w:ascii="黑体" w:hAnsi="黑体" w:eastAsia="黑体" w:cs="黑体"/>
          <w:b/>
          <w:color w:val="1A5CA8"/>
          <w:sz w:val="24"/>
        </w:rPr>
        <w:t>第二条 操作流程</w:t>
      </w:r>
    </w:p>
    <w:p w14:paraId="5A4ACD44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本项目操作流程分为以下步骤：</w:t>
      </w:r>
    </w:p>
    <w:p w14:paraId="496A0076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（1）切片机完成组织切片并进行展片处理；</w:t>
      </w:r>
    </w:p>
    <w:p w14:paraId="23AA3EBD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（2）灵巧手通过视觉识别并定位水浴中的切片；</w:t>
      </w:r>
    </w:p>
    <w:p w14:paraId="491FE9BA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（3）灵巧手以特定角度将载玻片浸入水面，使切片附着于载玻片；</w:t>
      </w:r>
    </w:p>
    <w:p w14:paraId="33B64DD9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（4）切片附着完成后，灵巧手完成取片与放置操作；</w:t>
      </w:r>
    </w:p>
    <w:p w14:paraId="15881273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（5）将放置好的载玻片传至烘烤工位，完成捞片流程。</w:t>
      </w:r>
    </w:p>
    <w:p w14:paraId="377D2377">
      <w:pPr>
        <w:spacing w:before="280" w:after="120" w:line="360" w:lineRule="auto"/>
      </w:pPr>
      <w:r>
        <w:rPr>
          <w:rFonts w:ascii="黑体" w:hAnsi="黑体" w:eastAsia="黑体" w:cs="黑体"/>
          <w:b/>
          <w:color w:val="1A5CA8"/>
          <w:sz w:val="24"/>
        </w:rPr>
        <w:t>第三条 三方分工</w:t>
      </w:r>
    </w:p>
    <w:p w14:paraId="1F029091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1. 甲方负责整体项目协调，对接并协调丙方场地、设备与人员资源，推动项目按期开展与落地；</w:t>
      </w:r>
    </w:p>
    <w:p w14:paraId="6DC88F83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2. 乙方负责灵巧手及配套系统的技术方案设计、设备部署、现场调试、算法模型与数据采集，负责完成操作任务并达到本细则约定的技术指标；</w:t>
      </w:r>
    </w:p>
    <w:p w14:paraId="73D09630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3. 丙方负责提供操作任务所需的场地、设备与人员支持，配合开展操作与数据采集，确保现场安全与规范运行。</w:t>
      </w:r>
    </w:p>
    <w:p w14:paraId="07E2E09B">
      <w:pPr>
        <w:spacing w:before="280" w:after="120" w:line="360" w:lineRule="auto"/>
        <w:rPr>
          <w:highlight w:val="yellow"/>
        </w:rPr>
      </w:pPr>
      <w:r>
        <w:rPr>
          <w:rFonts w:ascii="黑体" w:hAnsi="黑体" w:eastAsia="黑体" w:cs="黑体"/>
          <w:b/>
          <w:color w:val="1A5CA8"/>
          <w:sz w:val="24"/>
        </w:rPr>
        <w:t xml:space="preserve">第四条 </w:t>
      </w:r>
      <w:r>
        <w:rPr>
          <w:rFonts w:ascii="黑体" w:hAnsi="黑体" w:eastAsia="黑体" w:cs="黑体"/>
          <w:b/>
          <w:color w:val="1A5CA8"/>
          <w:sz w:val="24"/>
          <w:highlight w:val="yellow"/>
        </w:rPr>
        <w:t>技术指标与验收标准</w:t>
      </w:r>
    </w:p>
    <w:p w14:paraId="42B75B58">
      <w:pPr>
        <w:spacing w:line="360" w:lineRule="auto"/>
      </w:pPr>
      <w:r>
        <w:rPr>
          <w:rFonts w:ascii="宋体" w:hAnsi="宋体" w:eastAsia="宋体" w:cs="宋体"/>
          <w:b/>
          <w:sz w:val="24"/>
        </w:rPr>
        <w:t>4.1 技术指标：</w:t>
      </w:r>
    </w:p>
    <w:p w14:paraId="02BA1D67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（1）捞片成功率≥95%；</w:t>
      </w:r>
    </w:p>
    <w:p w14:paraId="6E923B8D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（2）单片操作时间≤30 秒；</w:t>
      </w:r>
    </w:p>
    <w:p w14:paraId="7460A954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（3）切片无破损率≥98%；</w:t>
      </w:r>
    </w:p>
    <w:p w14:paraId="0F6B802B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（4）载玻片放置精度±1mm。</w:t>
      </w:r>
    </w:p>
    <w:p w14:paraId="06341207">
      <w:pPr>
        <w:spacing w:before="80" w:line="360" w:lineRule="auto"/>
      </w:pPr>
      <w:r>
        <w:rPr>
          <w:rFonts w:ascii="宋体" w:hAnsi="宋体" w:eastAsia="宋体" w:cs="宋体"/>
          <w:b/>
          <w:sz w:val="24"/>
        </w:rPr>
        <w:t>4.2 验收标准：</w:t>
      </w:r>
    </w:p>
    <w:p w14:paraId="53DC7A1D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（1）连续运行 100 片无人工干预；</w:t>
      </w:r>
    </w:p>
    <w:p w14:paraId="4E645DD8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（2）捞片成功率达标；</w:t>
      </w:r>
    </w:p>
    <w:p w14:paraId="0F8BE614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（3）单片操作时间达标。</w:t>
      </w:r>
    </w:p>
    <w:p w14:paraId="28A15D80">
      <w:pPr>
        <w:spacing w:before="280" w:after="120" w:line="360" w:lineRule="auto"/>
      </w:pPr>
      <w:r>
        <w:rPr>
          <w:rFonts w:ascii="黑体" w:hAnsi="黑体" w:eastAsia="黑体" w:cs="黑体"/>
          <w:b/>
          <w:color w:val="1A5CA8"/>
          <w:sz w:val="24"/>
        </w:rPr>
        <w:t>第五条 知识产权</w:t>
      </w:r>
    </w:p>
    <w:p w14:paraId="39ADE4FF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1. 各方在合作前已拥有的知识产权归各自所有，不因本细则的实施而发生转移；</w:t>
      </w:r>
    </w:p>
    <w:p w14:paraId="785B429C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2. 本细则项下形成的场景解决方案及相关成果的</w:t>
      </w:r>
      <w:r>
        <w:rPr>
          <w:rFonts w:ascii="宋体" w:hAnsi="宋体" w:eastAsia="宋体" w:cs="宋体"/>
          <w:b w:val="0"/>
          <w:sz w:val="24"/>
          <w:highlight w:val="yellow"/>
        </w:rPr>
        <w:t>知识产权由甲、乙双方共同享有，丙方在约定范围内享有免费使用权；</w:t>
      </w:r>
    </w:p>
    <w:p w14:paraId="65A66B79">
      <w:pPr>
        <w:spacing w:line="360" w:lineRule="auto"/>
        <w:ind w:firstLine="480"/>
        <w:rPr>
          <w:highlight w:val="yellow"/>
        </w:rPr>
      </w:pPr>
      <w:r>
        <w:rPr>
          <w:rFonts w:ascii="宋体" w:hAnsi="宋体" w:eastAsia="宋体" w:cs="宋体"/>
          <w:b w:val="0"/>
          <w:sz w:val="24"/>
        </w:rPr>
        <w:t>3. 操作与训练过程中采集的</w:t>
      </w:r>
      <w:r>
        <w:rPr>
          <w:rFonts w:ascii="宋体" w:hAnsi="宋体" w:eastAsia="宋体" w:cs="宋体"/>
          <w:b w:val="0"/>
          <w:sz w:val="24"/>
          <w:highlight w:val="yellow"/>
        </w:rPr>
        <w:t>数据归丙方所有，乙方在约定范围内获得数据训练许可，用于算法与模型优化。</w:t>
      </w:r>
    </w:p>
    <w:p w14:paraId="6D281006">
      <w:pPr>
        <w:spacing w:before="280" w:after="120" w:line="360" w:lineRule="auto"/>
      </w:pPr>
      <w:r>
        <w:rPr>
          <w:rFonts w:ascii="黑体" w:hAnsi="黑体" w:eastAsia="黑体" w:cs="黑体"/>
          <w:b/>
          <w:color w:val="1A5CA8"/>
          <w:sz w:val="24"/>
        </w:rPr>
        <w:t>第六条 时间安排</w:t>
      </w:r>
      <w:bookmarkStart w:id="0" w:name="_GoBack"/>
      <w:bookmarkEnd w:id="0"/>
    </w:p>
    <w:p w14:paraId="3550868C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1. 启动时间：本细则经三方签署盖章之日起生效并启动实施；</w:t>
      </w:r>
    </w:p>
    <w:p w14:paraId="60A52639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2. 实施周期：自启动之日起 90 个工作日内完成本细则约定的操作任务、指标测试与验收；</w:t>
      </w:r>
    </w:p>
    <w:p w14:paraId="7E9A354A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3. 验收节点：实施周期内，乙方完成设备部署与联调后提交验收申请，三方共同组织现场验收；验收通过后由三方共同签署验收确认单。</w:t>
      </w:r>
    </w:p>
    <w:p w14:paraId="77790231">
      <w:pPr>
        <w:spacing w:before="280" w:after="120" w:line="360" w:lineRule="auto"/>
      </w:pPr>
      <w:r>
        <w:rPr>
          <w:rFonts w:ascii="黑体" w:hAnsi="黑体" w:eastAsia="黑体" w:cs="黑体"/>
          <w:b/>
          <w:color w:val="1A5CA8"/>
          <w:sz w:val="24"/>
        </w:rPr>
        <w:t>第七条 其他</w:t>
      </w:r>
    </w:p>
    <w:p w14:paraId="0E4F06EF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1. 本细则一式叁份，甲、乙、丙三方各执壹份，具有同等法律效力；</w:t>
      </w:r>
    </w:p>
    <w:p w14:paraId="37DBE82B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2. 本细则的订立、效力、解释、履行及争议解决均适用中华人民共和国法律；</w:t>
      </w:r>
    </w:p>
    <w:p w14:paraId="02CFB980">
      <w:pPr>
        <w:spacing w:line="360" w:lineRule="auto"/>
        <w:ind w:firstLine="480"/>
      </w:pPr>
      <w:r>
        <w:rPr>
          <w:rFonts w:ascii="宋体" w:hAnsi="宋体" w:eastAsia="宋体" w:cs="宋体"/>
          <w:b w:val="0"/>
          <w:sz w:val="24"/>
        </w:rPr>
        <w:t>3. 本细则未尽事宜，由三方另行协商并签订补充协议，补充协议与本细则具有同等法律效力。</w:t>
      </w:r>
    </w:p>
    <w:p w14:paraId="67CC0200">
      <w:pPr>
        <w:spacing w:line="360" w:lineRule="auto"/>
      </w:pPr>
    </w:p>
    <w:p w14:paraId="7BAB1473">
      <w:pPr>
        <w:spacing w:after="320" w:line="360" w:lineRule="auto"/>
        <w:jc w:val="center"/>
      </w:pPr>
      <w:r>
        <w:rPr>
          <w:rFonts w:ascii="宋体" w:hAnsi="宋体" w:eastAsia="宋体" w:cs="宋体"/>
          <w:b w:val="0"/>
          <w:sz w:val="24"/>
        </w:rPr>
        <w:t>（以下无正文，为签署页）</w:t>
      </w:r>
    </w:p>
    <w:p w14:paraId="0173CC7B">
      <w:pPr>
        <w:spacing w:line="360" w:lineRule="auto"/>
      </w:pPr>
    </w:p>
    <w:p w14:paraId="7C628891">
      <w:pPr>
        <w:spacing w:after="400" w:line="360" w:lineRule="auto"/>
      </w:pPr>
      <w:r>
        <w:rPr>
          <w:rFonts w:ascii="宋体" w:hAnsi="宋体" w:eastAsia="宋体" w:cs="宋体"/>
          <w:b w:val="0"/>
          <w:sz w:val="24"/>
        </w:rPr>
        <w:t>甲方（盖章）：Pasontech HK Limited</w:t>
      </w:r>
      <w:r>
        <w:rPr>
          <w:rFonts w:ascii="宋体" w:hAnsi="宋体" w:eastAsia="宋体" w:cs="宋体"/>
          <w:b w:val="0"/>
          <w:sz w:val="24"/>
        </w:rPr>
        <w:br w:type="textWrapping"/>
      </w:r>
      <w:r>
        <w:rPr>
          <w:rFonts w:ascii="宋体" w:hAnsi="宋体" w:eastAsia="宋体" w:cs="宋体"/>
          <w:b w:val="0"/>
          <w:sz w:val="24"/>
        </w:rPr>
        <w:t>授权代表签字：____________________</w:t>
      </w:r>
      <w:r>
        <w:rPr>
          <w:rFonts w:ascii="宋体" w:hAnsi="宋体" w:eastAsia="宋体" w:cs="宋体"/>
          <w:b w:val="0"/>
          <w:sz w:val="24"/>
        </w:rPr>
        <w:br w:type="textWrapping"/>
      </w:r>
      <w:r>
        <w:rPr>
          <w:rFonts w:ascii="宋体" w:hAnsi="宋体" w:eastAsia="宋体" w:cs="宋体"/>
          <w:b w:val="0"/>
          <w:sz w:val="24"/>
        </w:rPr>
        <w:t>日期：________年______月______日</w:t>
      </w:r>
    </w:p>
    <w:p w14:paraId="751E9AF1">
      <w:pPr>
        <w:spacing w:after="400" w:line="360" w:lineRule="auto"/>
      </w:pPr>
      <w:r>
        <w:rPr>
          <w:rFonts w:ascii="宋体" w:hAnsi="宋体" w:eastAsia="宋体" w:cs="宋体"/>
          <w:b w:val="0"/>
          <w:sz w:val="24"/>
        </w:rPr>
        <w:t>乙方（盖章）：睦灵科技（杭州）有限公司</w:t>
      </w:r>
      <w:r>
        <w:rPr>
          <w:rFonts w:ascii="宋体" w:hAnsi="宋体" w:eastAsia="宋体" w:cs="宋体"/>
          <w:b w:val="0"/>
          <w:sz w:val="24"/>
        </w:rPr>
        <w:br w:type="textWrapping"/>
      </w:r>
      <w:r>
        <w:rPr>
          <w:rFonts w:ascii="宋体" w:hAnsi="宋体" w:eastAsia="宋体" w:cs="宋体"/>
          <w:b w:val="0"/>
          <w:sz w:val="24"/>
        </w:rPr>
        <w:t>授权代表签字：____________________</w:t>
      </w:r>
      <w:r>
        <w:rPr>
          <w:rFonts w:ascii="宋体" w:hAnsi="宋体" w:eastAsia="宋体" w:cs="宋体"/>
          <w:b w:val="0"/>
          <w:sz w:val="24"/>
        </w:rPr>
        <w:br w:type="textWrapping"/>
      </w:r>
      <w:r>
        <w:rPr>
          <w:rFonts w:ascii="宋体" w:hAnsi="宋体" w:eastAsia="宋体" w:cs="宋体"/>
          <w:b w:val="0"/>
          <w:sz w:val="24"/>
        </w:rPr>
        <w:t>日期：________年______月______日</w:t>
      </w:r>
    </w:p>
    <w:p w14:paraId="2850AD0C">
      <w:pPr>
        <w:spacing w:line="360" w:lineRule="auto"/>
      </w:pPr>
      <w:r>
        <w:rPr>
          <w:rFonts w:ascii="宋体" w:hAnsi="宋体" w:eastAsia="宋体" w:cs="宋体"/>
          <w:b w:val="0"/>
          <w:sz w:val="24"/>
        </w:rPr>
        <w:t>丙方（盖章）：____________</w:t>
      </w:r>
      <w:r>
        <w:rPr>
          <w:rFonts w:ascii="宋体" w:hAnsi="宋体" w:eastAsia="宋体" w:cs="宋体"/>
          <w:b w:val="0"/>
          <w:sz w:val="24"/>
        </w:rPr>
        <w:br w:type="textWrapping"/>
      </w:r>
      <w:r>
        <w:rPr>
          <w:rFonts w:ascii="宋体" w:hAnsi="宋体" w:eastAsia="宋体" w:cs="宋体"/>
          <w:b w:val="0"/>
          <w:sz w:val="24"/>
        </w:rPr>
        <w:t>授权代表签字：____________________</w:t>
      </w:r>
      <w:r>
        <w:rPr>
          <w:rFonts w:ascii="宋体" w:hAnsi="宋体" w:eastAsia="宋体" w:cs="宋体"/>
          <w:b w:val="0"/>
          <w:sz w:val="24"/>
        </w:rPr>
        <w:br w:type="textWrapping"/>
      </w:r>
      <w:r>
        <w:rPr>
          <w:rFonts w:ascii="宋体" w:hAnsi="宋体" w:eastAsia="宋体" w:cs="宋体"/>
          <w:b w:val="0"/>
          <w:sz w:val="24"/>
        </w:rPr>
        <w:t>日期：________年______月______日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EC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1210</Words>
  <Characters>1416</Characters>
  <Lines>0</Lines>
  <Paragraphs>0</Paragraphs>
  <TotalTime>1</TotalTime>
  <ScaleCrop>false</ScaleCrop>
  <LinksUpToDate>false</LinksUpToDate>
  <CharactersWithSpaces>1450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2026-08-25T12:18:47Z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B126384BA0CC4C19BEDBE37DC4CA9E2A_12</vt:lpwstr>
  </property>
</Properties>
</file>