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CFE21">
      <w:pPr>
        <w:spacing w:after="80"/>
        <w:jc w:val="center"/>
      </w:pPr>
      <w:r>
        <w:rPr>
          <w:rFonts w:hint="eastAsia"/>
          <w:b/>
          <w:sz w:val="32"/>
          <w:lang w:val="en-US" w:eastAsia="zh-CN"/>
        </w:rPr>
        <w:t>Pasontech&amp;</w:t>
      </w:r>
      <w:r>
        <w:rPr>
          <w:rFonts w:ascii="Calibri" w:hAnsi="Calibri" w:eastAsia="微软雅黑"/>
          <w:b/>
          <w:sz w:val="32"/>
        </w:rPr>
        <w:t>睦灵</w:t>
      </w:r>
      <w:r>
        <w:rPr>
          <w:rFonts w:hint="eastAsia"/>
          <w:b/>
          <w:sz w:val="32"/>
          <w:lang w:val="en-US" w:eastAsia="zh-CN"/>
        </w:rPr>
        <w:t>科技</w:t>
      </w:r>
      <w:r>
        <w:rPr>
          <w:rFonts w:ascii="Calibri" w:hAnsi="Calibri" w:eastAsia="微软雅黑"/>
          <w:b/>
          <w:sz w:val="32"/>
        </w:rPr>
        <w:t xml:space="preserve"> MOU 826 修改</w:t>
      </w:r>
    </w:p>
    <w:p w14:paraId="1C2CFD5B">
      <w:pPr>
        <w:spacing w:after="200"/>
        <w:jc w:val="center"/>
      </w:pPr>
      <w:r>
        <w:rPr>
          <w:rFonts w:ascii="Calibri" w:hAnsi="Calibri" w:eastAsia="微软雅黑"/>
          <w:b w:val="0"/>
          <w:sz w:val="21"/>
        </w:rPr>
        <w:t>—</w:t>
      </w:r>
    </w:p>
    <w:p w14:paraId="65A2E274">
      <w:pPr>
        <w:spacing w:after="120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sz w:val="26"/>
        </w:rPr>
        <w:t>一、</w:t>
      </w:r>
      <w:r>
        <w:rPr>
          <w:rFonts w:hint="eastAsia"/>
          <w:b/>
          <w:sz w:val="26"/>
          <w:lang w:val="en-US" w:eastAsia="zh-CN"/>
        </w:rPr>
        <w:t>修改内容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"/>
        <w:gridCol w:w="2550"/>
        <w:gridCol w:w="2400"/>
        <w:gridCol w:w="4278"/>
      </w:tblGrid>
      <w:tr w14:paraId="737E0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" w:type="dxa"/>
            <w:shd w:val="clear" w:color="auto" w:fill="D9E2F3"/>
          </w:tcPr>
          <w:p w14:paraId="6BE9B36B">
            <w:pPr>
              <w:spacing w:after="4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w="2550" w:type="dxa"/>
            <w:shd w:val="clear" w:color="auto" w:fill="D9E2F3"/>
          </w:tcPr>
          <w:p w14:paraId="4438A22A">
            <w:pPr>
              <w:spacing w:after="4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b/>
                <w:sz w:val="20"/>
                <w:lang w:val="en-US" w:eastAsia="zh-CN"/>
              </w:rPr>
              <w:t>睦灵科技团队立场</w:t>
            </w:r>
          </w:p>
        </w:tc>
        <w:tc>
          <w:tcPr>
            <w:tcW w:w="2400" w:type="dxa"/>
            <w:shd w:val="clear" w:color="auto" w:fill="D9E2F3"/>
          </w:tcPr>
          <w:p w14:paraId="582B10CC">
            <w:pPr>
              <w:spacing w:after="4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落点条款</w:t>
            </w:r>
          </w:p>
        </w:tc>
        <w:tc>
          <w:tcPr>
            <w:tcW w:w="4278" w:type="dxa"/>
            <w:shd w:val="clear" w:color="auto" w:fill="D9E2F3"/>
          </w:tcPr>
          <w:p w14:paraId="1ECB454C">
            <w:pPr>
              <w:spacing w:after="4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修改动作与结果（已逐段核对）</w:t>
            </w:r>
          </w:p>
        </w:tc>
      </w:tr>
      <w:tr w14:paraId="57CAB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" w:type="dxa"/>
          </w:tcPr>
          <w:p w14:paraId="3A8DCB05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w="2550" w:type="dxa"/>
          </w:tcPr>
          <w:p w14:paraId="5FE0E296">
            <w:pPr>
              <w:spacing w:after="40" w:line="240" w:lineRule="auto"/>
              <w:rPr>
                <w:rFonts w:ascii="Calibri" w:hAnsi="Calibri" w:eastAsia="微软雅黑"/>
                <w:b w:val="0"/>
                <w:sz w:val="20"/>
              </w:rPr>
            </w:pPr>
            <w:r>
              <w:rPr>
                <w:rFonts w:ascii="Calibri" w:hAnsi="Calibri" w:eastAsia="微软雅黑"/>
                <w:b w:val="0"/>
                <w:sz w:val="20"/>
              </w:rPr>
              <w:t>只与 Pasontech 签订一份 MOU；</w:t>
            </w:r>
          </w:p>
          <w:p w14:paraId="759A6F35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在该 MOU 中约定甲方责任为指定一家全国排名前五名的独立医学实验室</w:t>
            </w:r>
            <w:r>
              <w:rPr>
                <w:rFonts w:hint="eastAsia"/>
                <w:b w:val="0"/>
                <w:sz w:val="20"/>
                <w:lang w:eastAsia="zh-CN"/>
              </w:rPr>
              <w:t>（</w:t>
            </w:r>
            <w:r>
              <w:rPr>
                <w:rFonts w:ascii="Calibri" w:hAnsi="Calibri" w:eastAsia="微软雅黑"/>
                <w:b w:val="0"/>
                <w:sz w:val="20"/>
              </w:rPr>
              <w:t xml:space="preserve"> ICL 机构</w:t>
            </w:r>
            <w:r>
              <w:rPr>
                <w:rFonts w:hint="eastAsia"/>
                <w:b w:val="0"/>
                <w:sz w:val="20"/>
                <w:lang w:eastAsia="zh-CN"/>
              </w:rPr>
              <w:t>）</w:t>
            </w:r>
            <w:r>
              <w:rPr>
                <w:rFonts w:ascii="Calibri" w:hAnsi="Calibri" w:eastAsia="微软雅黑"/>
                <w:b w:val="0"/>
                <w:sz w:val="20"/>
              </w:rPr>
              <w:t>作为场景方</w:t>
            </w:r>
          </w:p>
        </w:tc>
        <w:tc>
          <w:tcPr>
            <w:tcW w:w="2400" w:type="dxa"/>
          </w:tcPr>
          <w:p w14:paraId="038A6982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第二部分(二)2 验证场景</w:t>
            </w:r>
            <w:r>
              <w:rPr>
                <w:rFonts w:ascii="Calibri" w:hAnsi="Calibri" w:eastAsia="微软雅黑"/>
                <w:b w:val="0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20"/>
              </w:rPr>
              <w:t>第二部分(二)4 甲方投入</w:t>
            </w:r>
            <w:r>
              <w:rPr>
                <w:rFonts w:ascii="Calibri" w:hAnsi="Calibri" w:eastAsia="微软雅黑"/>
                <w:b w:val="0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20"/>
              </w:rPr>
              <w:t>3.1 前言</w:t>
            </w:r>
          </w:p>
        </w:tc>
        <w:tc>
          <w:tcPr>
            <w:tcW w:w="4278" w:type="dxa"/>
          </w:tcPr>
          <w:p w14:paraId="3E4F560C">
            <w:pPr>
              <w:spacing w:after="40" w:line="240" w:lineRule="auto"/>
              <w:rPr>
                <w:rFonts w:ascii="Calibri" w:hAnsi="Calibri" w:eastAsia="微软雅黑"/>
                <w:b w:val="0"/>
                <w:sz w:val="20"/>
              </w:rPr>
            </w:pPr>
            <w:r>
              <w:rPr>
                <w:rFonts w:ascii="Calibri" w:hAnsi="Calibri" w:eastAsia="微软雅黑"/>
                <w:b w:val="0"/>
                <w:sz w:val="20"/>
              </w:rPr>
              <w:t>删除三方协议签署框架。</w:t>
            </w:r>
          </w:p>
          <w:p w14:paraId="30E99D8A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验证场景改为「甲方负责指定一家全国排名前五名的独立医学实验室（ICL）作为场景方，并协调其提供实验场地、检验分析设备、配套器材及场景专家团队」；甲方投入改为「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甲方</w:t>
            </w:r>
            <w:bookmarkStart w:id="0" w:name="_GoBack"/>
            <w:bookmarkEnd w:id="0"/>
            <w:r>
              <w:rPr>
                <w:rFonts w:ascii="Calibri" w:hAnsi="Calibri" w:eastAsia="微软雅黑"/>
                <w:b w:val="0"/>
                <w:sz w:val="20"/>
              </w:rPr>
              <w:t>协调甲方指定的场景方，以租赁或借用方式投入实验设备与装置」。</w:t>
            </w:r>
          </w:p>
        </w:tc>
      </w:tr>
      <w:tr w14:paraId="26DB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" w:type="dxa"/>
          </w:tcPr>
          <w:p w14:paraId="6869E043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w="2550" w:type="dxa"/>
          </w:tcPr>
          <w:p w14:paraId="49AF48E1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康复与养老场景合并为「康复养老」（简称康养）；由双方联合考察、共同确认具体开展概念验证的内容</w:t>
            </w:r>
          </w:p>
        </w:tc>
        <w:tc>
          <w:tcPr>
            <w:tcW w:w="2400" w:type="dxa"/>
          </w:tcPr>
          <w:p w14:paraId="70DE2222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第三条、第四条</w:t>
            </w:r>
            <w:r>
              <w:rPr>
                <w:rFonts w:ascii="Calibri" w:hAnsi="Calibri" w:eastAsia="微软雅黑"/>
                <w:b w:val="0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20"/>
              </w:rPr>
              <w:t>第五条层面一</w:t>
            </w:r>
            <w:r>
              <w:rPr>
                <w:rFonts w:ascii="Calibri" w:hAnsi="Calibri" w:eastAsia="微软雅黑"/>
                <w:b w:val="0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20"/>
              </w:rPr>
              <w:t>第三部分(三)</w:t>
            </w:r>
            <w:r>
              <w:rPr>
                <w:rFonts w:ascii="Calibri" w:hAnsi="Calibri" w:eastAsia="微软雅黑"/>
                <w:b w:val="0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20"/>
              </w:rPr>
              <w:t>第三部分(一)1/2</w:t>
            </w:r>
            <w:r>
              <w:rPr>
                <w:rFonts w:ascii="Calibri" w:hAnsi="Calibri" w:eastAsia="微软雅黑"/>
                <w:b w:val="0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20"/>
              </w:rPr>
              <w:t>第五部分4</w:t>
            </w:r>
            <w:r>
              <w:rPr>
                <w:rFonts w:ascii="Calibri" w:hAnsi="Calibri" w:eastAsia="微软雅黑"/>
                <w:b w:val="0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20"/>
              </w:rPr>
              <w:t>附注</w:t>
            </w:r>
          </w:p>
        </w:tc>
        <w:tc>
          <w:tcPr>
            <w:tcW w:w="4278" w:type="dxa"/>
          </w:tcPr>
          <w:p w14:paraId="6938D8AC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全文「康养养老／康养与养老」统一为「康养」（共 12 处，含第三条、第四条、层面一、验证时机/方式/成果运用、研究院设立、分阶段决策机制、附注等）。第三部分(三)删除「养老照护／康复训练／社区与居家康养」三个候选方向分列，改为「双方联合组织对康复医疗机构、养老机构及社区康养中心的实地考察，共同确认具体开展概念验证的内容，形成机会清单并选定首批验证场景」。</w:t>
            </w:r>
          </w:p>
        </w:tc>
      </w:tr>
      <w:tr w14:paraId="6B77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" w:type="dxa"/>
          </w:tcPr>
          <w:p w14:paraId="2F56E91A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w="2550" w:type="dxa"/>
          </w:tcPr>
          <w:p w14:paraId="4810D79F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场景合作协议安排删除原有内容，改为「乙方使用甲方数据训练的模型，未经甲方授权不得对外使用」</w:t>
            </w:r>
          </w:p>
        </w:tc>
        <w:tc>
          <w:tcPr>
            <w:tcW w:w="2400" w:type="dxa"/>
          </w:tcPr>
          <w:p w14:paraId="037D07AF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3.1.4</w:t>
            </w:r>
          </w:p>
        </w:tc>
        <w:tc>
          <w:tcPr>
            <w:tcW w:w="4278" w:type="dxa"/>
          </w:tcPr>
          <w:p w14:paraId="2ECDA0D9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原「甲乙双方共同与各场景方签署三方《场景合作与知识产权协议》」整条删除；小节标题改为「（4）模型使用限制」，正文改为「乙方使用甲方数据训练的模型，未经甲方授权不得对外使用」。</w:t>
            </w:r>
          </w:p>
        </w:tc>
      </w:tr>
      <w:tr w14:paraId="02B40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" w:type="dxa"/>
          </w:tcPr>
          <w:p w14:paraId="2F3EE31F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w="2550" w:type="dxa"/>
          </w:tcPr>
          <w:p w14:paraId="008FD9CD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养护机器人公司改为康养机器人公司</w:t>
            </w:r>
          </w:p>
        </w:tc>
        <w:tc>
          <w:tcPr>
            <w:tcW w:w="2400" w:type="dxa"/>
          </w:tcPr>
          <w:p w14:paraId="2269293F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第五条层面三</w:t>
            </w:r>
            <w:r>
              <w:rPr>
                <w:rFonts w:ascii="Calibri" w:hAnsi="Calibri" w:eastAsia="微软雅黑"/>
                <w:b w:val="0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20"/>
              </w:rPr>
              <w:t>第三部分(二)标题/1/3</w:t>
            </w:r>
            <w:r>
              <w:rPr>
                <w:rFonts w:ascii="Calibri" w:hAnsi="Calibri" w:eastAsia="微软雅黑"/>
                <w:b w:val="0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20"/>
              </w:rPr>
              <w:t>第三部分(三)3</w:t>
            </w:r>
          </w:p>
        </w:tc>
        <w:tc>
          <w:tcPr>
            <w:tcW w:w="4278" w:type="dxa"/>
          </w:tcPr>
          <w:p w14:paraId="4F8C5437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全文「养护机器人公司」全部改为「康养机器人公司」（共 6 处）。产品方向按团队确认保留「养老照护机器人」「康复辅助机器人」两条，删除「社区与居家康养设备」。</w:t>
            </w:r>
          </w:p>
        </w:tc>
      </w:tr>
      <w:tr w14:paraId="5B697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" w:type="dxa"/>
          </w:tcPr>
          <w:p w14:paraId="6FE36D62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w="2550" w:type="dxa"/>
          </w:tcPr>
          <w:p w14:paraId="0CEE41EC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底层技术删除「甲方获得上述改进版本在生命科技与大健康领域的独家使用权」句，改为限期授权非独家使用语义</w:t>
            </w:r>
          </w:p>
        </w:tc>
        <w:tc>
          <w:tcPr>
            <w:tcW w:w="2400" w:type="dxa"/>
          </w:tcPr>
          <w:p w14:paraId="48F3ADAC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3.1.1</w:t>
            </w:r>
          </w:p>
        </w:tc>
        <w:tc>
          <w:tcPr>
            <w:tcW w:w="4278" w:type="dxa"/>
          </w:tcPr>
          <w:p w14:paraId="3F36AD5B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改为「甲方可在双方约定的合作场景范围内、于约定期限内非独家使用上述改进版本，具体授权范围与期限由双方在正式协议中约定」；「乙方对其原有大脑模型、灵巧手操作算法、VLA 模型等底层技术的改进、迭代和优化，知识产权归乙方所有」保留不变。</w:t>
            </w:r>
          </w:p>
        </w:tc>
      </w:tr>
      <w:tr w14:paraId="310A2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" w:type="dxa"/>
          </w:tcPr>
          <w:p w14:paraId="4A10910E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</w:t>
            </w:r>
          </w:p>
        </w:tc>
        <w:tc>
          <w:tcPr>
            <w:tcW w:w="2550" w:type="dxa"/>
          </w:tcPr>
          <w:p w14:paraId="0F7C25D6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场景应用方案删除「场景方……获得该场景应用方案的免费使用权或未来产品优先采购权，作为其提供场景资源的对价」</w:t>
            </w:r>
          </w:p>
        </w:tc>
        <w:tc>
          <w:tcPr>
            <w:tcW w:w="2400" w:type="dxa"/>
          </w:tcPr>
          <w:p w14:paraId="0D5AE56D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3.1.2</w:t>
            </w:r>
          </w:p>
        </w:tc>
        <w:tc>
          <w:tcPr>
            <w:tcW w:w="4278" w:type="dxa"/>
          </w:tcPr>
          <w:p w14:paraId="7FB17A94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「针对特定场景开发的应用方案、工艺流程、软硬件配置方案及衍生技术，由甲乙双方共同共有」保留；删除场景方对价整句。</w:t>
            </w:r>
          </w:p>
        </w:tc>
      </w:tr>
      <w:tr w14:paraId="07850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" w:type="dxa"/>
          </w:tcPr>
          <w:p w14:paraId="37FA5933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</w:t>
            </w:r>
          </w:p>
        </w:tc>
        <w:tc>
          <w:tcPr>
            <w:tcW w:w="2550" w:type="dxa"/>
          </w:tcPr>
          <w:p w14:paraId="7EFF8C8B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删除 3.1.5</w:t>
            </w:r>
          </w:p>
        </w:tc>
        <w:tc>
          <w:tcPr>
            <w:tcW w:w="2400" w:type="dxa"/>
          </w:tcPr>
          <w:p w14:paraId="50112554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3.1.5</w:t>
            </w:r>
          </w:p>
        </w:tc>
        <w:tc>
          <w:tcPr>
            <w:tcW w:w="4278" w:type="dxa"/>
          </w:tcPr>
          <w:p w14:paraId="087BDAE3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「（5）知识产权注入研究院」标题及 3.1.5 正文（香港研究院设立后共同知识产权注入条款）整条删除。</w:t>
            </w:r>
          </w:p>
        </w:tc>
      </w:tr>
      <w:tr w14:paraId="6A31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" w:type="dxa"/>
          </w:tcPr>
          <w:p w14:paraId="777D9C33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</w:t>
            </w:r>
          </w:p>
        </w:tc>
        <w:tc>
          <w:tcPr>
            <w:tcW w:w="2550" w:type="dxa"/>
          </w:tcPr>
          <w:p w14:paraId="357B42FB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概念验证场地不在 MOU 中表述</w:t>
            </w:r>
          </w:p>
        </w:tc>
        <w:tc>
          <w:tcPr>
            <w:tcW w:w="2400" w:type="dxa"/>
          </w:tcPr>
          <w:p w14:paraId="5D47E594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第二部分(二)2</w:t>
            </w:r>
            <w:r>
              <w:rPr>
                <w:rFonts w:ascii="Calibri" w:hAnsi="Calibri" w:eastAsia="微软雅黑"/>
                <w:b w:val="0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20"/>
              </w:rPr>
              <w:t>3.1 前言</w:t>
            </w:r>
          </w:p>
        </w:tc>
        <w:tc>
          <w:tcPr>
            <w:tcW w:w="4278" w:type="dxa"/>
          </w:tcPr>
          <w:p w14:paraId="6934FE7C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删除「前期场景验证及评测拟在甲方协调的指定实验室开展」的场地表述；3.1 前言中「场地内开展」一并删除。</w:t>
            </w:r>
          </w:p>
        </w:tc>
      </w:tr>
    </w:tbl>
    <w:p w14:paraId="5F2C7582"/>
    <w:p w14:paraId="60415186">
      <w:pPr>
        <w:spacing w:after="120"/>
      </w:pPr>
      <w:r>
        <w:rPr>
          <w:rFonts w:ascii="Calibri" w:hAnsi="Calibri" w:eastAsia="微软雅黑"/>
          <w:b/>
          <w:sz w:val="26"/>
        </w:rPr>
        <w:t xml:space="preserve">二、双方通过 MOU </w:t>
      </w:r>
      <w:r>
        <w:rPr>
          <w:rFonts w:hint="eastAsia"/>
          <w:b/>
          <w:sz w:val="26"/>
          <w:lang w:val="en-US" w:eastAsia="zh-CN"/>
        </w:rPr>
        <w:t>各自</w:t>
      </w:r>
      <w:r>
        <w:rPr>
          <w:rFonts w:ascii="Calibri" w:hAnsi="Calibri" w:eastAsia="微软雅黑"/>
          <w:b/>
          <w:sz w:val="26"/>
        </w:rPr>
        <w:t>实现</w:t>
      </w:r>
      <w:r>
        <w:rPr>
          <w:rFonts w:hint="eastAsia"/>
          <w:b/>
          <w:sz w:val="26"/>
          <w:lang w:val="en-US" w:eastAsia="zh-CN"/>
        </w:rPr>
        <w:t>的</w:t>
      </w:r>
      <w:r>
        <w:rPr>
          <w:rFonts w:ascii="Calibri" w:hAnsi="Calibri" w:eastAsia="微软雅黑"/>
          <w:b/>
          <w:sz w:val="26"/>
        </w:rPr>
        <w:t>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2860"/>
        <w:gridCol w:w="5289"/>
      </w:tblGrid>
      <w:tr w14:paraId="61D30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shd w:val="clear" w:color="auto" w:fill="D9E2F3"/>
            <w:vAlign w:val="center"/>
          </w:tcPr>
          <w:p w14:paraId="082B6EE9">
            <w:pPr>
              <w:spacing w:after="4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合作方</w:t>
            </w:r>
          </w:p>
        </w:tc>
        <w:tc>
          <w:tcPr>
            <w:tcW w:w="2860" w:type="dxa"/>
            <w:shd w:val="clear" w:color="auto" w:fill="D9E2F3"/>
            <w:vAlign w:val="center"/>
          </w:tcPr>
          <w:p w14:paraId="67AE814B">
            <w:pPr>
              <w:spacing w:after="4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核心目标</w:t>
            </w:r>
          </w:p>
        </w:tc>
        <w:tc>
          <w:tcPr>
            <w:tcW w:w="5289" w:type="dxa"/>
            <w:shd w:val="clear" w:color="auto" w:fill="D9E2F3"/>
            <w:vAlign w:val="center"/>
          </w:tcPr>
          <w:p w14:paraId="7EDEE826">
            <w:pPr>
              <w:spacing w:after="4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MOU 实现机制（条款依据）</w:t>
            </w:r>
          </w:p>
        </w:tc>
      </w:tr>
      <w:tr w14:paraId="371B9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restart"/>
            <w:vAlign w:val="center"/>
          </w:tcPr>
          <w:p w14:paraId="1BED1677">
            <w:pPr>
              <w:spacing w:after="4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甲方</w:t>
            </w:r>
            <w:r>
              <w:rPr>
                <w:rFonts w:ascii="Calibri" w:hAnsi="Calibri" w:eastAsia="微软雅黑"/>
                <w:b/>
                <w:sz w:val="20"/>
              </w:rPr>
              <w:br w:type="textWrapping"/>
            </w:r>
            <w:r>
              <w:rPr>
                <w:rFonts w:ascii="Calibri" w:hAnsi="Calibri" w:eastAsia="微软雅黑"/>
                <w:b/>
                <w:sz w:val="20"/>
              </w:rPr>
              <w:t>Pasontech HK Limited</w:t>
            </w:r>
          </w:p>
        </w:tc>
        <w:tc>
          <w:tcPr>
            <w:tcW w:w="2860" w:type="dxa"/>
            <w:vAlign w:val="center"/>
          </w:tcPr>
          <w:p w14:paraId="649372D2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获取具身智能灵巧手技术在生命科技与大健康领域的应用窗口</w:t>
            </w:r>
          </w:p>
        </w:tc>
        <w:tc>
          <w:tcPr>
            <w:tcW w:w="5289" w:type="dxa"/>
            <w:vAlign w:val="center"/>
          </w:tcPr>
          <w:p w14:paraId="0965F604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3.1.1 乙方底层技术改进版本的限期、非独家使用权（限定合作场景范围）；</w:t>
            </w:r>
            <w:r>
              <w:rPr>
                <w:rFonts w:ascii="Calibri" w:hAnsi="Calibri" w:eastAsia="微软雅黑"/>
                <w:b w:val="0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sz w:val="20"/>
              </w:rPr>
              <w:t>3.1.2 场景应用方案与乙方共同共有</w:t>
            </w:r>
          </w:p>
        </w:tc>
      </w:tr>
      <w:tr w14:paraId="158BB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continue"/>
          </w:tcPr>
          <w:p w14:paraId="6F03B444">
            <w:pPr>
              <w:spacing w:after="0" w:line="240" w:lineRule="auto"/>
            </w:pPr>
          </w:p>
        </w:tc>
        <w:tc>
          <w:tcPr>
            <w:tcW w:w="2860" w:type="dxa"/>
            <w:vAlign w:val="center"/>
          </w:tcPr>
          <w:p w14:paraId="33838A44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锁定乙方模型不得利用甲方数据外流至第三方</w:t>
            </w:r>
          </w:p>
        </w:tc>
        <w:tc>
          <w:tcPr>
            <w:tcW w:w="5289" w:type="dxa"/>
            <w:vAlign w:val="center"/>
          </w:tcPr>
          <w:p w14:paraId="7C10F859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3.1.4（甲）「乙方使用甲方数据训练的模型，未经甲方授权不得对外使用」</w:t>
            </w:r>
          </w:p>
        </w:tc>
      </w:tr>
      <w:tr w14:paraId="1E24E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90" w:type="dxa"/>
            <w:vMerge w:val="continue"/>
          </w:tcPr>
          <w:p w14:paraId="347E870E">
            <w:pPr>
              <w:spacing w:after="0" w:line="240" w:lineRule="auto"/>
            </w:pPr>
          </w:p>
        </w:tc>
        <w:tc>
          <w:tcPr>
            <w:tcW w:w="2860" w:type="dxa"/>
            <w:vAlign w:val="center"/>
          </w:tcPr>
          <w:p w14:paraId="25FD6BBC">
            <w:pPr>
              <w:spacing w:after="4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sz w:val="20"/>
              </w:rPr>
              <w:t>以场景资源投入换回产业协同与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未来可能的商业回报</w:t>
            </w:r>
          </w:p>
        </w:tc>
        <w:tc>
          <w:tcPr>
            <w:tcW w:w="5289" w:type="dxa"/>
            <w:vAlign w:val="center"/>
          </w:tcPr>
          <w:p w14:paraId="6FEF85A8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指定全国排名前五名 ICL 作为场景方（第二部分(二)2）；验证成果通过其产业网络推广至医院检验科/病理科/ICL、康养机构、IVD 上游、大学科研院所（第三部分(三)）</w:t>
            </w:r>
          </w:p>
        </w:tc>
      </w:tr>
      <w:tr w14:paraId="0E0CF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continue"/>
          </w:tcPr>
          <w:p w14:paraId="1F1C15C7">
            <w:pPr>
              <w:spacing w:after="0" w:line="240" w:lineRule="auto"/>
            </w:pPr>
          </w:p>
        </w:tc>
        <w:tc>
          <w:tcPr>
            <w:tcW w:w="2860" w:type="dxa"/>
            <w:vAlign w:val="center"/>
          </w:tcPr>
          <w:p w14:paraId="4D11F4AC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落地全球化出海布局</w:t>
            </w:r>
          </w:p>
        </w:tc>
        <w:tc>
          <w:tcPr>
            <w:tcW w:w="5289" w:type="dxa"/>
            <w:vAlign w:val="center"/>
          </w:tcPr>
          <w:p w14:paraId="06F88C48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香港研究院作为全球化技术枢纽，统一负责技术输出、本地化适配与运维（第三部分(一)、第三部分(三)海外市场输出）</w:t>
            </w:r>
          </w:p>
        </w:tc>
      </w:tr>
      <w:tr w14:paraId="2EEAC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continue"/>
          </w:tcPr>
          <w:p w14:paraId="646BF1FC">
            <w:pPr>
              <w:spacing w:after="0" w:line="240" w:lineRule="auto"/>
            </w:pPr>
          </w:p>
        </w:tc>
        <w:tc>
          <w:tcPr>
            <w:tcW w:w="2860" w:type="dxa"/>
            <w:vAlign w:val="center"/>
          </w:tcPr>
          <w:p w14:paraId="07B5F886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参与商业化主体治理并分享收益</w:t>
            </w:r>
          </w:p>
        </w:tc>
        <w:tc>
          <w:tcPr>
            <w:tcW w:w="5289" w:type="dxa"/>
            <w:vAlign w:val="center"/>
          </w:tcPr>
          <w:p w14:paraId="59AED02C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与乙方共同持股香港研究院与康养机器人公司，设立理事会作为最高决策机构（第三部分(一)(二)）</w:t>
            </w:r>
          </w:p>
        </w:tc>
      </w:tr>
      <w:tr w14:paraId="4B8E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continue"/>
          </w:tcPr>
          <w:p w14:paraId="59E7EA9C">
            <w:pPr>
              <w:spacing w:after="0" w:line="240" w:lineRule="auto"/>
            </w:pPr>
          </w:p>
        </w:tc>
        <w:tc>
          <w:tcPr>
            <w:tcW w:w="2860" w:type="dxa"/>
            <w:vAlign w:val="center"/>
          </w:tcPr>
          <w:p w14:paraId="667FDEE7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获得数据训练与场景适配能力</w:t>
            </w:r>
          </w:p>
        </w:tc>
        <w:tc>
          <w:tcPr>
            <w:tcW w:w="5289" w:type="dxa"/>
            <w:vAlign w:val="center"/>
          </w:tcPr>
          <w:p w14:paraId="2951B25C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3.1.3 获得场景数据用于模型训练与场景适配的使用许可（不得向第三方转让或披露原始数据）</w:t>
            </w:r>
          </w:p>
        </w:tc>
      </w:tr>
      <w:tr w14:paraId="373A8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restart"/>
            <w:vAlign w:val="center"/>
          </w:tcPr>
          <w:p w14:paraId="42DF2492">
            <w:pPr>
              <w:spacing w:after="4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乙方</w:t>
            </w:r>
            <w:r>
              <w:rPr>
                <w:rFonts w:ascii="Calibri" w:hAnsi="Calibri" w:eastAsia="微软雅黑"/>
                <w:b/>
                <w:sz w:val="20"/>
              </w:rPr>
              <w:br w:type="textWrapping"/>
            </w:r>
            <w:r>
              <w:rPr>
                <w:rFonts w:ascii="Calibri" w:hAnsi="Calibri" w:eastAsia="微软雅黑"/>
                <w:b/>
                <w:sz w:val="20"/>
              </w:rPr>
              <w:t>睦灵科技</w:t>
            </w:r>
          </w:p>
        </w:tc>
        <w:tc>
          <w:tcPr>
            <w:tcW w:w="2860" w:type="dxa"/>
            <w:vAlign w:val="center"/>
          </w:tcPr>
          <w:p w14:paraId="4BA39648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零成本获得真实物理场景验证资源</w:t>
            </w:r>
          </w:p>
        </w:tc>
        <w:tc>
          <w:tcPr>
            <w:tcW w:w="5289" w:type="dxa"/>
            <w:vAlign w:val="center"/>
          </w:tcPr>
          <w:p w14:paraId="61F54F66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甲方负责指定全国排名前五名 ICL 作为场景方，并协调提供实验场地、检验分析设备、配套器材及场景专家团队（第二部分(二)2）；甲方投入改为协调指定场景方投入实验设备与装置（第二部分(二)4）</w:t>
            </w:r>
          </w:p>
        </w:tc>
      </w:tr>
      <w:tr w14:paraId="6E138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continue"/>
          </w:tcPr>
          <w:p w14:paraId="6D0CF712">
            <w:pPr>
              <w:spacing w:after="0" w:line="240" w:lineRule="auto"/>
            </w:pPr>
          </w:p>
        </w:tc>
        <w:tc>
          <w:tcPr>
            <w:tcW w:w="2860" w:type="dxa"/>
            <w:vAlign w:val="center"/>
          </w:tcPr>
          <w:p w14:paraId="27EC41C2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底层技术改进成果独占</w:t>
            </w:r>
          </w:p>
        </w:tc>
        <w:tc>
          <w:tcPr>
            <w:tcW w:w="5289" w:type="dxa"/>
            <w:vAlign w:val="center"/>
          </w:tcPr>
          <w:p w14:paraId="0740ED24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3.1.1 乙方对大脑模型、灵巧手操作算法、VLA 模型等底层技术的改进、迭代和优化，知识产权归乙方所有</w:t>
            </w:r>
          </w:p>
        </w:tc>
      </w:tr>
      <w:tr w14:paraId="3B1D5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continue"/>
          </w:tcPr>
          <w:p w14:paraId="0A2F4612">
            <w:pPr>
              <w:spacing w:after="0" w:line="240" w:lineRule="auto"/>
            </w:pPr>
          </w:p>
        </w:tc>
        <w:tc>
          <w:tcPr>
            <w:tcW w:w="2860" w:type="dxa"/>
            <w:vAlign w:val="center"/>
          </w:tcPr>
          <w:p w14:paraId="2936B931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场景应用方案权益保障</w:t>
            </w:r>
          </w:p>
        </w:tc>
        <w:tc>
          <w:tcPr>
            <w:tcW w:w="5289" w:type="dxa"/>
            <w:vAlign w:val="center"/>
          </w:tcPr>
          <w:p w14:paraId="248856EF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3.1.2 场景应用方案、工艺流程、软硬件配置方案及衍生技术由甲乙双方共同共有</w:t>
            </w:r>
          </w:p>
        </w:tc>
      </w:tr>
      <w:tr w14:paraId="38331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continue"/>
          </w:tcPr>
          <w:p w14:paraId="2ECEAB33">
            <w:pPr>
              <w:spacing w:after="0" w:line="240" w:lineRule="auto"/>
            </w:pPr>
          </w:p>
        </w:tc>
        <w:tc>
          <w:tcPr>
            <w:tcW w:w="2860" w:type="dxa"/>
            <w:vAlign w:val="center"/>
          </w:tcPr>
          <w:p w14:paraId="5956444E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获得模型训练数据来源</w:t>
            </w:r>
          </w:p>
        </w:tc>
        <w:tc>
          <w:tcPr>
            <w:tcW w:w="5289" w:type="dxa"/>
            <w:vAlign w:val="center"/>
          </w:tcPr>
          <w:p w14:paraId="5CC84FBD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3.1.3 获得操作数据、场景数据用于模型训练与场景适配的使用许可（涉及患者信息依法脱敏）</w:t>
            </w:r>
          </w:p>
        </w:tc>
      </w:tr>
      <w:tr w14:paraId="4D2DB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490" w:type="dxa"/>
            <w:vMerge w:val="continue"/>
          </w:tcPr>
          <w:p w14:paraId="46D54F50">
            <w:pPr>
              <w:spacing w:after="0" w:line="240" w:lineRule="auto"/>
            </w:pPr>
          </w:p>
        </w:tc>
        <w:tc>
          <w:tcPr>
            <w:tcW w:w="2860" w:type="dxa"/>
            <w:vAlign w:val="center"/>
          </w:tcPr>
          <w:p w14:paraId="35D8582C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防止甲方利用乙方数据训练的模型外流</w:t>
            </w:r>
          </w:p>
        </w:tc>
        <w:tc>
          <w:tcPr>
            <w:tcW w:w="5289" w:type="dxa"/>
            <w:vAlign w:val="center"/>
          </w:tcPr>
          <w:p w14:paraId="59767895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3.1.4（乙）新增对称条款「甲方使用乙方数据训练的模型，未经乙方授权不得对外使用」（2026-8-26 补充，形成双向约束）</w:t>
            </w:r>
          </w:p>
        </w:tc>
      </w:tr>
      <w:tr w14:paraId="3AD3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continue"/>
          </w:tcPr>
          <w:p w14:paraId="5EA6D980">
            <w:pPr>
              <w:spacing w:after="0" w:line="240" w:lineRule="auto"/>
            </w:pPr>
          </w:p>
        </w:tc>
        <w:tc>
          <w:tcPr>
            <w:tcW w:w="2860" w:type="dxa"/>
            <w:vAlign w:val="center"/>
          </w:tcPr>
          <w:p w14:paraId="6F0C2FAD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商业化落地载体</w:t>
            </w:r>
          </w:p>
        </w:tc>
        <w:tc>
          <w:tcPr>
            <w:tcW w:w="5289" w:type="dxa"/>
            <w:vAlign w:val="center"/>
          </w:tcPr>
          <w:p w14:paraId="4AF3B6FC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共同设立康养机器人公司，产品方向为养老照护机器人、康复辅助机器人（第三部分(二)）</w:t>
            </w:r>
          </w:p>
        </w:tc>
      </w:tr>
      <w:tr w14:paraId="5C6B6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0" w:type="dxa"/>
            <w:vMerge w:val="continue"/>
          </w:tcPr>
          <w:p w14:paraId="7A1AF65A">
            <w:pPr>
              <w:spacing w:after="0" w:line="240" w:lineRule="auto"/>
            </w:pPr>
          </w:p>
        </w:tc>
        <w:tc>
          <w:tcPr>
            <w:tcW w:w="2860" w:type="dxa"/>
            <w:vAlign w:val="center"/>
          </w:tcPr>
          <w:p w14:paraId="4EA8BB08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技术平台与出海通道</w:t>
            </w:r>
          </w:p>
        </w:tc>
        <w:tc>
          <w:tcPr>
            <w:tcW w:w="5289" w:type="dxa"/>
            <w:vAlign w:val="center"/>
          </w:tcPr>
          <w:p w14:paraId="3FCAB3BC">
            <w:pPr>
              <w:spacing w:after="4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香港研究院共同持股、参与治理（第三部分(一)）；借助甲方渠道渗透医疗、康养、IVD 供应链（第三部分(三)）</w:t>
            </w:r>
          </w:p>
        </w:tc>
      </w:tr>
    </w:tbl>
    <w:p w14:paraId="23247F75"/>
    <w:p w14:paraId="16576B24">
      <w:pPr>
        <w:spacing w:after="120"/>
      </w:pPr>
    </w:p>
    <w:sectPr>
      <w:pgSz w:w="11906" w:h="16838"/>
      <w:pgMar w:top="1247" w:right="1134" w:bottom="124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F50FA9"/>
    <w:rsid w:val="7A9C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2348</Words>
  <Characters>2545</Characters>
  <Lines>0</Lines>
  <Paragraphs>0</Paragraphs>
  <TotalTime>23</TotalTime>
  <ScaleCrop>false</ScaleCrop>
  <LinksUpToDate>false</LinksUpToDate>
  <CharactersWithSpaces>2604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2026-08-26T08:54:38Z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8E813C7B7D1A406F9EC79C2FAA6022BA_12</vt:lpwstr>
  </property>
</Properties>
</file>