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982674">
      <w:pPr>
        <w:spacing w:before="600"/>
        <w:jc w:val="center"/>
      </w:pPr>
      <w:r>
        <w:rPr>
          <w:rFonts w:hint="eastAsia" w:ascii="Calibri" w:hAnsi="Calibri" w:eastAsia="宋体"/>
          <w:b/>
          <w:i w:val="0"/>
          <w:color w:val="1F4E79"/>
          <w:sz w:val="48"/>
          <w:lang w:val="en-US" w:eastAsia="zh-CN"/>
        </w:rPr>
        <w:t>云康</w:t>
      </w:r>
      <w:r>
        <w:rPr>
          <w:rFonts w:ascii="Calibri" w:hAnsi="Calibri" w:eastAsia="宋体"/>
          <w:b/>
          <w:i w:val="0"/>
          <w:color w:val="1F4E79"/>
          <w:sz w:val="48"/>
        </w:rPr>
        <w:t>MOU 谈判要点与修改建议</w:t>
      </w:r>
    </w:p>
    <w:p w14:paraId="476C51FC">
      <w:pPr>
        <w:jc w:val="center"/>
      </w:pPr>
      <w:r>
        <w:rPr>
          <w:rFonts w:ascii="Calibri" w:hAnsi="Calibri" w:eastAsia="宋体"/>
          <w:b/>
          <w:i w:val="0"/>
          <w:sz w:val="26"/>
        </w:rPr>
        <w:t>—— Pasontech 协议包（MOU + 三方协议 ×2）内部过会版 ——</w:t>
      </w:r>
    </w:p>
    <w:p w14:paraId="6BD3DFB2">
      <w:pPr>
        <w:jc w:val="center"/>
      </w:pPr>
      <w:r>
        <w:rPr>
          <w:rFonts w:ascii="Calibri" w:hAnsi="Calibri" w:eastAsia="宋体"/>
          <w:b w:val="0"/>
          <w:i w:val="0"/>
          <w:color w:val="595959"/>
          <w:sz w:val="21"/>
        </w:rPr>
        <w:t>内部机密 · 仅供内部讨论 · 2026年8月25日</w:t>
      </w:r>
    </w:p>
    <w:p w14:paraId="1089766A">
      <w:pPr>
        <w:pBdr>
          <w:bottom w:val="single" w:color="1F4E79" w:sz="8" w:space="2"/>
        </w:pBdr>
        <w:spacing w:before="320" w:after="160"/>
      </w:pPr>
      <w:r>
        <w:rPr>
          <w:rFonts w:ascii="Calibri" w:hAnsi="Calibri" w:eastAsia="宋体"/>
          <w:b/>
          <w:i w:val="0"/>
          <w:color w:val="1F4E79"/>
          <w:sz w:val="32"/>
        </w:rPr>
        <w:t>一、文档说明</w:t>
      </w:r>
    </w:p>
    <w:p w14:paraId="2F9A25E6">
      <w:pPr>
        <w:spacing w:after="80" w:line="312" w:lineRule="auto"/>
      </w:pPr>
      <w:r>
        <w:rPr>
          <w:rFonts w:ascii="Calibri" w:hAnsi="Calibri" w:eastAsia="宋体"/>
          <w:b w:val="0"/>
          <w:i w:val="0"/>
          <w:sz w:val="21"/>
        </w:rPr>
        <w:t>文件清单如下：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3402"/>
        <w:gridCol w:w="2608"/>
        <w:gridCol w:w="1701"/>
      </w:tblGrid>
      <w:tr w14:paraId="1DBE7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1F4E79"/>
          </w:tcPr>
          <w:p w14:paraId="49A50D08">
            <w:pPr>
              <w:spacing w:after="0" w:line="240" w:lineRule="auto"/>
            </w:pPr>
            <w:r>
              <w:rPr>
                <w:rFonts w:ascii="Calibri" w:hAnsi="Calibri" w:eastAsia="宋体"/>
                <w:b/>
                <w:i w:val="0"/>
                <w:color w:val="FFFFFF"/>
                <w:sz w:val="20"/>
              </w:rPr>
              <w:t>序号</w:t>
            </w:r>
          </w:p>
        </w:tc>
        <w:tc>
          <w:tcPr>
            <w:tcW w:w="3402" w:type="dxa"/>
            <w:shd w:val="clear" w:color="auto" w:fill="1F4E79"/>
          </w:tcPr>
          <w:p w14:paraId="427EF319">
            <w:pPr>
              <w:spacing w:after="0" w:line="240" w:lineRule="auto"/>
            </w:pPr>
            <w:r>
              <w:rPr>
                <w:rFonts w:ascii="Calibri" w:hAnsi="Calibri" w:eastAsia="宋体"/>
                <w:b/>
                <w:i w:val="0"/>
                <w:color w:val="FFFFFF"/>
                <w:sz w:val="20"/>
              </w:rPr>
              <w:t>文件</w:t>
            </w:r>
          </w:p>
        </w:tc>
        <w:tc>
          <w:tcPr>
            <w:tcW w:w="2608" w:type="dxa"/>
            <w:shd w:val="clear" w:color="auto" w:fill="1F4E79"/>
          </w:tcPr>
          <w:p w14:paraId="6738F8D9">
            <w:pPr>
              <w:spacing w:after="0" w:line="240" w:lineRule="auto"/>
            </w:pPr>
            <w:r>
              <w:rPr>
                <w:rFonts w:ascii="Calibri" w:hAnsi="Calibri" w:eastAsia="宋体"/>
                <w:b/>
                <w:i w:val="0"/>
                <w:color w:val="FFFFFF"/>
                <w:sz w:val="20"/>
              </w:rPr>
              <w:t>签署方</w:t>
            </w:r>
          </w:p>
        </w:tc>
        <w:tc>
          <w:tcPr>
            <w:tcW w:w="1701" w:type="dxa"/>
            <w:shd w:val="clear" w:color="auto" w:fill="1F4E79"/>
          </w:tcPr>
          <w:p w14:paraId="24E2BAAE">
            <w:pPr>
              <w:spacing w:after="0" w:line="240" w:lineRule="auto"/>
            </w:pPr>
            <w:r>
              <w:rPr>
                <w:rFonts w:ascii="Calibri" w:hAnsi="Calibri" w:eastAsia="宋体"/>
                <w:b/>
                <w:i w:val="0"/>
                <w:color w:val="FFFFFF"/>
                <w:sz w:val="20"/>
              </w:rPr>
              <w:t>当前状态</w:t>
            </w:r>
          </w:p>
        </w:tc>
      </w:tr>
      <w:tr w14:paraId="56AC6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4893B7D1">
            <w:pPr>
              <w:spacing w:after="0" w:line="240" w:lineRule="auto"/>
            </w:pPr>
            <w:r>
              <w:rPr>
                <w:rFonts w:ascii="Calibri" w:hAnsi="Calibri" w:eastAsia="宋体"/>
                <w:b w:val="0"/>
                <w:i w:val="0"/>
                <w:sz w:val="19"/>
              </w:rPr>
              <w:t>1</w:t>
            </w:r>
          </w:p>
        </w:tc>
        <w:tc>
          <w:tcPr>
            <w:tcW w:w="3402" w:type="dxa"/>
          </w:tcPr>
          <w:p w14:paraId="0E64DF5A">
            <w:pPr>
              <w:spacing w:after="0" w:line="240" w:lineRule="auto"/>
            </w:pPr>
            <w:r>
              <w:rPr>
                <w:rFonts w:ascii="Calibri" w:hAnsi="Calibri" w:eastAsia="宋体"/>
                <w:b w:val="0"/>
                <w:i w:val="0"/>
                <w:sz w:val="19"/>
              </w:rPr>
              <w:t>《战略合作备忘录》（Pasontech 版）</w:t>
            </w:r>
          </w:p>
        </w:tc>
        <w:tc>
          <w:tcPr>
            <w:tcW w:w="2608" w:type="dxa"/>
          </w:tcPr>
          <w:p w14:paraId="5FF4F3F0">
            <w:pPr>
              <w:spacing w:after="0" w:line="240" w:lineRule="auto"/>
            </w:pPr>
            <w:r>
              <w:rPr>
                <w:rFonts w:ascii="Calibri" w:hAnsi="Calibri" w:eastAsia="宋体"/>
                <w:b w:val="0"/>
                <w:i w:val="0"/>
                <w:sz w:val="19"/>
              </w:rPr>
              <w:t>Pasontech HK × 睦灵科技</w:t>
            </w:r>
          </w:p>
        </w:tc>
        <w:tc>
          <w:tcPr>
            <w:tcW w:w="1701" w:type="dxa"/>
          </w:tcPr>
          <w:p w14:paraId="0688F1BD">
            <w:pPr>
              <w:spacing w:after="0" w:line="240" w:lineRule="auto"/>
            </w:pPr>
            <w:r>
              <w:rPr>
                <w:rFonts w:ascii="Calibri" w:hAnsi="Calibri" w:eastAsia="宋体"/>
                <w:b w:val="0"/>
                <w:i w:val="0"/>
                <w:sz w:val="19"/>
              </w:rPr>
              <w:t>草案，未签署</w:t>
            </w:r>
          </w:p>
        </w:tc>
      </w:tr>
      <w:tr w14:paraId="6D148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6504B74B">
            <w:pPr>
              <w:spacing w:after="0" w:line="240" w:lineRule="auto"/>
            </w:pPr>
            <w:r>
              <w:rPr>
                <w:rFonts w:ascii="Calibri" w:hAnsi="Calibri" w:eastAsia="宋体"/>
                <w:b w:val="0"/>
                <w:i w:val="0"/>
                <w:sz w:val="19"/>
              </w:rPr>
              <w:t>2</w:t>
            </w:r>
          </w:p>
        </w:tc>
        <w:tc>
          <w:tcPr>
            <w:tcW w:w="3402" w:type="dxa"/>
          </w:tcPr>
          <w:p w14:paraId="0DED402C">
            <w:pPr>
              <w:spacing w:after="0" w:line="240" w:lineRule="auto"/>
            </w:pPr>
            <w:r>
              <w:rPr>
                <w:rFonts w:ascii="Calibri" w:hAnsi="Calibri" w:eastAsia="宋体"/>
                <w:b w:val="0"/>
                <w:i w:val="0"/>
                <w:sz w:val="19"/>
              </w:rPr>
              <w:t>《实验室检测场景灵巧手训练三方合作协议》</w:t>
            </w:r>
          </w:p>
        </w:tc>
        <w:tc>
          <w:tcPr>
            <w:tcW w:w="2608" w:type="dxa"/>
          </w:tcPr>
          <w:p w14:paraId="0B5B0AA1">
            <w:pPr>
              <w:spacing w:after="0" w:line="240" w:lineRule="auto"/>
            </w:pPr>
            <w:r>
              <w:rPr>
                <w:rFonts w:ascii="Calibri" w:hAnsi="Calibri" w:eastAsia="宋体"/>
                <w:b w:val="0"/>
                <w:i w:val="0"/>
                <w:sz w:val="19"/>
              </w:rPr>
              <w:t>Pasontech × 睦灵 × 云康集团(02325)</w:t>
            </w:r>
          </w:p>
        </w:tc>
        <w:tc>
          <w:tcPr>
            <w:tcW w:w="1701" w:type="dxa"/>
          </w:tcPr>
          <w:p w14:paraId="34E86A78">
            <w:pPr>
              <w:spacing w:after="0" w:line="240" w:lineRule="auto"/>
            </w:pPr>
            <w:r>
              <w:rPr>
                <w:rFonts w:ascii="Calibri" w:hAnsi="Calibri" w:eastAsia="宋体"/>
                <w:b w:val="0"/>
                <w:i w:val="0"/>
                <w:sz w:val="19"/>
              </w:rPr>
              <w:t>草案，丙方已定</w:t>
            </w:r>
          </w:p>
        </w:tc>
      </w:tr>
      <w:tr w14:paraId="5E19F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1C068C46">
            <w:pPr>
              <w:spacing w:after="0" w:line="240" w:lineRule="auto"/>
            </w:pPr>
            <w:r>
              <w:rPr>
                <w:rFonts w:ascii="Calibri" w:hAnsi="Calibri" w:eastAsia="宋体"/>
                <w:b w:val="0"/>
                <w:i w:val="0"/>
                <w:sz w:val="19"/>
              </w:rPr>
              <w:t>3</w:t>
            </w:r>
          </w:p>
        </w:tc>
        <w:tc>
          <w:tcPr>
            <w:tcW w:w="3402" w:type="dxa"/>
          </w:tcPr>
          <w:p w14:paraId="2C67F626">
            <w:pPr>
              <w:spacing w:after="0" w:line="240" w:lineRule="auto"/>
            </w:pPr>
            <w:r>
              <w:rPr>
                <w:rFonts w:ascii="Calibri" w:hAnsi="Calibri" w:eastAsia="宋体"/>
                <w:b w:val="0"/>
                <w:i w:val="0"/>
                <w:sz w:val="19"/>
              </w:rPr>
              <w:t>《养老场景灵巧手训练三方合作协议》</w:t>
            </w:r>
          </w:p>
        </w:tc>
        <w:tc>
          <w:tcPr>
            <w:tcW w:w="2608" w:type="dxa"/>
          </w:tcPr>
          <w:p w14:paraId="7777EEE2">
            <w:pPr>
              <w:spacing w:after="0" w:line="240" w:lineRule="auto"/>
            </w:pPr>
            <w:r>
              <w:rPr>
                <w:rFonts w:ascii="Calibri" w:hAnsi="Calibri" w:eastAsia="宋体"/>
                <w:b w:val="0"/>
                <w:i w:val="0"/>
                <w:sz w:val="19"/>
              </w:rPr>
              <w:t>Pasontech × 睦灵 × 养老机构</w:t>
            </w:r>
          </w:p>
        </w:tc>
        <w:tc>
          <w:tcPr>
            <w:tcW w:w="1701" w:type="dxa"/>
          </w:tcPr>
          <w:p w14:paraId="789EAFB5">
            <w:pPr>
              <w:spacing w:after="0" w:line="240" w:lineRule="auto"/>
            </w:pPr>
            <w:r>
              <w:rPr>
                <w:rFonts w:ascii="Calibri" w:hAnsi="Calibri" w:eastAsia="宋体"/>
                <w:b w:val="0"/>
                <w:i w:val="0"/>
                <w:sz w:val="19"/>
              </w:rPr>
              <w:t>草案，丙方空白</w:t>
            </w:r>
          </w:p>
        </w:tc>
      </w:tr>
    </w:tbl>
    <w:p w14:paraId="00630C1A">
      <w:pPr>
        <w:spacing w:after="80" w:line="312" w:lineRule="auto"/>
        <w:rPr>
          <w:rFonts w:ascii="Calibri" w:hAnsi="Calibri" w:eastAsia="宋体"/>
          <w:b/>
          <w:i w:val="0"/>
          <w:sz w:val="21"/>
        </w:rPr>
      </w:pPr>
    </w:p>
    <w:p w14:paraId="5E260797">
      <w:pPr>
        <w:spacing w:after="80" w:line="312" w:lineRule="auto"/>
      </w:pPr>
      <w:r>
        <w:rPr>
          <w:rFonts w:ascii="Calibri" w:hAnsi="Calibri" w:eastAsia="宋体"/>
          <w:b/>
          <w:i w:val="0"/>
          <w:sz w:val="21"/>
        </w:rPr>
        <w:t>我方核心立场：</w:t>
      </w:r>
    </w:p>
    <w:p w14:paraId="5E8B1A54">
      <w:pPr>
        <w:spacing w:after="80" w:line="312" w:lineRule="auto"/>
        <w:ind w:left="283"/>
      </w:pPr>
      <w:r>
        <w:rPr>
          <w:rFonts w:ascii="Calibri" w:hAnsi="Calibri" w:eastAsia="宋体"/>
          <w:b w:val="0"/>
          <w:i w:val="0"/>
          <w:sz w:val="21"/>
        </w:rPr>
        <w:t>① 场景边界：康复领域可并行开展概念验证（POC），但双方保有经调研/验证后协商放弃或推迟的权力；养老照护领域坚决不写入 MOU、不启动验证。</w:t>
      </w:r>
    </w:p>
    <w:p w14:paraId="0D43BBB4">
      <w:pPr>
        <w:spacing w:after="80" w:line="312" w:lineRule="auto"/>
        <w:ind w:left="283"/>
      </w:pPr>
      <w:r>
        <w:rPr>
          <w:rFonts w:ascii="Calibri" w:hAnsi="Calibri" w:eastAsia="宋体"/>
          <w:b w:val="0"/>
          <w:i w:val="0"/>
          <w:sz w:val="21"/>
        </w:rPr>
        <w:t>② 知识产权：底层技术改进归我方所有，不被"生命健康领域独家授权"绑定；场景应用方案可共同共有，但须明确行使规则与收益分配。</w:t>
      </w:r>
    </w:p>
    <w:p w14:paraId="0F8F06DC">
      <w:pPr>
        <w:spacing w:after="80" w:line="312" w:lineRule="auto"/>
        <w:ind w:left="283"/>
      </w:pPr>
      <w:r>
        <w:rPr>
          <w:rFonts w:ascii="Calibri" w:hAnsi="Calibri" w:eastAsia="宋体"/>
          <w:b w:val="0"/>
          <w:i w:val="0"/>
          <w:sz w:val="21"/>
        </w:rPr>
        <w:t>③ 数据：脱敏数据我方须获得永久、全球、不可撤销的训练使用权；数据不被场景方独占，场景运行数据须回流。</w:t>
      </w:r>
    </w:p>
    <w:p w14:paraId="7F82F953">
      <w:pPr>
        <w:pBdr>
          <w:bottom w:val="single" w:color="1F4E79" w:sz="8" w:space="2"/>
        </w:pBdr>
        <w:spacing w:before="320" w:after="160"/>
      </w:pPr>
      <w:r>
        <w:rPr>
          <w:rFonts w:ascii="Calibri" w:hAnsi="Calibri" w:eastAsia="宋体"/>
          <w:b/>
          <w:i w:val="0"/>
          <w:color w:val="1F4E79"/>
          <w:sz w:val="32"/>
        </w:rPr>
        <w:t>二、总体判断</w:t>
      </w:r>
    </w:p>
    <w:p w14:paraId="71BEC2C2">
      <w:pPr>
        <w:spacing w:before="240" w:after="120"/>
      </w:pPr>
      <w:r>
        <w:rPr>
          <w:rFonts w:ascii="Calibri" w:hAnsi="Calibri" w:eastAsia="宋体"/>
          <w:b/>
          <w:i w:val="0"/>
          <w:color w:val="1F4E79"/>
          <w:sz w:val="26"/>
        </w:rPr>
        <w:t>2.1 协议包架构：Pasontech 的"三层绑定"策略</w:t>
      </w:r>
    </w:p>
    <w:p w14:paraId="3F642FBF">
      <w:pPr>
        <w:spacing w:after="80" w:line="312" w:lineRule="auto"/>
      </w:pPr>
      <w:r>
        <w:rPr>
          <w:rFonts w:ascii="Calibri" w:hAnsi="Calibri" w:eastAsia="宋体"/>
          <w:b w:val="0"/>
          <w:i w:val="0"/>
          <w:sz w:val="21"/>
        </w:rPr>
        <w:t>Pasontech 以「1 份 MOU + N 份三方协议」推进：MOU 定框架与共识，三方协议逐场景落地（实验室场景已锁云康为丙方，养老场景丙方空白待填）。其整体策略可概括为三层绑定：</w:t>
      </w:r>
    </w:p>
    <w:p w14:paraId="43AFA198">
      <w:pPr>
        <w:spacing w:after="80" w:line="312" w:lineRule="auto"/>
        <w:ind w:left="283"/>
      </w:pPr>
      <w:r>
        <w:rPr>
          <w:rFonts w:ascii="Calibri" w:hAnsi="Calibri" w:eastAsia="宋体"/>
          <w:b w:val="0"/>
          <w:i w:val="0"/>
          <w:sz w:val="21"/>
        </w:rPr>
        <w:t>① 场景绑定：实验室验证（云康）与康养养老验证双轨并行，将我方研发力量分别嵌入两个场景体系；</w:t>
      </w:r>
    </w:p>
    <w:p w14:paraId="791B0428">
      <w:pPr>
        <w:spacing w:after="80" w:line="312" w:lineRule="auto"/>
        <w:ind w:left="283"/>
      </w:pPr>
      <w:r>
        <w:rPr>
          <w:rFonts w:ascii="Calibri" w:hAnsi="Calibri" w:eastAsia="宋体"/>
          <w:b w:val="0"/>
          <w:i w:val="0"/>
          <w:sz w:val="21"/>
        </w:rPr>
        <w:t>② IP 绑定：底层技术改进归我方但甲方获"生命健康领域独家使用权"（范围近乎全领域）；场景应用方案双方共同共有，并要求注入其拟设的香港研究院；</w:t>
      </w:r>
    </w:p>
    <w:p w14:paraId="599E401A">
      <w:pPr>
        <w:spacing w:after="80" w:line="312" w:lineRule="auto"/>
        <w:ind w:left="283"/>
      </w:pPr>
      <w:r>
        <w:rPr>
          <w:rFonts w:ascii="Calibri" w:hAnsi="Calibri" w:eastAsia="宋体"/>
          <w:b w:val="0"/>
          <w:i w:val="0"/>
          <w:sz w:val="21"/>
        </w:rPr>
        <w:t>③ 数据绑定：验证数据所有权一律归场景方（丙方），我方仅获训练使用许可，且不得对外转让。</w:t>
      </w:r>
    </w:p>
    <w:p w14:paraId="7AC8E623">
      <w:pPr>
        <w:spacing w:after="80" w:line="312" w:lineRule="auto"/>
      </w:pPr>
      <w:r>
        <w:rPr>
          <w:rFonts w:ascii="Calibri" w:hAnsi="Calibri" w:eastAsia="宋体"/>
          <w:b w:val="0"/>
          <w:i w:val="0"/>
          <w:sz w:val="21"/>
        </w:rPr>
        <w:t>简言之，这是"以场景换技术、以 IP 换资源"的绑定结构——我方出技术、出研发、出数据管道，换取场景资源与渠道；风险在于我方核心资产（底层技术、数据）在协议框架内被逐步锁定。</w:t>
      </w:r>
    </w:p>
    <w:p w14:paraId="698AB491">
      <w:pPr>
        <w:spacing w:before="240" w:after="120"/>
      </w:pPr>
      <w:r>
        <w:rPr>
          <w:rFonts w:ascii="Calibri" w:hAnsi="Calibri" w:eastAsia="宋体"/>
          <w:b/>
          <w:i w:val="0"/>
          <w:color w:val="1F4E79"/>
          <w:sz w:val="26"/>
        </w:rPr>
        <w:t>2.2 积极面（应予保留的共识）</w:t>
      </w:r>
    </w:p>
    <w:p w14:paraId="2004F436">
      <w:pPr>
        <w:spacing w:after="80" w:line="312" w:lineRule="auto"/>
      </w:pPr>
      <w:r>
        <w:rPr>
          <w:rFonts w:ascii="Calibri" w:hAnsi="Calibri" w:eastAsia="宋体"/>
          <w:b w:val="0"/>
          <w:i w:val="0"/>
          <w:sz w:val="21"/>
        </w:rPr>
        <w:t>① 分阶段推进与联合工作组机制成熟（MOU 第五部分），与我方"务实渐进"判断一致；</w:t>
      </w:r>
    </w:p>
    <w:p w14:paraId="3A85FCBF">
      <w:pPr>
        <w:spacing w:after="80" w:line="312" w:lineRule="auto"/>
      </w:pPr>
      <w:r>
        <w:rPr>
          <w:rFonts w:ascii="Calibri" w:hAnsi="Calibri" w:eastAsia="宋体"/>
          <w:b w:val="0"/>
          <w:i w:val="0"/>
          <w:sz w:val="21"/>
        </w:rPr>
        <w:t>② IP 分类处理框架总体合理：背景 IP 归各自所有（MOU 第四部分 1），底层技术改进归乙方（3.1.1），保护了我方核心技术池；</w:t>
      </w:r>
    </w:p>
    <w:p w14:paraId="57AFF2F3">
      <w:pPr>
        <w:spacing w:after="80" w:line="312" w:lineRule="auto"/>
      </w:pPr>
      <w:r>
        <w:rPr>
          <w:rFonts w:ascii="Calibri" w:hAnsi="Calibri" w:eastAsia="宋体"/>
          <w:b w:val="0"/>
          <w:i w:val="0"/>
          <w:sz w:val="21"/>
        </w:rPr>
        <w:t>③ 对患者信息、医疗数据的合规重视（MOU 第六部分 2）符合行业底线。</w:t>
      </w:r>
    </w:p>
    <w:p w14:paraId="19EDF08A">
      <w:pPr>
        <w:spacing w:before="240" w:after="120"/>
      </w:pPr>
      <w:r>
        <w:rPr>
          <w:rFonts w:ascii="Calibri" w:hAnsi="Calibri" w:eastAsia="宋体"/>
          <w:b/>
          <w:i w:val="0"/>
          <w:color w:val="1F4E79"/>
          <w:sz w:val="26"/>
        </w:rPr>
        <w:t>2.3 核心风险总览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1"/>
        <w:gridCol w:w="3061"/>
        <w:gridCol w:w="907"/>
        <w:gridCol w:w="2608"/>
      </w:tblGrid>
      <w:tr w14:paraId="27843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shd w:val="clear" w:color="auto" w:fill="1F4E79"/>
          </w:tcPr>
          <w:p w14:paraId="19111314">
            <w:pPr>
              <w:spacing w:after="0" w:line="240" w:lineRule="auto"/>
            </w:pPr>
            <w:r>
              <w:rPr>
                <w:rFonts w:ascii="Calibri" w:hAnsi="Calibri" w:eastAsia="宋体"/>
                <w:b/>
                <w:i w:val="0"/>
                <w:color w:val="FFFFFF"/>
                <w:sz w:val="20"/>
              </w:rPr>
              <w:t>风险项</w:t>
            </w:r>
          </w:p>
        </w:tc>
        <w:tc>
          <w:tcPr>
            <w:tcW w:w="3061" w:type="dxa"/>
            <w:shd w:val="clear" w:color="auto" w:fill="1F4E79"/>
          </w:tcPr>
          <w:p w14:paraId="5318DC7F">
            <w:pPr>
              <w:spacing w:after="0" w:line="240" w:lineRule="auto"/>
            </w:pPr>
            <w:r>
              <w:rPr>
                <w:rFonts w:ascii="Calibri" w:hAnsi="Calibri" w:eastAsia="宋体"/>
                <w:b/>
                <w:i w:val="0"/>
                <w:color w:val="FFFFFF"/>
                <w:sz w:val="20"/>
              </w:rPr>
              <w:t>涉及条款</w:t>
            </w:r>
          </w:p>
        </w:tc>
        <w:tc>
          <w:tcPr>
            <w:tcW w:w="907" w:type="dxa"/>
            <w:shd w:val="clear" w:color="auto" w:fill="1F4E79"/>
          </w:tcPr>
          <w:p w14:paraId="5DFE7C65">
            <w:pPr>
              <w:spacing w:after="0" w:line="240" w:lineRule="auto"/>
            </w:pPr>
            <w:r>
              <w:rPr>
                <w:rFonts w:ascii="Calibri" w:hAnsi="Calibri" w:eastAsia="宋体"/>
                <w:b/>
                <w:i w:val="0"/>
                <w:color w:val="FFFFFF"/>
                <w:sz w:val="20"/>
              </w:rPr>
              <w:t>严重度</w:t>
            </w:r>
          </w:p>
        </w:tc>
        <w:tc>
          <w:tcPr>
            <w:tcW w:w="2608" w:type="dxa"/>
            <w:shd w:val="clear" w:color="auto" w:fill="1F4E79"/>
          </w:tcPr>
          <w:p w14:paraId="6F76623F">
            <w:pPr>
              <w:spacing w:after="0" w:line="240" w:lineRule="auto"/>
            </w:pPr>
            <w:r>
              <w:rPr>
                <w:rFonts w:ascii="Calibri" w:hAnsi="Calibri" w:eastAsia="宋体"/>
                <w:b/>
                <w:i w:val="0"/>
                <w:color w:val="FFFFFF"/>
                <w:sz w:val="20"/>
              </w:rPr>
              <w:t>一句话说明</w:t>
            </w:r>
          </w:p>
        </w:tc>
      </w:tr>
      <w:tr w14:paraId="3B8A9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480496C6">
            <w:pPr>
              <w:spacing w:after="0" w:line="240" w:lineRule="auto"/>
            </w:pPr>
            <w:r>
              <w:rPr>
                <w:rFonts w:ascii="Calibri" w:hAnsi="Calibri" w:eastAsia="宋体"/>
                <w:b w:val="0"/>
                <w:i w:val="0"/>
                <w:sz w:val="19"/>
              </w:rPr>
              <w:t>养老照护场景入局</w:t>
            </w:r>
          </w:p>
        </w:tc>
        <w:tc>
          <w:tcPr>
            <w:tcW w:w="3061" w:type="dxa"/>
          </w:tcPr>
          <w:p w14:paraId="59982677">
            <w:pPr>
              <w:spacing w:after="0" w:line="240" w:lineRule="auto"/>
            </w:pPr>
            <w:r>
              <w:rPr>
                <w:rFonts w:ascii="Calibri" w:hAnsi="Calibri" w:eastAsia="宋体"/>
                <w:b w:val="0"/>
                <w:i w:val="0"/>
                <w:sz w:val="19"/>
              </w:rPr>
              <w:t>MOU 三/四/五条、第三部分(三)、养老三方协议全文</w:t>
            </w:r>
          </w:p>
        </w:tc>
        <w:tc>
          <w:tcPr>
            <w:tcW w:w="907" w:type="dxa"/>
          </w:tcPr>
          <w:p w14:paraId="0EFED5AA">
            <w:pPr>
              <w:spacing w:after="0" w:line="240" w:lineRule="auto"/>
            </w:pPr>
            <w:r>
              <w:rPr>
                <w:rFonts w:ascii="Calibri" w:hAnsi="Calibri" w:eastAsia="宋体"/>
                <w:b w:val="0"/>
                <w:i w:val="0"/>
                <w:sz w:val="19"/>
              </w:rPr>
              <w:t>高</w:t>
            </w:r>
          </w:p>
        </w:tc>
        <w:tc>
          <w:tcPr>
            <w:tcW w:w="2608" w:type="dxa"/>
          </w:tcPr>
          <w:p w14:paraId="36452893">
            <w:pPr>
              <w:spacing w:after="0" w:line="240" w:lineRule="auto"/>
            </w:pPr>
            <w:r>
              <w:rPr>
                <w:rFonts w:ascii="Calibri" w:hAnsi="Calibri" w:eastAsia="宋体"/>
                <w:b w:val="0"/>
                <w:i w:val="0"/>
                <w:sz w:val="19"/>
              </w:rPr>
              <w:t>直接接触老人身体，违反"早期不碰人体"共识</w:t>
            </w:r>
          </w:p>
        </w:tc>
      </w:tr>
      <w:tr w14:paraId="3E63E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75FB50EE">
            <w:pPr>
              <w:spacing w:after="0" w:line="240" w:lineRule="auto"/>
            </w:pPr>
            <w:r>
              <w:rPr>
                <w:rFonts w:ascii="Calibri" w:hAnsi="Calibri" w:eastAsia="宋体"/>
                <w:b w:val="0"/>
                <w:i w:val="0"/>
                <w:sz w:val="19"/>
              </w:rPr>
              <w:t>底层技术被独家授权绑定</w:t>
            </w:r>
          </w:p>
        </w:tc>
        <w:tc>
          <w:tcPr>
            <w:tcW w:w="3061" w:type="dxa"/>
          </w:tcPr>
          <w:p w14:paraId="4D571F6F">
            <w:pPr>
              <w:spacing w:after="0" w:line="240" w:lineRule="auto"/>
            </w:pPr>
            <w:r>
              <w:rPr>
                <w:rFonts w:ascii="Calibri" w:hAnsi="Calibri" w:eastAsia="宋体"/>
                <w:b w:val="0"/>
                <w:i w:val="0"/>
                <w:sz w:val="19"/>
              </w:rPr>
              <w:t>MOU 3.1.1；实验室三方 5.2.1；养老三方 5.2.1</w:t>
            </w:r>
          </w:p>
        </w:tc>
        <w:tc>
          <w:tcPr>
            <w:tcW w:w="907" w:type="dxa"/>
          </w:tcPr>
          <w:p w14:paraId="70AE7C24">
            <w:pPr>
              <w:spacing w:after="0" w:line="240" w:lineRule="auto"/>
            </w:pPr>
            <w:r>
              <w:rPr>
                <w:rFonts w:ascii="Calibri" w:hAnsi="Calibri" w:eastAsia="宋体"/>
                <w:b w:val="0"/>
                <w:i w:val="0"/>
                <w:sz w:val="19"/>
              </w:rPr>
              <w:t>高</w:t>
            </w:r>
          </w:p>
        </w:tc>
        <w:tc>
          <w:tcPr>
            <w:tcW w:w="2608" w:type="dxa"/>
          </w:tcPr>
          <w:p w14:paraId="6ED47484">
            <w:pPr>
              <w:spacing w:after="0" w:line="240" w:lineRule="auto"/>
            </w:pPr>
            <w:r>
              <w:rPr>
                <w:rFonts w:ascii="Calibri" w:hAnsi="Calibri" w:eastAsia="宋体"/>
                <w:b w:val="0"/>
                <w:i w:val="0"/>
                <w:sz w:val="19"/>
              </w:rPr>
              <w:t>"生命健康领域独家使用权"范围过宽、无期限</w:t>
            </w:r>
          </w:p>
        </w:tc>
      </w:tr>
      <w:tr w14:paraId="3C2FF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45769BCC">
            <w:pPr>
              <w:spacing w:after="0" w:line="240" w:lineRule="auto"/>
            </w:pPr>
            <w:r>
              <w:rPr>
                <w:rFonts w:ascii="Calibri" w:hAnsi="Calibri" w:eastAsia="宋体"/>
                <w:b w:val="0"/>
                <w:i w:val="0"/>
                <w:sz w:val="19"/>
              </w:rPr>
              <w:t>数据全部归场景方</w:t>
            </w:r>
          </w:p>
        </w:tc>
        <w:tc>
          <w:tcPr>
            <w:tcW w:w="3061" w:type="dxa"/>
          </w:tcPr>
          <w:p w14:paraId="01496624">
            <w:pPr>
              <w:spacing w:after="0" w:line="240" w:lineRule="auto"/>
            </w:pPr>
            <w:r>
              <w:rPr>
                <w:rFonts w:ascii="Calibri" w:hAnsi="Calibri" w:eastAsia="宋体"/>
                <w:b w:val="0"/>
                <w:i w:val="0"/>
                <w:sz w:val="19"/>
              </w:rPr>
              <w:t>MOU 3.1.3；三方协议 5.2.3</w:t>
            </w:r>
          </w:p>
        </w:tc>
        <w:tc>
          <w:tcPr>
            <w:tcW w:w="907" w:type="dxa"/>
          </w:tcPr>
          <w:p w14:paraId="0098E6EA">
            <w:pPr>
              <w:spacing w:after="0" w:line="240" w:lineRule="auto"/>
            </w:pPr>
            <w:r>
              <w:rPr>
                <w:rFonts w:ascii="Calibri" w:hAnsi="Calibri" w:eastAsia="宋体"/>
                <w:b w:val="0"/>
                <w:i w:val="0"/>
                <w:sz w:val="19"/>
              </w:rPr>
              <w:t>高</w:t>
            </w:r>
          </w:p>
        </w:tc>
        <w:tc>
          <w:tcPr>
            <w:tcW w:w="2608" w:type="dxa"/>
          </w:tcPr>
          <w:p w14:paraId="2D8A12E5">
            <w:pPr>
              <w:spacing w:after="0" w:line="240" w:lineRule="auto"/>
            </w:pPr>
            <w:r>
              <w:rPr>
                <w:rFonts w:ascii="Calibri" w:hAnsi="Calibri" w:eastAsia="宋体"/>
                <w:b w:val="0"/>
                <w:i w:val="0"/>
                <w:sz w:val="19"/>
              </w:rPr>
              <w:t>我方投入最大，核心数据资产却归丙方</w:t>
            </w:r>
          </w:p>
        </w:tc>
      </w:tr>
      <w:tr w14:paraId="653A4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250ECC37">
            <w:pPr>
              <w:spacing w:after="0" w:line="240" w:lineRule="auto"/>
            </w:pPr>
            <w:r>
              <w:rPr>
                <w:rFonts w:ascii="Calibri" w:hAnsi="Calibri" w:eastAsia="宋体"/>
                <w:b w:val="0"/>
                <w:i w:val="0"/>
                <w:sz w:val="19"/>
              </w:rPr>
              <w:t>场景应用方案共有无行使规则</w:t>
            </w:r>
          </w:p>
        </w:tc>
        <w:tc>
          <w:tcPr>
            <w:tcW w:w="3061" w:type="dxa"/>
          </w:tcPr>
          <w:p w14:paraId="1B2D71FE">
            <w:pPr>
              <w:spacing w:after="0" w:line="240" w:lineRule="auto"/>
            </w:pPr>
            <w:r>
              <w:rPr>
                <w:rFonts w:ascii="Calibri" w:hAnsi="Calibri" w:eastAsia="宋体"/>
                <w:b w:val="0"/>
                <w:i w:val="0"/>
                <w:sz w:val="19"/>
              </w:rPr>
              <w:t>三方协议 5.2.2</w:t>
            </w:r>
          </w:p>
        </w:tc>
        <w:tc>
          <w:tcPr>
            <w:tcW w:w="907" w:type="dxa"/>
          </w:tcPr>
          <w:p w14:paraId="1A73CD94">
            <w:pPr>
              <w:spacing w:after="0" w:line="240" w:lineRule="auto"/>
            </w:pPr>
            <w:r>
              <w:rPr>
                <w:rFonts w:ascii="Calibri" w:hAnsi="Calibri" w:eastAsia="宋体"/>
                <w:b w:val="0"/>
                <w:i w:val="0"/>
                <w:sz w:val="19"/>
              </w:rPr>
              <w:t>中</w:t>
            </w:r>
          </w:p>
        </w:tc>
        <w:tc>
          <w:tcPr>
            <w:tcW w:w="2608" w:type="dxa"/>
          </w:tcPr>
          <w:p w14:paraId="3AEDC569">
            <w:pPr>
              <w:spacing w:after="0" w:line="240" w:lineRule="auto"/>
            </w:pPr>
            <w:r>
              <w:rPr>
                <w:rFonts w:ascii="Calibri" w:hAnsi="Calibri" w:eastAsia="宋体"/>
                <w:b w:val="0"/>
                <w:i w:val="0"/>
                <w:sz w:val="19"/>
              </w:rPr>
              <w:t>转让/许可/收益分配规则缺失，易生纠纷</w:t>
            </w:r>
          </w:p>
        </w:tc>
      </w:tr>
      <w:tr w14:paraId="78E82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23495591">
            <w:pPr>
              <w:spacing w:after="0" w:line="240" w:lineRule="auto"/>
            </w:pPr>
            <w:r>
              <w:rPr>
                <w:rFonts w:ascii="Calibri" w:hAnsi="Calibri" w:eastAsia="宋体"/>
                <w:b w:val="0"/>
                <w:i w:val="0"/>
                <w:sz w:val="19"/>
              </w:rPr>
              <w:t>验收只谈"达标"不谈"标准"</w:t>
            </w:r>
          </w:p>
        </w:tc>
        <w:tc>
          <w:tcPr>
            <w:tcW w:w="3061" w:type="dxa"/>
          </w:tcPr>
          <w:p w14:paraId="1EE4EA9C">
            <w:pPr>
              <w:spacing w:after="0" w:line="240" w:lineRule="auto"/>
            </w:pPr>
            <w:r>
              <w:rPr>
                <w:rFonts w:ascii="Calibri" w:hAnsi="Calibri" w:eastAsia="宋体"/>
                <w:b w:val="0"/>
                <w:i w:val="0"/>
                <w:sz w:val="19"/>
              </w:rPr>
              <w:t>MOU 第四条</w:t>
            </w:r>
          </w:p>
        </w:tc>
        <w:tc>
          <w:tcPr>
            <w:tcW w:w="907" w:type="dxa"/>
          </w:tcPr>
          <w:p w14:paraId="7AAFA0E6">
            <w:pPr>
              <w:spacing w:after="0" w:line="240" w:lineRule="auto"/>
            </w:pPr>
            <w:r>
              <w:rPr>
                <w:rFonts w:ascii="Calibri" w:hAnsi="Calibri" w:eastAsia="宋体"/>
                <w:b w:val="0"/>
                <w:i w:val="0"/>
                <w:sz w:val="19"/>
              </w:rPr>
              <w:t>中</w:t>
            </w:r>
          </w:p>
        </w:tc>
        <w:tc>
          <w:tcPr>
            <w:tcW w:w="2608" w:type="dxa"/>
          </w:tcPr>
          <w:p w14:paraId="410318A8">
            <w:pPr>
              <w:spacing w:after="0" w:line="240" w:lineRule="auto"/>
            </w:pPr>
            <w:r>
              <w:rPr>
                <w:rFonts w:ascii="Calibri" w:hAnsi="Calibri" w:eastAsia="宋体"/>
                <w:b w:val="0"/>
                <w:i w:val="0"/>
                <w:sz w:val="19"/>
              </w:rPr>
              <w:t>错过评测/验收标准的话语权抓手</w:t>
            </w:r>
          </w:p>
        </w:tc>
      </w:tr>
      <w:tr w14:paraId="2B122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3E135416">
            <w:pPr>
              <w:spacing w:after="0" w:line="240" w:lineRule="auto"/>
            </w:pPr>
            <w:r>
              <w:rPr>
                <w:rFonts w:ascii="Calibri" w:hAnsi="Calibri" w:eastAsia="宋体"/>
                <w:b w:val="0"/>
                <w:i w:val="0"/>
                <w:sz w:val="19"/>
              </w:rPr>
              <w:t>争议解决与保密期限空白</w:t>
            </w:r>
          </w:p>
        </w:tc>
        <w:tc>
          <w:tcPr>
            <w:tcW w:w="3061" w:type="dxa"/>
          </w:tcPr>
          <w:p w14:paraId="17DC019F">
            <w:pPr>
              <w:spacing w:after="0" w:line="240" w:lineRule="auto"/>
            </w:pPr>
            <w:r>
              <w:rPr>
                <w:rFonts w:ascii="Calibri" w:hAnsi="Calibri" w:eastAsia="宋体"/>
                <w:b w:val="0"/>
                <w:i w:val="0"/>
                <w:sz w:val="19"/>
              </w:rPr>
              <w:t>实验室三方 9.5 / 6.3</w:t>
            </w:r>
          </w:p>
        </w:tc>
        <w:tc>
          <w:tcPr>
            <w:tcW w:w="907" w:type="dxa"/>
          </w:tcPr>
          <w:p w14:paraId="206D293D">
            <w:pPr>
              <w:spacing w:after="0" w:line="240" w:lineRule="auto"/>
            </w:pPr>
            <w:r>
              <w:rPr>
                <w:rFonts w:ascii="Calibri" w:hAnsi="Calibri" w:eastAsia="宋体"/>
                <w:b w:val="0"/>
                <w:i w:val="0"/>
                <w:sz w:val="19"/>
              </w:rPr>
              <w:t>低</w:t>
            </w:r>
          </w:p>
        </w:tc>
        <w:tc>
          <w:tcPr>
            <w:tcW w:w="2608" w:type="dxa"/>
          </w:tcPr>
          <w:p w14:paraId="52A35C3F">
            <w:pPr>
              <w:spacing w:after="0" w:line="240" w:lineRule="auto"/>
            </w:pPr>
            <w:r>
              <w:rPr>
                <w:rFonts w:ascii="Calibri" w:hAnsi="Calibri" w:eastAsia="宋体"/>
                <w:b w:val="0"/>
                <w:i w:val="0"/>
                <w:sz w:val="19"/>
              </w:rPr>
              <w:t>技术性缺失，须补全</w:t>
            </w:r>
          </w:p>
        </w:tc>
      </w:tr>
    </w:tbl>
    <w:p w14:paraId="08507908">
      <w:pPr>
        <w:pBdr>
          <w:bottom w:val="single" w:color="1F4E79" w:sz="8" w:space="2"/>
        </w:pBdr>
        <w:spacing w:before="320" w:after="160"/>
      </w:pPr>
      <w:r>
        <w:rPr>
          <w:rFonts w:ascii="Calibri" w:hAnsi="Calibri" w:eastAsia="宋体"/>
          <w:b/>
          <w:i w:val="0"/>
          <w:color w:val="1F4E79"/>
          <w:sz w:val="32"/>
        </w:rPr>
        <w:t>三、核心立场：场景边界（康复 vs 养老）</w:t>
      </w:r>
    </w:p>
    <w:p w14:paraId="6656C9D7">
      <w:pPr>
        <w:spacing w:before="240" w:after="120"/>
      </w:pPr>
      <w:r>
        <w:rPr>
          <w:rFonts w:ascii="Calibri" w:hAnsi="Calibri" w:eastAsia="宋体"/>
          <w:b/>
          <w:i w:val="0"/>
          <w:color w:val="1F4E79"/>
          <w:sz w:val="26"/>
        </w:rPr>
        <w:t>3.1 分歧</w:t>
      </w:r>
    </w:p>
    <w:p w14:paraId="1775B9AD">
      <w:pPr>
        <w:spacing w:after="80" w:line="312" w:lineRule="auto"/>
      </w:pPr>
      <w:r>
        <w:rPr>
          <w:rFonts w:hint="eastAsia" w:ascii="Calibri" w:hAnsi="Calibri" w:eastAsia="宋体"/>
          <w:b w:val="0"/>
          <w:i w:val="0"/>
          <w:sz w:val="21"/>
          <w:lang w:val="en-US" w:eastAsia="zh-CN"/>
        </w:rPr>
        <w:t>对方修改的</w:t>
      </w:r>
      <w:r>
        <w:rPr>
          <w:rFonts w:ascii="Calibri" w:hAnsi="Calibri" w:eastAsia="宋体"/>
          <w:b w:val="0"/>
          <w:i w:val="0"/>
          <w:sz w:val="21"/>
        </w:rPr>
        <w:t>MOU 第三部分（三）"康养与养老场景概念验证"的候选方向包含"养老照护：辅助进食、个人护理、移动辅助"，全部是直接接触老人身体的高风险操作</w:t>
      </w:r>
      <w:r>
        <w:rPr>
          <w:rFonts w:hint="eastAsia" w:ascii="Calibri" w:hAnsi="Calibri" w:eastAsia="宋体"/>
          <w:b w:val="0"/>
          <w:i w:val="0"/>
          <w:sz w:val="21"/>
          <w:lang w:eastAsia="zh-CN"/>
        </w:rPr>
        <w:t>，</w:t>
      </w:r>
      <w:r>
        <w:rPr>
          <w:rFonts w:ascii="Calibri" w:hAnsi="Calibri" w:eastAsia="宋体"/>
          <w:b w:val="0"/>
          <w:i w:val="0"/>
          <w:sz w:val="21"/>
        </w:rPr>
        <w:t>《养老场景灵巧手训练三方协议》</w:t>
      </w:r>
      <w:r>
        <w:rPr>
          <w:rFonts w:hint="eastAsia" w:ascii="Calibri" w:hAnsi="Calibri" w:eastAsia="宋体"/>
          <w:b w:val="0"/>
          <w:i w:val="0"/>
          <w:sz w:val="21"/>
          <w:lang w:val="en-US" w:eastAsia="zh-CN"/>
        </w:rPr>
        <w:t>选择</w:t>
      </w:r>
      <w:r>
        <w:rPr>
          <w:rFonts w:ascii="Calibri" w:hAnsi="Calibri" w:eastAsia="宋体"/>
          <w:b w:val="0"/>
          <w:i w:val="0"/>
          <w:sz w:val="21"/>
        </w:rPr>
        <w:t>场景为辅助起床/床-轮椅转移、喂食、洗漱擦拭、行走辅助防跌倒。</w:t>
      </w:r>
    </w:p>
    <w:p w14:paraId="26A33F39">
      <w:pPr>
        <w:spacing w:after="80" w:line="312" w:lineRule="auto"/>
      </w:pPr>
      <w:r>
        <w:rPr>
          <w:rFonts w:ascii="Calibri" w:hAnsi="Calibri" w:eastAsia="宋体"/>
          <w:b w:val="0"/>
          <w:i w:val="0"/>
          <w:sz w:val="21"/>
        </w:rPr>
        <w:t>这是战略顺序与安全边界的根本分歧：我方认定的"早期不碰人体"是技术伦理底线，对方则把养老照护视为商业化最快路径。</w:t>
      </w:r>
    </w:p>
    <w:p w14:paraId="6AD7215D">
      <w:pPr>
        <w:spacing w:before="240" w:after="120"/>
      </w:pPr>
      <w:r>
        <w:rPr>
          <w:rFonts w:ascii="Calibri" w:hAnsi="Calibri" w:eastAsia="宋体"/>
          <w:b/>
          <w:i w:val="0"/>
          <w:color w:val="1F4E79"/>
          <w:sz w:val="26"/>
        </w:rPr>
        <w:t>3.2 康复医疗 vs 养老照护：两个赛道的本质差异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3175"/>
        <w:gridCol w:w="3515"/>
      </w:tblGrid>
      <w:tr w14:paraId="3A1FA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shd w:val="clear" w:color="auto" w:fill="1F4E79"/>
          </w:tcPr>
          <w:p w14:paraId="72D7D751">
            <w:pPr>
              <w:spacing w:after="0" w:line="240" w:lineRule="auto"/>
            </w:pPr>
            <w:r>
              <w:rPr>
                <w:rFonts w:ascii="Calibri" w:hAnsi="Calibri" w:eastAsia="宋体"/>
                <w:b/>
                <w:i w:val="0"/>
                <w:color w:val="FFFFFF"/>
                <w:sz w:val="20"/>
              </w:rPr>
              <w:t>维度</w:t>
            </w:r>
          </w:p>
        </w:tc>
        <w:tc>
          <w:tcPr>
            <w:tcW w:w="3175" w:type="dxa"/>
            <w:shd w:val="clear" w:color="auto" w:fill="1F4E79"/>
          </w:tcPr>
          <w:p w14:paraId="12B30A0F">
            <w:pPr>
              <w:spacing w:after="0" w:line="240" w:lineRule="auto"/>
            </w:pPr>
            <w:r>
              <w:rPr>
                <w:rFonts w:ascii="Calibri" w:hAnsi="Calibri" w:eastAsia="宋体"/>
                <w:b/>
                <w:i w:val="0"/>
                <w:color w:val="FFFFFF"/>
                <w:sz w:val="20"/>
              </w:rPr>
              <w:t>康复医疗（我方判断）</w:t>
            </w:r>
          </w:p>
        </w:tc>
        <w:tc>
          <w:tcPr>
            <w:tcW w:w="3515" w:type="dxa"/>
            <w:shd w:val="clear" w:color="auto" w:fill="1F4E79"/>
          </w:tcPr>
          <w:p w14:paraId="38686C9C">
            <w:pPr>
              <w:spacing w:after="0" w:line="240" w:lineRule="auto"/>
            </w:pPr>
            <w:r>
              <w:rPr>
                <w:rFonts w:ascii="Calibri" w:hAnsi="Calibri" w:eastAsia="宋体"/>
                <w:b/>
                <w:i w:val="0"/>
                <w:color w:val="FFFFFF"/>
                <w:sz w:val="20"/>
              </w:rPr>
              <w:t>养老照护（Pasontech 推进）</w:t>
            </w:r>
          </w:p>
        </w:tc>
      </w:tr>
      <w:tr w14:paraId="58C2C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1724D055">
            <w:pPr>
              <w:spacing w:after="0" w:line="240" w:lineRule="auto"/>
            </w:pPr>
            <w:r>
              <w:rPr>
                <w:rFonts w:ascii="Calibri" w:hAnsi="Calibri" w:eastAsia="宋体"/>
                <w:b w:val="0"/>
                <w:i w:val="0"/>
                <w:sz w:val="19"/>
              </w:rPr>
              <w:t>场景性质</w:t>
            </w:r>
          </w:p>
        </w:tc>
        <w:tc>
          <w:tcPr>
            <w:tcW w:w="3175" w:type="dxa"/>
          </w:tcPr>
          <w:p w14:paraId="7D2E6526">
            <w:pPr>
              <w:spacing w:after="0" w:line="240" w:lineRule="auto"/>
            </w:pPr>
            <w:r>
              <w:rPr>
                <w:rFonts w:ascii="Calibri" w:hAnsi="Calibri" w:eastAsia="宋体"/>
                <w:b w:val="0"/>
                <w:i w:val="0"/>
                <w:sz w:val="19"/>
              </w:rPr>
              <w:t>有治疗目的，患者有功能性训练诉求</w:t>
            </w:r>
          </w:p>
        </w:tc>
        <w:tc>
          <w:tcPr>
            <w:tcW w:w="3515" w:type="dxa"/>
          </w:tcPr>
          <w:p w14:paraId="42E089F7">
            <w:pPr>
              <w:spacing w:after="0" w:line="240" w:lineRule="auto"/>
            </w:pPr>
            <w:r>
              <w:rPr>
                <w:rFonts w:ascii="Calibri" w:hAnsi="Calibri" w:eastAsia="宋体"/>
                <w:b w:val="0"/>
                <w:i w:val="0"/>
                <w:sz w:val="19"/>
              </w:rPr>
              <w:t>生活照料，老人日常生活依赖</w:t>
            </w:r>
          </w:p>
        </w:tc>
      </w:tr>
      <w:tr w14:paraId="4D2C0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1574DED8">
            <w:pPr>
              <w:spacing w:after="0" w:line="240" w:lineRule="auto"/>
            </w:pPr>
            <w:r>
              <w:rPr>
                <w:rFonts w:ascii="Calibri" w:hAnsi="Calibri" w:eastAsia="宋体"/>
                <w:b w:val="0"/>
                <w:i w:val="0"/>
                <w:sz w:val="19"/>
              </w:rPr>
              <w:t>专业背书</w:t>
            </w:r>
          </w:p>
        </w:tc>
        <w:tc>
          <w:tcPr>
            <w:tcW w:w="3175" w:type="dxa"/>
          </w:tcPr>
          <w:p w14:paraId="04AD7F62">
            <w:pPr>
              <w:spacing w:after="0" w:line="240" w:lineRule="auto"/>
            </w:pPr>
            <w:r>
              <w:rPr>
                <w:rFonts w:ascii="Calibri" w:hAnsi="Calibri" w:eastAsia="宋体"/>
                <w:b w:val="0"/>
                <w:i w:val="0"/>
                <w:sz w:val="19"/>
              </w:rPr>
              <w:t>医院康复科/康复医院，医疗体系背书</w:t>
            </w:r>
          </w:p>
        </w:tc>
        <w:tc>
          <w:tcPr>
            <w:tcW w:w="3515" w:type="dxa"/>
          </w:tcPr>
          <w:p w14:paraId="65E9D5EE">
            <w:pPr>
              <w:spacing w:after="0" w:line="240" w:lineRule="auto"/>
            </w:pPr>
            <w:r>
              <w:rPr>
                <w:rFonts w:ascii="Calibri" w:hAnsi="Calibri" w:eastAsia="宋体"/>
                <w:b w:val="0"/>
                <w:i w:val="0"/>
                <w:sz w:val="19"/>
              </w:rPr>
              <w:t>民政养老体系，无强医疗背书</w:t>
            </w:r>
          </w:p>
        </w:tc>
      </w:tr>
      <w:tr w14:paraId="46076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1F94AB72">
            <w:pPr>
              <w:spacing w:after="0" w:line="240" w:lineRule="auto"/>
            </w:pPr>
            <w:r>
              <w:rPr>
                <w:rFonts w:ascii="Calibri" w:hAnsi="Calibri" w:eastAsia="宋体"/>
                <w:b w:val="0"/>
                <w:i w:val="0"/>
                <w:sz w:val="19"/>
              </w:rPr>
              <w:t>付费方</w:t>
            </w:r>
          </w:p>
        </w:tc>
        <w:tc>
          <w:tcPr>
            <w:tcW w:w="3175" w:type="dxa"/>
          </w:tcPr>
          <w:p w14:paraId="3B127BE3">
            <w:pPr>
              <w:spacing w:after="0" w:line="240" w:lineRule="auto"/>
            </w:pPr>
            <w:r>
              <w:rPr>
                <w:rFonts w:ascii="Calibri" w:hAnsi="Calibri" w:eastAsia="宋体"/>
                <w:b w:val="0"/>
                <w:i w:val="0"/>
                <w:sz w:val="19"/>
              </w:rPr>
              <w:t>有医保 + 康复机构利润动力，商业化路径清晰</w:t>
            </w:r>
          </w:p>
        </w:tc>
        <w:tc>
          <w:tcPr>
            <w:tcW w:w="3515" w:type="dxa"/>
          </w:tcPr>
          <w:p w14:paraId="7216A7A7">
            <w:pPr>
              <w:spacing w:after="0" w:line="240" w:lineRule="auto"/>
            </w:pPr>
            <w:r>
              <w:rPr>
                <w:rFonts w:ascii="Calibri" w:hAnsi="Calibri" w:eastAsia="宋体"/>
                <w:b w:val="0"/>
                <w:i w:val="0"/>
                <w:sz w:val="19"/>
              </w:rPr>
              <w:t>普惠养老付费能力弱，商业模式模糊</w:t>
            </w:r>
          </w:p>
        </w:tc>
      </w:tr>
      <w:tr w14:paraId="3C65E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6302B6DF">
            <w:pPr>
              <w:spacing w:after="0" w:line="240" w:lineRule="auto"/>
            </w:pPr>
            <w:r>
              <w:rPr>
                <w:rFonts w:ascii="Calibri" w:hAnsi="Calibri" w:eastAsia="宋体"/>
                <w:b w:val="0"/>
                <w:i w:val="0"/>
                <w:sz w:val="19"/>
              </w:rPr>
              <w:t>接触深度</w:t>
            </w:r>
          </w:p>
        </w:tc>
        <w:tc>
          <w:tcPr>
            <w:tcW w:w="3175" w:type="dxa"/>
          </w:tcPr>
          <w:p w14:paraId="108DF265">
            <w:pPr>
              <w:spacing w:after="0" w:line="240" w:lineRule="auto"/>
            </w:pPr>
            <w:r>
              <w:rPr>
                <w:rFonts w:ascii="Calibri" w:hAnsi="Calibri" w:eastAsia="宋体"/>
                <w:b w:val="0"/>
                <w:i w:val="0"/>
                <w:sz w:val="19"/>
              </w:rPr>
              <w:t>功能辅助/训练，相对可控</w:t>
            </w:r>
          </w:p>
        </w:tc>
        <w:tc>
          <w:tcPr>
            <w:tcW w:w="3515" w:type="dxa"/>
          </w:tcPr>
          <w:p w14:paraId="7B0F0978">
            <w:pPr>
              <w:spacing w:after="0" w:line="240" w:lineRule="auto"/>
            </w:pPr>
            <w:r>
              <w:rPr>
                <w:rFonts w:ascii="Calibri" w:hAnsi="Calibri" w:eastAsia="宋体"/>
                <w:b w:val="0"/>
                <w:i w:val="0"/>
                <w:sz w:val="19"/>
              </w:rPr>
              <w:t>喂食/擦洗/转移，深接触、容错率极低</w:t>
            </w:r>
          </w:p>
        </w:tc>
      </w:tr>
      <w:tr w14:paraId="08B7F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1DEB8F83">
            <w:pPr>
              <w:spacing w:after="0" w:line="240" w:lineRule="auto"/>
            </w:pPr>
            <w:r>
              <w:rPr>
                <w:rFonts w:ascii="Calibri" w:hAnsi="Calibri" w:eastAsia="宋体"/>
                <w:b w:val="0"/>
                <w:i w:val="0"/>
                <w:sz w:val="19"/>
              </w:rPr>
              <w:t>法律风险</w:t>
            </w:r>
          </w:p>
        </w:tc>
        <w:tc>
          <w:tcPr>
            <w:tcW w:w="3175" w:type="dxa"/>
          </w:tcPr>
          <w:p w14:paraId="3E4CC7B0">
            <w:pPr>
              <w:spacing w:after="0" w:line="240" w:lineRule="auto"/>
            </w:pPr>
            <w:r>
              <w:rPr>
                <w:rFonts w:ascii="Calibri" w:hAnsi="Calibri" w:eastAsia="宋体"/>
                <w:b w:val="0"/>
                <w:i w:val="0"/>
                <w:sz w:val="19"/>
              </w:rPr>
              <w:t>医疗责任体系相对成熟</w:t>
            </w:r>
          </w:p>
        </w:tc>
        <w:tc>
          <w:tcPr>
            <w:tcW w:w="3515" w:type="dxa"/>
          </w:tcPr>
          <w:p w14:paraId="3C648DF6">
            <w:pPr>
              <w:spacing w:after="0" w:line="240" w:lineRule="auto"/>
            </w:pPr>
            <w:r>
              <w:rPr>
                <w:rFonts w:ascii="Calibri" w:hAnsi="Calibri" w:eastAsia="宋体"/>
                <w:b w:val="0"/>
                <w:i w:val="0"/>
                <w:sz w:val="19"/>
              </w:rPr>
              <w:t>老人多无完全民事行为能力，跌倒/噎食等意外责任、伦理审查、监管报备更复杂</w:t>
            </w:r>
          </w:p>
        </w:tc>
      </w:tr>
      <w:tr w14:paraId="645AD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6EAC0EEE">
            <w:pPr>
              <w:spacing w:after="0" w:line="240" w:lineRule="auto"/>
            </w:pPr>
            <w:r>
              <w:rPr>
                <w:rFonts w:ascii="Calibri" w:hAnsi="Calibri" w:eastAsia="宋体"/>
                <w:b w:val="0"/>
                <w:i w:val="0"/>
                <w:sz w:val="19"/>
              </w:rPr>
              <w:t>数据价值与合规</w:t>
            </w:r>
          </w:p>
        </w:tc>
        <w:tc>
          <w:tcPr>
            <w:tcW w:w="3175" w:type="dxa"/>
          </w:tcPr>
          <w:p w14:paraId="15A3E534">
            <w:pPr>
              <w:spacing w:after="0" w:line="240" w:lineRule="auto"/>
            </w:pPr>
            <w:r>
              <w:rPr>
                <w:rFonts w:ascii="Calibri" w:hAnsi="Calibri" w:eastAsia="宋体"/>
                <w:b w:val="0"/>
                <w:i w:val="0"/>
                <w:sz w:val="19"/>
              </w:rPr>
              <w:t>医疗数据合规路径较明确</w:t>
            </w:r>
          </w:p>
        </w:tc>
        <w:tc>
          <w:tcPr>
            <w:tcW w:w="3515" w:type="dxa"/>
          </w:tcPr>
          <w:p w14:paraId="19CAC2CD">
            <w:pPr>
              <w:spacing w:after="0" w:line="240" w:lineRule="auto"/>
            </w:pPr>
            <w:r>
              <w:rPr>
                <w:rFonts w:ascii="Calibri" w:hAnsi="Calibri" w:eastAsia="宋体"/>
                <w:b w:val="0"/>
                <w:i w:val="0"/>
                <w:sz w:val="19"/>
              </w:rPr>
              <w:t>老人影像/行为数据高度敏感，采集合规要求更高</w:t>
            </w:r>
          </w:p>
        </w:tc>
      </w:tr>
      <w:tr w14:paraId="44E0C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5F1D8E3B">
            <w:pPr>
              <w:spacing w:after="0" w:line="240" w:lineRule="auto"/>
            </w:pPr>
            <w:r>
              <w:rPr>
                <w:rFonts w:ascii="Calibri" w:hAnsi="Calibri" w:eastAsia="宋体"/>
                <w:b w:val="0"/>
                <w:i w:val="0"/>
                <w:sz w:val="19"/>
              </w:rPr>
              <w:t>技术成熟度要求</w:t>
            </w:r>
          </w:p>
        </w:tc>
        <w:tc>
          <w:tcPr>
            <w:tcW w:w="3175" w:type="dxa"/>
          </w:tcPr>
          <w:p w14:paraId="5E815B9C">
            <w:pPr>
              <w:spacing w:after="0" w:line="240" w:lineRule="auto"/>
            </w:pPr>
            <w:r>
              <w:rPr>
                <w:rFonts w:ascii="Calibri" w:hAnsi="Calibri" w:eastAsia="宋体"/>
                <w:b w:val="0"/>
                <w:i w:val="0"/>
                <w:sz w:val="19"/>
              </w:rPr>
              <w:t>中（功能辅助可逐步迭代）</w:t>
            </w:r>
          </w:p>
        </w:tc>
        <w:tc>
          <w:tcPr>
            <w:tcW w:w="3515" w:type="dxa"/>
          </w:tcPr>
          <w:p w14:paraId="0BCAF5C4">
            <w:pPr>
              <w:spacing w:after="0" w:line="240" w:lineRule="auto"/>
            </w:pPr>
            <w:r>
              <w:rPr>
                <w:rFonts w:ascii="Calibri" w:hAnsi="Calibri" w:eastAsia="宋体"/>
                <w:b w:val="0"/>
                <w:i w:val="0"/>
                <w:sz w:val="19"/>
              </w:rPr>
              <w:t>极高（深接触操作不容失败）</w:t>
            </w:r>
          </w:p>
        </w:tc>
      </w:tr>
      <w:tr w14:paraId="297F8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4E848852">
            <w:pPr>
              <w:spacing w:after="0" w:line="240" w:lineRule="auto"/>
            </w:pPr>
            <w:r>
              <w:rPr>
                <w:rFonts w:ascii="Calibri" w:hAnsi="Calibri" w:eastAsia="宋体"/>
                <w:b w:val="0"/>
                <w:i w:val="0"/>
                <w:sz w:val="19"/>
              </w:rPr>
              <w:t>战略定位</w:t>
            </w:r>
          </w:p>
        </w:tc>
        <w:tc>
          <w:tcPr>
            <w:tcW w:w="3175" w:type="dxa"/>
          </w:tcPr>
          <w:p w14:paraId="03D4571F">
            <w:pPr>
              <w:spacing w:after="0" w:line="240" w:lineRule="auto"/>
            </w:pPr>
            <w:r>
              <w:rPr>
                <w:rFonts w:ascii="Calibri" w:hAnsi="Calibri" w:eastAsia="宋体"/>
                <w:b w:val="0"/>
                <w:i w:val="0"/>
                <w:sz w:val="19"/>
              </w:rPr>
              <w:t>进阶路径：可标准化、有付费方、风险可控</w:t>
            </w:r>
          </w:p>
        </w:tc>
        <w:tc>
          <w:tcPr>
            <w:tcW w:w="3515" w:type="dxa"/>
          </w:tcPr>
          <w:p w14:paraId="26BBF93D">
            <w:pPr>
              <w:spacing w:after="0" w:line="240" w:lineRule="auto"/>
            </w:pPr>
            <w:r>
              <w:rPr>
                <w:rFonts w:ascii="Calibri" w:hAnsi="Calibri" w:eastAsia="宋体"/>
                <w:b w:val="0"/>
                <w:i w:val="0"/>
                <w:sz w:val="19"/>
              </w:rPr>
              <w:t>远期市场：巨大但条件尚不成熟</w:t>
            </w:r>
          </w:p>
        </w:tc>
      </w:tr>
    </w:tbl>
    <w:p w14:paraId="2CA920FD">
      <w:pPr>
        <w:spacing w:after="80" w:line="312" w:lineRule="auto"/>
        <w:rPr>
          <w:rFonts w:ascii="Calibri" w:hAnsi="Calibri" w:eastAsia="宋体"/>
          <w:b w:val="0"/>
          <w:i w:val="0"/>
          <w:sz w:val="21"/>
        </w:rPr>
      </w:pPr>
    </w:p>
    <w:p w14:paraId="7F8FEFF8">
      <w:pPr>
        <w:spacing w:after="80" w:line="312" w:lineRule="auto"/>
      </w:pPr>
      <w:r>
        <w:rPr>
          <w:rFonts w:ascii="Calibri" w:hAnsi="Calibri" w:eastAsia="宋体"/>
          <w:b w:val="0"/>
          <w:i w:val="0"/>
          <w:sz w:val="21"/>
        </w:rPr>
        <w:t>结论：把两者混为一谈会犯战略错误——顺序上应先康复后养老，时间上养老照护的 POC 应显著晚于实验室验证，且须以满足安全与合规门槛为前提。</w:t>
      </w:r>
    </w:p>
    <w:p w14:paraId="4E6E65A7">
      <w:pPr>
        <w:spacing w:before="240" w:after="120"/>
      </w:pPr>
      <w:r>
        <w:rPr>
          <w:rFonts w:ascii="Calibri" w:hAnsi="Calibri" w:eastAsia="宋体"/>
          <w:b/>
          <w:i w:val="0"/>
          <w:color w:val="1F4E79"/>
          <w:sz w:val="26"/>
        </w:rPr>
        <w:t>3.3 我方决策</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1"/>
        <w:gridCol w:w="2494"/>
        <w:gridCol w:w="3515"/>
      </w:tblGrid>
      <w:tr w14:paraId="5BCF2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shd w:val="clear" w:color="auto" w:fill="1F4E79"/>
          </w:tcPr>
          <w:p w14:paraId="1677FDE4">
            <w:pPr>
              <w:spacing w:after="0" w:line="240" w:lineRule="auto"/>
            </w:pPr>
            <w:r>
              <w:rPr>
                <w:rFonts w:ascii="Calibri" w:hAnsi="Calibri" w:eastAsia="宋体"/>
                <w:b/>
                <w:i w:val="0"/>
                <w:color w:val="FFFFFF"/>
                <w:sz w:val="20"/>
              </w:rPr>
              <w:t>决策项</w:t>
            </w:r>
          </w:p>
        </w:tc>
        <w:tc>
          <w:tcPr>
            <w:tcW w:w="2494" w:type="dxa"/>
            <w:shd w:val="clear" w:color="auto" w:fill="1F4E79"/>
          </w:tcPr>
          <w:p w14:paraId="67B8970A">
            <w:pPr>
              <w:spacing w:after="0" w:line="240" w:lineRule="auto"/>
            </w:pPr>
            <w:r>
              <w:rPr>
                <w:rFonts w:ascii="Calibri" w:hAnsi="Calibri" w:eastAsia="宋体"/>
                <w:b/>
                <w:i w:val="0"/>
                <w:color w:val="FFFFFF"/>
                <w:sz w:val="20"/>
              </w:rPr>
              <w:t>结论</w:t>
            </w:r>
          </w:p>
        </w:tc>
        <w:tc>
          <w:tcPr>
            <w:tcW w:w="3515" w:type="dxa"/>
            <w:shd w:val="clear" w:color="auto" w:fill="1F4E79"/>
          </w:tcPr>
          <w:p w14:paraId="50FF119D">
            <w:pPr>
              <w:spacing w:after="0" w:line="240" w:lineRule="auto"/>
            </w:pPr>
            <w:r>
              <w:rPr>
                <w:rFonts w:ascii="Calibri" w:hAnsi="Calibri" w:eastAsia="宋体"/>
                <w:b/>
                <w:i w:val="0"/>
                <w:color w:val="FFFFFF"/>
                <w:sz w:val="20"/>
              </w:rPr>
              <w:t>理由</w:t>
            </w:r>
          </w:p>
        </w:tc>
      </w:tr>
      <w:tr w14:paraId="30073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4CD8E2DA">
            <w:pPr>
              <w:spacing w:after="0" w:line="240" w:lineRule="auto"/>
            </w:pPr>
            <w:r>
              <w:rPr>
                <w:rFonts w:ascii="Calibri" w:hAnsi="Calibri" w:eastAsia="宋体"/>
                <w:b w:val="0"/>
                <w:i w:val="0"/>
                <w:sz w:val="19"/>
              </w:rPr>
              <w:t>康复领域（康复训练辅助等）</w:t>
            </w:r>
          </w:p>
        </w:tc>
        <w:tc>
          <w:tcPr>
            <w:tcW w:w="2494" w:type="dxa"/>
          </w:tcPr>
          <w:p w14:paraId="37B22210">
            <w:pPr>
              <w:spacing w:after="0" w:line="240" w:lineRule="auto"/>
            </w:pPr>
            <w:r>
              <w:rPr>
                <w:rFonts w:ascii="Calibri" w:hAnsi="Calibri" w:eastAsia="宋体"/>
                <w:b w:val="0"/>
                <w:i w:val="0"/>
                <w:sz w:val="19"/>
              </w:rPr>
              <w:t>可并行开展概念验证</w:t>
            </w:r>
          </w:p>
        </w:tc>
        <w:tc>
          <w:tcPr>
            <w:tcW w:w="3515" w:type="dxa"/>
          </w:tcPr>
          <w:p w14:paraId="75929F67">
            <w:pPr>
              <w:spacing w:after="0" w:line="240" w:lineRule="auto"/>
            </w:pPr>
            <w:r>
              <w:rPr>
                <w:rFonts w:ascii="Calibri" w:hAnsi="Calibri" w:eastAsia="宋体"/>
                <w:b w:val="0"/>
                <w:i w:val="0"/>
                <w:sz w:val="19"/>
              </w:rPr>
              <w:t>有医疗体系背书、付费方明确、接触可控；且对方已有场景资源，抓住该窗口即可，不必以牺牲整条线为代价</w:t>
            </w:r>
          </w:p>
        </w:tc>
      </w:tr>
      <w:tr w14:paraId="732C0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633888A3">
            <w:pPr>
              <w:spacing w:after="0" w:line="240" w:lineRule="auto"/>
            </w:pPr>
            <w:r>
              <w:rPr>
                <w:rFonts w:ascii="Calibri" w:hAnsi="Calibri" w:eastAsia="宋体"/>
                <w:b w:val="0"/>
                <w:i w:val="0"/>
                <w:sz w:val="19"/>
              </w:rPr>
              <w:t>康复验证的进退权</w:t>
            </w:r>
          </w:p>
        </w:tc>
        <w:tc>
          <w:tcPr>
            <w:tcW w:w="2494" w:type="dxa"/>
          </w:tcPr>
          <w:p w14:paraId="4B592845">
            <w:pPr>
              <w:spacing w:after="0" w:line="240" w:lineRule="auto"/>
            </w:pPr>
            <w:r>
              <w:rPr>
                <w:rFonts w:ascii="Calibri" w:hAnsi="Calibri" w:eastAsia="宋体"/>
                <w:b w:val="0"/>
                <w:i w:val="0"/>
                <w:sz w:val="19"/>
              </w:rPr>
              <w:t>双方保有经调研或验证后协商放弃/推迟的权力</w:t>
            </w:r>
          </w:p>
        </w:tc>
        <w:tc>
          <w:tcPr>
            <w:tcW w:w="3515" w:type="dxa"/>
          </w:tcPr>
          <w:p w14:paraId="7861F5CA">
            <w:pPr>
              <w:spacing w:after="0" w:line="240" w:lineRule="auto"/>
            </w:pPr>
            <w:r>
              <w:rPr>
                <w:rFonts w:ascii="Calibri" w:hAnsi="Calibri" w:eastAsia="宋体"/>
                <w:b w:val="0"/>
                <w:i w:val="0"/>
                <w:sz w:val="19"/>
              </w:rPr>
              <w:t>技术未成熟、场景考察未完成前，任何承诺都过早；保留退出阀门可防止被"绑架式推进"</w:t>
            </w:r>
          </w:p>
        </w:tc>
      </w:tr>
      <w:tr w14:paraId="1E02C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5BF938D7">
            <w:pPr>
              <w:spacing w:after="0" w:line="240" w:lineRule="auto"/>
            </w:pPr>
            <w:r>
              <w:rPr>
                <w:rFonts w:ascii="Calibri" w:hAnsi="Calibri" w:eastAsia="宋体"/>
                <w:b w:val="0"/>
                <w:i w:val="0"/>
                <w:sz w:val="19"/>
              </w:rPr>
              <w:t>养老照护领域</w:t>
            </w:r>
          </w:p>
        </w:tc>
        <w:tc>
          <w:tcPr>
            <w:tcW w:w="2494" w:type="dxa"/>
          </w:tcPr>
          <w:p w14:paraId="27DC4580">
            <w:pPr>
              <w:spacing w:after="0" w:line="240" w:lineRule="auto"/>
            </w:pPr>
            <w:r>
              <w:rPr>
                <w:rFonts w:ascii="Calibri" w:hAnsi="Calibri" w:eastAsia="宋体"/>
                <w:b w:val="0"/>
                <w:i w:val="0"/>
                <w:sz w:val="19"/>
              </w:rPr>
              <w:t>坚决不写入 MOU、不启动验证</w:t>
            </w:r>
          </w:p>
        </w:tc>
        <w:tc>
          <w:tcPr>
            <w:tcW w:w="3515" w:type="dxa"/>
          </w:tcPr>
          <w:p w14:paraId="3B17A758">
            <w:pPr>
              <w:spacing w:after="0" w:line="240" w:lineRule="auto"/>
            </w:pPr>
            <w:r>
              <w:rPr>
                <w:rFonts w:ascii="Calibri" w:hAnsi="Calibri" w:eastAsia="宋体"/>
                <w:b w:val="0"/>
                <w:i w:val="0"/>
                <w:sz w:val="19"/>
              </w:rPr>
              <w:t>违反"早期不碰人体"共识；深接触操作技术风险与伦理/法律风险不可控；数据条款亦最恶劣（归丙方+退出归还）</w:t>
            </w:r>
          </w:p>
        </w:tc>
      </w:tr>
    </w:tbl>
    <w:p w14:paraId="57B08587">
      <w:pPr>
        <w:spacing w:before="240" w:after="120"/>
      </w:pPr>
      <w:r>
        <w:rPr>
          <w:rFonts w:ascii="Calibri" w:hAnsi="Calibri" w:eastAsia="宋体"/>
          <w:b/>
          <w:i w:val="0"/>
          <w:color w:val="1F4E79"/>
          <w:sz w:val="26"/>
        </w:rPr>
        <w:t>3.4 在 MOU 中的落地表述（原则性条款改写）</w:t>
      </w:r>
    </w:p>
    <w:p w14:paraId="621FC695">
      <w:pPr>
        <w:shd w:val="clear" w:color="auto" w:fill="F2F2F2"/>
        <w:spacing w:before="60" w:after="100" w:line="300" w:lineRule="auto"/>
        <w:ind w:left="227"/>
      </w:pPr>
      <w:r>
        <w:rPr>
          <w:rFonts w:ascii="Calibri" w:hAnsi="Calibri" w:eastAsia="宋体"/>
          <w:b/>
          <w:i w:val="0"/>
          <w:color w:val="C00000"/>
          <w:sz w:val="20"/>
        </w:rPr>
        <w:t>【建议改写】</w:t>
      </w:r>
      <w:r>
        <w:rPr>
          <w:rFonts w:ascii="Calibri" w:hAnsi="Calibri" w:eastAsia="宋体"/>
          <w:b w:val="0"/>
          <w:i w:val="0"/>
          <w:sz w:val="20"/>
        </w:rPr>
        <w:t>场景选择遵循"安全优先、合规先行"原则。实验室检测场景先行启动；康复训练类场景经双方对焦确认后，可在实验室验证启动后并行开展概念验证。涉及直接接触人体（含患者、老人、残障人士）的高风险照护类场景（包括但不限于辅助进食、个人护理、辅助转移、喂食擦洗等）暂不纳入本期合作范围；任何一方如认为有必要评估该类场景，须经双方实地调研、书面确认并满足相应安全合规条件后方可开展，且双方均有权在调研或概念验证过程中经协商调整、推迟或放弃该类场景。</w:t>
      </w:r>
    </w:p>
    <w:p w14:paraId="30DA91B8">
      <w:pPr>
        <w:spacing w:after="80" w:line="312" w:lineRule="auto"/>
      </w:pPr>
      <w:r>
        <w:rPr>
          <w:rFonts w:ascii="Calibri" w:hAnsi="Calibri" w:eastAsia="宋体"/>
          <w:b w:val="0"/>
          <w:i w:val="0"/>
          <w:sz w:val="21"/>
        </w:rPr>
        <w:t>要点：把"康复可并行"写入，把"养老不碰"写入，同时用"协商放弃/推迟权"给双方留退路</w:t>
      </w:r>
      <w:bookmarkStart w:id="0" w:name="_GoBack"/>
      <w:bookmarkEnd w:id="0"/>
      <w:r>
        <w:rPr>
          <w:rFonts w:ascii="Calibri" w:hAnsi="Calibri" w:eastAsia="宋体"/>
          <w:b w:val="0"/>
          <w:i w:val="0"/>
          <w:sz w:val="21"/>
        </w:rPr>
        <w:t>。</w:t>
      </w:r>
    </w:p>
    <w:p w14:paraId="4CB3CD05">
      <w:pPr>
        <w:pBdr>
          <w:bottom w:val="single" w:color="1F4E79" w:sz="8" w:space="2"/>
        </w:pBdr>
        <w:spacing w:before="320" w:after="160"/>
      </w:pPr>
      <w:r>
        <w:rPr>
          <w:rFonts w:ascii="Calibri" w:hAnsi="Calibri" w:eastAsia="宋体"/>
          <w:b/>
          <w:i w:val="0"/>
          <w:color w:val="1F4E79"/>
          <w:sz w:val="32"/>
        </w:rPr>
        <w:t>四、条款级修改建议（含改写文本）</w:t>
      </w:r>
    </w:p>
    <w:p w14:paraId="60F1A207">
      <w:pPr>
        <w:spacing w:before="240" w:after="120"/>
      </w:pPr>
      <w:r>
        <w:rPr>
          <w:rFonts w:ascii="Calibri" w:hAnsi="Calibri" w:eastAsia="宋体"/>
          <w:b/>
          <w:i w:val="0"/>
          <w:color w:val="1F4E79"/>
          <w:sz w:val="26"/>
        </w:rPr>
        <w:t>A. MOU（《战略合作备忘录》）层面</w:t>
      </w:r>
    </w:p>
    <w:p w14:paraId="721972F0">
      <w:pPr>
        <w:spacing w:before="160" w:after="80"/>
      </w:pPr>
      <w:r>
        <w:rPr>
          <w:rFonts w:ascii="Calibri" w:hAnsi="Calibri" w:eastAsia="宋体"/>
          <w:b/>
          <w:i w:val="0"/>
          <w:sz w:val="23"/>
        </w:rPr>
        <w:t>A1. 第三条 场景选择原则</w:t>
      </w:r>
    </w:p>
    <w:p w14:paraId="7E57F08D">
      <w:pPr>
        <w:shd w:val="clear" w:color="auto" w:fill="FFFFFF"/>
        <w:spacing w:before="60" w:after="100" w:line="300" w:lineRule="auto"/>
        <w:ind w:left="227"/>
      </w:pPr>
      <w:r>
        <w:rPr>
          <w:rFonts w:ascii="Calibri" w:hAnsi="Calibri" w:eastAsia="宋体"/>
          <w:b/>
          <w:i w:val="0"/>
          <w:color w:val="595959"/>
          <w:sz w:val="20"/>
        </w:rPr>
        <w:t>【原文】</w:t>
      </w:r>
      <w:r>
        <w:rPr>
          <w:rFonts w:ascii="Calibri" w:hAnsi="Calibri" w:eastAsia="宋体"/>
          <w:b w:val="0"/>
          <w:i w:val="0"/>
          <w:sz w:val="20"/>
        </w:rPr>
        <w:t>"场景切入遵循「安全优先、合规先行」原则，优先选择不直接接触患者身体、操作高频、业务价值高、可标准化验证的环节开展验证。实验室检测场景先行启动，康养养老场景跟进开展验证，两类验证并行推进。"</w:t>
      </w:r>
    </w:p>
    <w:p w14:paraId="1807B00A">
      <w:pPr>
        <w:shd w:val="clear" w:color="auto" w:fill="FFF2CC"/>
        <w:spacing w:before="60" w:after="100" w:line="300" w:lineRule="auto"/>
        <w:ind w:left="227"/>
      </w:pPr>
      <w:r>
        <w:rPr>
          <w:rFonts w:ascii="Calibri" w:hAnsi="Calibri" w:eastAsia="宋体"/>
          <w:b/>
          <w:i w:val="0"/>
          <w:color w:val="C00000"/>
          <w:sz w:val="20"/>
        </w:rPr>
        <w:t>【建议改写】</w:t>
      </w:r>
      <w:r>
        <w:rPr>
          <w:rFonts w:ascii="Calibri" w:hAnsi="Calibri" w:eastAsia="宋体"/>
          <w:b w:val="0"/>
          <w:i w:val="0"/>
          <w:sz w:val="20"/>
        </w:rPr>
        <w:t>改为上述 3.4 落地表述；并将"康养养老场景跟进开展验证，两类验证并行推进"改为"康复训练类场景可跟进开展验证，与实验室验证并行推进"。</w:t>
      </w:r>
    </w:p>
    <w:p w14:paraId="1A8A8FE8">
      <w:pPr>
        <w:spacing w:before="160" w:after="80"/>
      </w:pPr>
      <w:r>
        <w:rPr>
          <w:rFonts w:ascii="Calibri" w:hAnsi="Calibri" w:eastAsia="宋体"/>
          <w:b/>
          <w:i w:val="0"/>
          <w:sz w:val="23"/>
        </w:rPr>
        <w:t>A2. 第四、五条 推进路径与架构（删除"养老并行"）</w:t>
      </w:r>
    </w:p>
    <w:p w14:paraId="44130F36">
      <w:pPr>
        <w:shd w:val="clear" w:color="auto" w:fill="FFFFFF"/>
        <w:spacing w:before="60" w:after="100" w:line="300" w:lineRule="auto"/>
        <w:ind w:left="227"/>
      </w:pPr>
      <w:r>
        <w:rPr>
          <w:rFonts w:ascii="Calibri" w:hAnsi="Calibri" w:eastAsia="宋体"/>
          <w:b/>
          <w:i w:val="0"/>
          <w:color w:val="595959"/>
          <w:sz w:val="20"/>
        </w:rPr>
        <w:t>【原文】</w:t>
      </w:r>
      <w:r>
        <w:rPr>
          <w:rFonts w:ascii="Calibri" w:hAnsi="Calibri" w:eastAsia="宋体"/>
          <w:b w:val="0"/>
          <w:i w:val="0"/>
          <w:sz w:val="20"/>
        </w:rPr>
        <w:t>"概念验证（实验室检测先行、康养养老跟进，预计约十二个月）"；"康养养老场景跟进开展概念验证，两类验证并行推进"；"设立养护机器人公司，推进康养养老商业化"。</w:t>
      </w:r>
    </w:p>
    <w:p w14:paraId="009F7844">
      <w:pPr>
        <w:shd w:val="clear" w:color="auto" w:fill="FFF2CC"/>
        <w:spacing w:before="60" w:after="100" w:line="300" w:lineRule="auto"/>
        <w:ind w:left="227"/>
      </w:pPr>
      <w:r>
        <w:rPr>
          <w:rFonts w:ascii="Calibri" w:hAnsi="Calibri" w:eastAsia="宋体"/>
          <w:b/>
          <w:i w:val="0"/>
          <w:color w:val="C00000"/>
          <w:sz w:val="20"/>
        </w:rPr>
        <w:t>【建议改写】</w:t>
      </w:r>
      <w:r>
        <w:rPr>
          <w:rFonts w:ascii="Calibri" w:hAnsi="Calibri" w:eastAsia="宋体"/>
          <w:b w:val="0"/>
          <w:i w:val="0"/>
          <w:sz w:val="20"/>
        </w:rPr>
        <w:t>全部"康养养老"表述改为"康复训练类场景"；研究院设立条件（MOU 第三部分（一）2）中"实验室检测及康养养老两类概念验证通过"改为"实验室检测及康复训练类概念验证通过"。养护机器人公司表述改为"推进康复医疗商业化，养老照护产品待场景安全与合规条件成熟后另行评估"。</w:t>
      </w:r>
    </w:p>
    <w:p w14:paraId="4A72F53F">
      <w:pPr>
        <w:spacing w:before="160" w:after="80"/>
      </w:pPr>
      <w:r>
        <w:rPr>
          <w:rFonts w:ascii="Calibri" w:hAnsi="Calibri" w:eastAsia="宋体"/>
          <w:b/>
          <w:i w:val="0"/>
          <w:sz w:val="23"/>
        </w:rPr>
        <w:t>A3. 第三部分（三）候选方向（删除养老照护）</w:t>
      </w:r>
    </w:p>
    <w:p w14:paraId="43C23316">
      <w:pPr>
        <w:shd w:val="clear" w:color="auto" w:fill="FFFFFF"/>
        <w:spacing w:before="60" w:after="100" w:line="300" w:lineRule="auto"/>
        <w:ind w:left="227"/>
      </w:pPr>
      <w:r>
        <w:rPr>
          <w:rFonts w:ascii="Calibri" w:hAnsi="Calibri" w:eastAsia="宋体"/>
          <w:b/>
          <w:i w:val="0"/>
          <w:color w:val="595959"/>
          <w:sz w:val="20"/>
        </w:rPr>
        <w:t>【原文】</w:t>
      </w:r>
      <w:r>
        <w:rPr>
          <w:rFonts w:ascii="Calibri" w:hAnsi="Calibri" w:eastAsia="宋体"/>
          <w:b w:val="0"/>
          <w:i w:val="0"/>
          <w:sz w:val="20"/>
        </w:rPr>
        <w:t>"养老照护：辅助进食、个人护理、移动辅助等日常照护中的灵巧操作验证；康复训练：康复训练辅助、理疗操作、患者转移等环节的自动化验证；社区与居家康养：面向社区养老中心和家庭用户的轻量化智能康养设备需求验证。"</w:t>
      </w:r>
    </w:p>
    <w:p w14:paraId="07FBDC32">
      <w:pPr>
        <w:shd w:val="clear" w:color="auto" w:fill="FFF2CC"/>
        <w:spacing w:before="60" w:after="100" w:line="300" w:lineRule="auto"/>
        <w:ind w:left="227"/>
      </w:pPr>
      <w:r>
        <w:rPr>
          <w:rFonts w:ascii="Calibri" w:hAnsi="Calibri" w:eastAsia="宋体"/>
          <w:b/>
          <w:i w:val="0"/>
          <w:color w:val="C00000"/>
          <w:sz w:val="20"/>
        </w:rPr>
        <w:t>【建议改写】</w:t>
      </w:r>
      <w:r>
        <w:rPr>
          <w:rFonts w:ascii="Calibri" w:hAnsi="Calibri" w:eastAsia="宋体"/>
          <w:b w:val="0"/>
          <w:i w:val="0"/>
          <w:sz w:val="20"/>
        </w:rPr>
        <w:t>删除"养老照护"方向；保留"康复训练"方向但明确"患者转移等涉及人体接触的环节须在验证方案中限定为人工配合或非直接接触辅助"；"社区与居家康养"限定为"不直接接触人体的轻量化康养设备需求验证"。并新增："康复场景概念验证的具体启动，以双方完成实地考察、形成机会清单并书面确认为前提；任何一方经调研认为该场景不适宜，有权协商调整、推迟或放弃。"</w:t>
      </w:r>
    </w:p>
    <w:p w14:paraId="007D89B2">
      <w:pPr>
        <w:spacing w:before="160" w:after="80"/>
      </w:pPr>
      <w:r>
        <w:rPr>
          <w:rFonts w:ascii="Calibri" w:hAnsi="Calibri" w:eastAsia="宋体"/>
          <w:b/>
          <w:i w:val="0"/>
          <w:sz w:val="23"/>
        </w:rPr>
        <w:t>A4. 第四部分 3.1.1 底层技术（限缩独家授权）</w:t>
      </w:r>
    </w:p>
    <w:p w14:paraId="3E4F4B06">
      <w:pPr>
        <w:shd w:val="clear" w:color="auto" w:fill="FFFFFF"/>
        <w:spacing w:before="60" w:after="100" w:line="300" w:lineRule="auto"/>
        <w:ind w:left="227"/>
      </w:pPr>
      <w:r>
        <w:rPr>
          <w:rFonts w:ascii="Calibri" w:hAnsi="Calibri" w:eastAsia="宋体"/>
          <w:b/>
          <w:i w:val="0"/>
          <w:color w:val="595959"/>
          <w:sz w:val="20"/>
        </w:rPr>
        <w:t>【原文】</w:t>
      </w:r>
      <w:r>
        <w:rPr>
          <w:rFonts w:ascii="Calibri" w:hAnsi="Calibri" w:eastAsia="宋体"/>
          <w:b w:val="0"/>
          <w:i w:val="0"/>
          <w:sz w:val="20"/>
        </w:rPr>
        <w:t>"乙方在概念验证过程中对其原有大脑模型、灵巧手操作算法、VLA模型等底层技术进行的改进、迭代和优化，知识产权归乙方所有。甲方获得上述改进版本在生命科技与大健康领域的独家使用权，具体授权范围与期限由双方在正式协议中约定。"</w:t>
      </w:r>
    </w:p>
    <w:p w14:paraId="1E9AD2C1">
      <w:pPr>
        <w:shd w:val="clear" w:color="auto" w:fill="FFF2CC"/>
        <w:spacing w:before="60" w:after="100" w:line="300" w:lineRule="auto"/>
        <w:ind w:left="227"/>
      </w:pPr>
      <w:r>
        <w:rPr>
          <w:rFonts w:ascii="Calibri" w:hAnsi="Calibri" w:eastAsia="宋体"/>
          <w:b/>
          <w:i w:val="0"/>
          <w:color w:val="C00000"/>
          <w:sz w:val="20"/>
        </w:rPr>
        <w:t>【建议改写】</w:t>
      </w:r>
      <w:r>
        <w:rPr>
          <w:rFonts w:ascii="Calibri" w:hAnsi="Calibri" w:eastAsia="宋体"/>
          <w:b w:val="0"/>
          <w:i w:val="0"/>
          <w:sz w:val="20"/>
        </w:rPr>
        <w:t>"……知识产权归乙方所有。乙方可在双方约定的合作场景范围内，以非独占许可方式授权甲方及场景方使用上述改进版本，具体授权范围、期限与对价由双方在正式协议中约定。涉及乙方底层技术（含大脑模型、VLA模型、数据管线等）的对外独家授权、转让或排他安排，须经乙方另行书面同意。"</w:t>
      </w:r>
    </w:p>
    <w:p w14:paraId="1F5EED5C">
      <w:pPr>
        <w:spacing w:after="80" w:line="312" w:lineRule="auto"/>
        <w:ind w:left="227"/>
      </w:pPr>
      <w:r>
        <w:rPr>
          <w:rFonts w:ascii="Calibri" w:hAnsi="Calibri" w:eastAsia="宋体"/>
          <w:b w:val="0"/>
          <w:i w:val="0"/>
          <w:color w:val="595959"/>
          <w:sz w:val="19"/>
        </w:rPr>
        <w:t>要点："生命科技与大健康领域"近乎覆盖我方全部应用领域，等于无偿提前锁死商业化空间。必须限缩为非独占、限场景、有对价。</w:t>
      </w:r>
    </w:p>
    <w:p w14:paraId="67CC2789">
      <w:pPr>
        <w:spacing w:before="160" w:after="80"/>
      </w:pPr>
      <w:r>
        <w:rPr>
          <w:rFonts w:ascii="Calibri" w:hAnsi="Calibri" w:eastAsia="宋体"/>
          <w:b/>
          <w:i w:val="0"/>
          <w:sz w:val="23"/>
        </w:rPr>
        <w:t>A5. 第四部分 3.1.2 场景应用方案（删除养老示例 + 补行使规则）</w:t>
      </w:r>
    </w:p>
    <w:p w14:paraId="2BAD34FE">
      <w:pPr>
        <w:shd w:val="clear" w:color="auto" w:fill="FFFFFF"/>
        <w:spacing w:before="60" w:after="100" w:line="300" w:lineRule="auto"/>
        <w:ind w:left="227"/>
      </w:pPr>
      <w:r>
        <w:rPr>
          <w:rFonts w:ascii="Calibri" w:hAnsi="Calibri" w:eastAsia="宋体"/>
          <w:b/>
          <w:i w:val="0"/>
          <w:color w:val="595959"/>
          <w:sz w:val="20"/>
        </w:rPr>
        <w:t>【原文】</w:t>
      </w:r>
      <w:r>
        <w:rPr>
          <w:rFonts w:ascii="Calibri" w:hAnsi="Calibri" w:eastAsia="宋体"/>
          <w:b w:val="0"/>
          <w:i w:val="0"/>
          <w:sz w:val="20"/>
        </w:rPr>
        <w:t>"针对特定场景（如实验室分液操作、养老照护操作等）开发的应用方案、工艺流程、软硬件配置方案及衍生技术，由甲乙双方共同共有。"</w:t>
      </w:r>
    </w:p>
    <w:p w14:paraId="11E836D6">
      <w:pPr>
        <w:shd w:val="clear" w:color="auto" w:fill="FFF2CC"/>
        <w:spacing w:before="60" w:after="100" w:line="300" w:lineRule="auto"/>
        <w:ind w:left="227"/>
      </w:pPr>
      <w:r>
        <w:rPr>
          <w:rFonts w:ascii="Calibri" w:hAnsi="Calibri" w:eastAsia="宋体"/>
          <w:b/>
          <w:i w:val="0"/>
          <w:color w:val="C00000"/>
          <w:sz w:val="20"/>
        </w:rPr>
        <w:t>【建议改写】</w:t>
      </w:r>
      <w:r>
        <w:rPr>
          <w:rFonts w:ascii="Calibri" w:hAnsi="Calibri" w:eastAsia="宋体"/>
          <w:b w:val="0"/>
          <w:i w:val="0"/>
          <w:sz w:val="20"/>
        </w:rPr>
        <w:t>删除"养老照护操作等"示例；补充："共同共有知识产权的行使（含对外许可、转让、质押）须经双方书面一致同意；对外商业化收益由双方按届时约定比例分配；场景方的免费使用权/优先采购权以其提供场景资源为对价，且不得反向限制甲乙双方在其他场景的应用。"</w:t>
      </w:r>
    </w:p>
    <w:p w14:paraId="762A3BC6">
      <w:pPr>
        <w:spacing w:before="160" w:after="80"/>
      </w:pPr>
      <w:r>
        <w:rPr>
          <w:rFonts w:ascii="Calibri" w:hAnsi="Calibri" w:eastAsia="宋体"/>
          <w:b/>
          <w:i w:val="0"/>
          <w:sz w:val="23"/>
        </w:rPr>
        <w:t>A6. 第四部分 3.1.3 数据（权利边界与回流）</w:t>
      </w:r>
    </w:p>
    <w:p w14:paraId="3A5002CC">
      <w:pPr>
        <w:shd w:val="clear" w:color="auto" w:fill="FFFFFF"/>
        <w:spacing w:before="60" w:after="100" w:line="300" w:lineRule="auto"/>
        <w:ind w:left="227"/>
      </w:pPr>
      <w:r>
        <w:rPr>
          <w:rFonts w:ascii="Calibri" w:hAnsi="Calibri" w:eastAsia="宋体"/>
          <w:b/>
          <w:i w:val="0"/>
          <w:color w:val="595959"/>
          <w:sz w:val="20"/>
        </w:rPr>
        <w:t>【原文】</w:t>
      </w:r>
      <w:r>
        <w:rPr>
          <w:rFonts w:ascii="Calibri" w:hAnsi="Calibri" w:eastAsia="宋体"/>
          <w:b w:val="0"/>
          <w:i w:val="0"/>
          <w:sz w:val="20"/>
        </w:rPr>
        <w:t>"概念验证过程中产生的操作数据、场景数据及验证数据，其所有权归数据来源方（场景方）所有。甲乙双方获得上述数据用于模型训练与场景适配的使用许可，但不得将原始数据向第三方转让或披露。"</w:t>
      </w:r>
    </w:p>
    <w:p w14:paraId="64681DA6">
      <w:pPr>
        <w:shd w:val="clear" w:color="auto" w:fill="FFF2CC"/>
        <w:spacing w:before="60" w:after="100" w:line="300" w:lineRule="auto"/>
        <w:ind w:left="227"/>
      </w:pPr>
      <w:r>
        <w:rPr>
          <w:rFonts w:ascii="Calibri" w:hAnsi="Calibri" w:eastAsia="宋体"/>
          <w:b/>
          <w:i w:val="0"/>
          <w:color w:val="C00000"/>
          <w:sz w:val="20"/>
        </w:rPr>
        <w:t>【建议改写】</w:t>
      </w:r>
      <w:r>
        <w:rPr>
          <w:rFonts w:ascii="Calibri" w:hAnsi="Calibri" w:eastAsia="宋体"/>
          <w:b w:val="0"/>
          <w:i w:val="0"/>
          <w:sz w:val="20"/>
        </w:rPr>
        <w:t>"……数据所有权归数据来源方（场景方）所有，但甲方与乙方（含其关联方）获得脱敏处理后数据的永久、全球、不可撤销的模型训练与迭代使用权，无需另行取得场景方同意；场景方不得将该等数据用于其自身或任何第三方的模型训练及商业化用途。验证成果在应用场景运行中产生的操作数据，甲方与乙方拥有完整的采集、训练与商业化使用权益。涉及患者信息和个人隐私的数据，须依法脱敏处理后方可使用。"</w:t>
      </w:r>
    </w:p>
    <w:p w14:paraId="304060CD">
      <w:pPr>
        <w:spacing w:after="80" w:line="312" w:lineRule="auto"/>
        <w:ind w:left="227"/>
      </w:pPr>
      <w:r>
        <w:rPr>
          <w:rFonts w:ascii="Calibri" w:hAnsi="Calibri" w:eastAsia="宋体"/>
          <w:b w:val="0"/>
          <w:i w:val="0"/>
          <w:color w:val="595959"/>
          <w:sz w:val="19"/>
        </w:rPr>
        <w:t>要点：数据是我方核心壁垒（Ego 数据+触觉数据），"训练许可"是不够的，必须拿到"永久、全球、不可撤销"的脱敏训练使用权，同时堵死场景方拿我方数据自训/转售的口子。</w:t>
      </w:r>
    </w:p>
    <w:p w14:paraId="3BC9E7B2">
      <w:pPr>
        <w:spacing w:before="160" w:after="80"/>
      </w:pPr>
      <w:r>
        <w:rPr>
          <w:rFonts w:ascii="Calibri" w:hAnsi="Calibri" w:eastAsia="宋体"/>
          <w:b/>
          <w:i w:val="0"/>
          <w:sz w:val="23"/>
        </w:rPr>
        <w:t>A7. 新增：验收/评测标准条款（双标准锁定）</w:t>
      </w:r>
    </w:p>
    <w:p w14:paraId="49485C58">
      <w:pPr>
        <w:spacing w:after="80" w:line="312" w:lineRule="auto"/>
      </w:pPr>
      <w:r>
        <w:rPr>
          <w:rFonts w:ascii="Calibri" w:hAnsi="Calibri" w:eastAsia="宋体"/>
          <w:b w:val="0"/>
          <w:i w:val="0"/>
          <w:sz w:val="21"/>
        </w:rPr>
        <w:t>MOU 第四部分只谈"验证成果通过/达到预期"，未涉及"谁定标准"。建议在合作机制部分新增：</w:t>
      </w:r>
    </w:p>
    <w:p w14:paraId="464A3237">
      <w:pPr>
        <w:shd w:val="clear" w:color="auto" w:fill="FFF2CC"/>
        <w:spacing w:before="60" w:after="100" w:line="300" w:lineRule="auto"/>
        <w:ind w:left="227"/>
      </w:pPr>
      <w:r>
        <w:rPr>
          <w:rFonts w:ascii="Calibri" w:hAnsi="Calibri" w:eastAsia="宋体"/>
          <w:b/>
          <w:i w:val="0"/>
          <w:color w:val="C00000"/>
          <w:sz w:val="20"/>
        </w:rPr>
        <w:t>【建议新增】</w:t>
      </w:r>
      <w:r>
        <w:rPr>
          <w:rFonts w:ascii="Calibri" w:hAnsi="Calibri" w:eastAsia="宋体"/>
          <w:b w:val="0"/>
          <w:i w:val="0"/>
          <w:sz w:val="20"/>
        </w:rPr>
        <w:t>"双方同意以实验室检测及康复训练类概念验证为依托，共同探索建立具身智能在生命健康领域的任务验收与评测标准体系，由乙方主导相关标准与体系的设计制定，甲方予以配合并在其协调的产业资源中推广应用。"</w:t>
      </w:r>
    </w:p>
    <w:p w14:paraId="30576C80">
      <w:pPr>
        <w:spacing w:after="80" w:line="312" w:lineRule="auto"/>
        <w:ind w:left="227"/>
      </w:pPr>
      <w:r>
        <w:rPr>
          <w:rFonts w:ascii="Calibri" w:hAnsi="Calibri" w:eastAsia="宋体"/>
          <w:b w:val="0"/>
          <w:i w:val="0"/>
          <w:color w:val="595959"/>
          <w:sz w:val="19"/>
        </w:rPr>
        <w:t>要点：评测/验收标准是"第二把标准锁"——把训练场评测口径升级为行业默认口径，是标准话语权的重要抓手。</w:t>
      </w:r>
    </w:p>
    <w:p w14:paraId="16635FCA">
      <w:pPr>
        <w:spacing w:before="240" w:after="120"/>
      </w:pPr>
      <w:r>
        <w:rPr>
          <w:rFonts w:ascii="Calibri" w:hAnsi="Calibri" w:eastAsia="宋体"/>
          <w:b/>
          <w:i w:val="0"/>
          <w:color w:val="1F4E79"/>
          <w:sz w:val="26"/>
        </w:rPr>
        <w:t>B. 《实验室检测场景灵巧手训练三方合作协议》（云康）</w:t>
      </w:r>
    </w:p>
    <w:p w14:paraId="3F0CC8D1">
      <w:pPr>
        <w:spacing w:before="160" w:after="80"/>
      </w:pPr>
      <w:r>
        <w:rPr>
          <w:rFonts w:ascii="Calibri" w:hAnsi="Calibri" w:eastAsia="宋体"/>
          <w:b/>
          <w:i w:val="0"/>
          <w:sz w:val="23"/>
        </w:rPr>
        <w:t>B1. 5.2.1 底层技术：限缩甲方"生命健康领域独家使用权"</w:t>
      </w:r>
    </w:p>
    <w:p w14:paraId="3B8AC6F0">
      <w:pPr>
        <w:shd w:val="clear" w:color="auto" w:fill="FFFFFF"/>
        <w:spacing w:before="60" w:after="100" w:line="300" w:lineRule="auto"/>
        <w:ind w:left="227"/>
      </w:pPr>
      <w:r>
        <w:rPr>
          <w:rFonts w:ascii="Calibri" w:hAnsi="Calibri" w:eastAsia="宋体"/>
          <w:b/>
          <w:i w:val="0"/>
          <w:color w:val="595959"/>
          <w:sz w:val="20"/>
        </w:rPr>
        <w:t>【原文】</w:t>
      </w:r>
      <w:r>
        <w:rPr>
          <w:rFonts w:ascii="Calibri" w:hAnsi="Calibri" w:eastAsia="宋体"/>
          <w:b w:val="0"/>
          <w:i w:val="0"/>
          <w:sz w:val="20"/>
        </w:rPr>
        <w:t>"乙方在验证过程中对其原有大脑模型、灵巧手操作算法等底层技术进行的改进、迭代和优化，知识产权归乙方所有。甲方获得上述改进版本在生命健康领域的独家使用权。"</w:t>
      </w:r>
    </w:p>
    <w:p w14:paraId="00CA243F">
      <w:pPr>
        <w:shd w:val="clear" w:color="auto" w:fill="FFF2CC"/>
        <w:spacing w:before="60" w:after="100" w:line="300" w:lineRule="auto"/>
        <w:ind w:left="227"/>
      </w:pPr>
      <w:r>
        <w:rPr>
          <w:rFonts w:ascii="Calibri" w:hAnsi="Calibri" w:eastAsia="宋体"/>
          <w:b/>
          <w:i w:val="0"/>
          <w:color w:val="C00000"/>
          <w:sz w:val="20"/>
        </w:rPr>
        <w:t>【建议改写】</w:t>
      </w:r>
      <w:r>
        <w:rPr>
          <w:rFonts w:ascii="Calibri" w:hAnsi="Calibri" w:eastAsia="宋体"/>
          <w:b w:val="0"/>
          <w:i w:val="0"/>
          <w:sz w:val="20"/>
        </w:rPr>
        <w:t>同 A4 逻辑：改为"乙方就上述改进版本在双方合作场景内授予甲方非独占使用权，具体范围、期限与对价由商业化协议约定；改进版本归乙方所有，乙方可另行商业化应用。"</w:t>
      </w:r>
    </w:p>
    <w:p w14:paraId="26B9DDFC">
      <w:pPr>
        <w:spacing w:before="160" w:after="80"/>
      </w:pPr>
      <w:r>
        <w:rPr>
          <w:rFonts w:ascii="Calibri" w:hAnsi="Calibri" w:eastAsia="宋体"/>
          <w:b/>
          <w:i w:val="0"/>
          <w:sz w:val="23"/>
        </w:rPr>
        <w:t>B2. 5.2.2 场景应用方案：补充共有行使规则</w:t>
      </w:r>
    </w:p>
    <w:p w14:paraId="163E8D6F">
      <w:pPr>
        <w:shd w:val="clear" w:color="auto" w:fill="FFFFFF"/>
        <w:spacing w:before="60" w:after="100" w:line="300" w:lineRule="auto"/>
        <w:ind w:left="227"/>
      </w:pPr>
      <w:r>
        <w:rPr>
          <w:rFonts w:ascii="Calibri" w:hAnsi="Calibri" w:eastAsia="宋体"/>
          <w:b/>
          <w:i w:val="0"/>
          <w:color w:val="595959"/>
          <w:sz w:val="20"/>
        </w:rPr>
        <w:t>【原文】</w:t>
      </w:r>
      <w:r>
        <w:rPr>
          <w:rFonts w:ascii="Calibri" w:hAnsi="Calibri" w:eastAsia="宋体"/>
          <w:b w:val="0"/>
          <w:i w:val="0"/>
          <w:sz w:val="20"/>
        </w:rPr>
        <w:t>"针对实验室检测特定场景开发的应用方案……由甲方与乙方共同共有。丙方作为场景方，获得该场景应用方案的免费使用权及未来产品的优先采购权。"</w:t>
      </w:r>
    </w:p>
    <w:p w14:paraId="4AFE8CD4">
      <w:pPr>
        <w:shd w:val="clear" w:color="auto" w:fill="FFF2CC"/>
        <w:spacing w:before="60" w:after="100" w:line="300" w:lineRule="auto"/>
        <w:ind w:left="227"/>
      </w:pPr>
      <w:r>
        <w:rPr>
          <w:rFonts w:ascii="Calibri" w:hAnsi="Calibri" w:eastAsia="宋体"/>
          <w:b/>
          <w:i w:val="0"/>
          <w:color w:val="C00000"/>
          <w:sz w:val="20"/>
        </w:rPr>
        <w:t>【建议改写】</w:t>
      </w:r>
      <w:r>
        <w:rPr>
          <w:rFonts w:ascii="Calibri" w:hAnsi="Calibri" w:eastAsia="宋体"/>
          <w:b w:val="0"/>
          <w:i w:val="0"/>
          <w:sz w:val="20"/>
        </w:rPr>
        <w:t>补充："该等共同共有知识产权的对外许可、转让须经甲乙双方书面一致同意；商业化收益分配比例由三方在商业化协议中约定；丙方的免费使用权/优先采购权不构成对甲乙双方在其他领域应用的任何限制。"</w:t>
      </w:r>
    </w:p>
    <w:p w14:paraId="563A7325">
      <w:pPr>
        <w:spacing w:before="160" w:after="80"/>
      </w:pPr>
      <w:r>
        <w:rPr>
          <w:rFonts w:ascii="Calibri" w:hAnsi="Calibri" w:eastAsia="宋体"/>
          <w:b/>
          <w:i w:val="0"/>
          <w:sz w:val="23"/>
        </w:rPr>
        <w:t>B3. 5.2.3 数据：所有权可归丙方，但训练使用权必须固化</w:t>
      </w:r>
    </w:p>
    <w:p w14:paraId="60221237">
      <w:pPr>
        <w:shd w:val="clear" w:color="auto" w:fill="FFFFFF"/>
        <w:spacing w:before="60" w:after="100" w:line="300" w:lineRule="auto"/>
        <w:ind w:left="227"/>
      </w:pPr>
      <w:r>
        <w:rPr>
          <w:rFonts w:ascii="Calibri" w:hAnsi="Calibri" w:eastAsia="宋体"/>
          <w:b/>
          <w:i w:val="0"/>
          <w:color w:val="595959"/>
          <w:sz w:val="20"/>
        </w:rPr>
        <w:t>【原文】</w:t>
      </w:r>
      <w:r>
        <w:rPr>
          <w:rFonts w:ascii="Calibri" w:hAnsi="Calibri" w:eastAsia="宋体"/>
          <w:b w:val="0"/>
          <w:i w:val="0"/>
          <w:sz w:val="20"/>
        </w:rPr>
        <w:t>"验证过程中产生的操作数据、场景数据及验证数据，其所有权归丙方所有。甲方与乙方获得上述数据用于模型训练与场景适配的使用许可，但不得将原始数据向第三方转让或披露。"</w:t>
      </w:r>
    </w:p>
    <w:p w14:paraId="37759A2E">
      <w:pPr>
        <w:shd w:val="clear" w:color="auto" w:fill="FFF2CC"/>
        <w:spacing w:before="60" w:after="100" w:line="300" w:lineRule="auto"/>
        <w:ind w:left="227"/>
      </w:pPr>
      <w:r>
        <w:rPr>
          <w:rFonts w:ascii="Calibri" w:hAnsi="Calibri" w:eastAsia="宋体"/>
          <w:b/>
          <w:i w:val="0"/>
          <w:color w:val="C00000"/>
          <w:sz w:val="20"/>
        </w:rPr>
        <w:t>【建议改写】</w:t>
      </w:r>
      <w:r>
        <w:rPr>
          <w:rFonts w:ascii="Calibri" w:hAnsi="Calibri" w:eastAsia="宋体"/>
          <w:b w:val="0"/>
          <w:i w:val="0"/>
          <w:sz w:val="20"/>
        </w:rPr>
        <w:t>"……所有权归丙方所有，但乙方获得脱敏处理后数据的永久、全球、不可撤销的模型训练与迭代使用权，无需另行取得丙方同意；丙方不得利用该等数据训练任何第三方模型或向其披露。涉及患者信息和个人隐私的数据，须依法脱敏处理后方可使用。"</w:t>
      </w:r>
    </w:p>
    <w:p w14:paraId="3FCE7DC7">
      <w:pPr>
        <w:spacing w:before="160" w:after="80"/>
      </w:pPr>
      <w:r>
        <w:rPr>
          <w:rFonts w:ascii="Calibri" w:hAnsi="Calibri" w:eastAsia="宋体"/>
          <w:b/>
          <w:i w:val="0"/>
          <w:sz w:val="23"/>
        </w:rPr>
        <w:t>B4. 9.5 仲裁条款补全</w:t>
      </w:r>
    </w:p>
    <w:p w14:paraId="031696D5">
      <w:pPr>
        <w:shd w:val="clear" w:color="auto" w:fill="FFFFFF"/>
        <w:spacing w:before="60" w:after="100" w:line="300" w:lineRule="auto"/>
        <w:ind w:left="227"/>
      </w:pPr>
      <w:r>
        <w:rPr>
          <w:rFonts w:ascii="Calibri" w:hAnsi="Calibri" w:eastAsia="宋体"/>
          <w:b/>
          <w:i w:val="0"/>
          <w:color w:val="595959"/>
          <w:sz w:val="20"/>
        </w:rPr>
        <w:t>【原文】</w:t>
      </w:r>
      <w:r>
        <w:rPr>
          <w:rFonts w:ascii="Calibri" w:hAnsi="Calibri" w:eastAsia="宋体"/>
          <w:b w:val="0"/>
          <w:i w:val="0"/>
          <w:sz w:val="20"/>
        </w:rPr>
        <w:t>"协商不成的，提交____________仲裁。"</w:t>
      </w:r>
    </w:p>
    <w:p w14:paraId="2C279BF0">
      <w:pPr>
        <w:shd w:val="clear" w:color="auto" w:fill="FFF2CC"/>
        <w:spacing w:before="60" w:after="100" w:line="300" w:lineRule="auto"/>
        <w:ind w:left="227"/>
      </w:pPr>
      <w:r>
        <w:rPr>
          <w:rFonts w:ascii="Calibri" w:hAnsi="Calibri" w:eastAsia="宋体"/>
          <w:b/>
          <w:i w:val="0"/>
          <w:color w:val="C00000"/>
          <w:sz w:val="20"/>
        </w:rPr>
        <w:t>【建议改写】</w:t>
      </w:r>
      <w:r>
        <w:rPr>
          <w:rFonts w:ascii="Calibri" w:hAnsi="Calibri" w:eastAsia="宋体"/>
          <w:b w:val="0"/>
          <w:i w:val="0"/>
          <w:sz w:val="20"/>
        </w:rPr>
        <w:t>"协商不成的，提交北京仲裁委员会按其届时有效的仲裁规则在北京仲裁；涉及香港事宜的争议提交香港国际仲裁中心（HKIAC）按其届时有效的仲裁规则在香港仲裁。仲裁裁决为终局裁决，对三方均具有约束力。"（与养老三方协议 9.3 保持一致，消除空白）</w:t>
      </w:r>
    </w:p>
    <w:p w14:paraId="4E07127D">
      <w:pPr>
        <w:spacing w:before="160" w:after="80"/>
      </w:pPr>
      <w:r>
        <w:rPr>
          <w:rFonts w:ascii="Calibri" w:hAnsi="Calibri" w:eastAsia="宋体"/>
          <w:b/>
          <w:i w:val="0"/>
          <w:sz w:val="23"/>
        </w:rPr>
        <w:t>B5. 6.3 保密期限补全</w:t>
      </w:r>
    </w:p>
    <w:p w14:paraId="5B3BF4A6">
      <w:pPr>
        <w:shd w:val="clear" w:color="auto" w:fill="FFFFFF"/>
        <w:spacing w:before="60" w:after="100" w:line="300" w:lineRule="auto"/>
        <w:ind w:left="227"/>
      </w:pPr>
      <w:r>
        <w:rPr>
          <w:rFonts w:ascii="Calibri" w:hAnsi="Calibri" w:eastAsia="宋体"/>
          <w:b/>
          <w:i w:val="0"/>
          <w:color w:val="595959"/>
          <w:sz w:val="20"/>
        </w:rPr>
        <w:t>【原文】</w:t>
      </w:r>
      <w:r>
        <w:rPr>
          <w:rFonts w:ascii="Calibri" w:hAnsi="Calibri" w:eastAsia="宋体"/>
          <w:b w:val="0"/>
          <w:i w:val="0"/>
          <w:sz w:val="20"/>
        </w:rPr>
        <w:t>"保密期限自知悉之日起______年。"</w:t>
      </w:r>
    </w:p>
    <w:p w14:paraId="4387DA0A">
      <w:pPr>
        <w:shd w:val="clear" w:color="auto" w:fill="FFF2CC"/>
        <w:spacing w:before="60" w:after="100" w:line="300" w:lineRule="auto"/>
        <w:ind w:left="227"/>
      </w:pPr>
      <w:r>
        <w:rPr>
          <w:rFonts w:ascii="Calibri" w:hAnsi="Calibri" w:eastAsia="宋体"/>
          <w:b/>
          <w:i w:val="0"/>
          <w:color w:val="C00000"/>
          <w:sz w:val="20"/>
        </w:rPr>
        <w:t>【建议改写】</w:t>
      </w:r>
      <w:r>
        <w:rPr>
          <w:rFonts w:ascii="Calibri" w:hAnsi="Calibri" w:eastAsia="宋体"/>
          <w:b w:val="0"/>
          <w:i w:val="0"/>
          <w:sz w:val="20"/>
        </w:rPr>
        <w:t>"保密期限自本协议终止之日起三（3）年；涉及患者信息、医疗数据的保密义务，按适用法律法规及监管要求执行。"</w:t>
      </w:r>
    </w:p>
    <w:p w14:paraId="781E0BCB">
      <w:pPr>
        <w:spacing w:before="160" w:after="80"/>
      </w:pPr>
      <w:r>
        <w:rPr>
          <w:rFonts w:ascii="Calibri" w:hAnsi="Calibri" w:eastAsia="宋体"/>
          <w:b/>
          <w:i w:val="0"/>
          <w:sz w:val="23"/>
        </w:rPr>
        <w:t>B6. 新增：费用与收益对价原则</w:t>
      </w:r>
    </w:p>
    <w:p w14:paraId="458763D5">
      <w:pPr>
        <w:spacing w:after="80" w:line="312" w:lineRule="auto"/>
      </w:pPr>
      <w:r>
        <w:rPr>
          <w:rFonts w:ascii="Calibri" w:hAnsi="Calibri" w:eastAsia="宋体"/>
          <w:b w:val="0"/>
          <w:i w:val="0"/>
          <w:sz w:val="21"/>
        </w:rPr>
        <w:t>7.1 约定"乙方承担算法模型、灵巧手本体及研发团队的投入成本"，但商业化收益分配留待"商业化协议"另行约定——我方投入最重、回报最不确定。建议新增：</w:t>
      </w:r>
    </w:p>
    <w:p w14:paraId="216414D9">
      <w:pPr>
        <w:shd w:val="clear" w:color="auto" w:fill="FFF2CC"/>
        <w:spacing w:before="60" w:after="100" w:line="300" w:lineRule="auto"/>
        <w:ind w:left="227"/>
      </w:pPr>
      <w:r>
        <w:rPr>
          <w:rFonts w:ascii="Calibri" w:hAnsi="Calibri" w:eastAsia="宋体"/>
          <w:b/>
          <w:i w:val="0"/>
          <w:color w:val="C00000"/>
          <w:sz w:val="20"/>
        </w:rPr>
        <w:t>【建议新增】</w:t>
      </w:r>
      <w:r>
        <w:rPr>
          <w:rFonts w:ascii="Calibri" w:hAnsi="Calibri" w:eastAsia="宋体"/>
          <w:b w:val="0"/>
          <w:i w:val="0"/>
          <w:sz w:val="20"/>
        </w:rPr>
        <w:t>"商业化阶段，乙方在概念验证期间的前期投入（算法模型、灵巧手本体、驻场研发团队等）应作为乙方在商业化合作中的出资或对价计入收益分配；三方应在商业化协议中约定乙方的最低权益保障及收益分配上限下浮机制。"</w:t>
      </w:r>
    </w:p>
    <w:p w14:paraId="7E71967E">
      <w:pPr>
        <w:spacing w:before="240" w:after="120"/>
      </w:pPr>
      <w:r>
        <w:rPr>
          <w:rFonts w:ascii="Calibri" w:hAnsi="Calibri" w:eastAsia="宋体"/>
          <w:b/>
          <w:i w:val="0"/>
          <w:color w:val="1F4E79"/>
          <w:sz w:val="26"/>
        </w:rPr>
        <w:t>C. 《养老场景灵巧手训练三方合作协议》（丙方空白）</w:t>
      </w:r>
    </w:p>
    <w:p w14:paraId="540BD7B6">
      <w:pPr>
        <w:spacing w:before="160" w:after="80"/>
      </w:pPr>
      <w:r>
        <w:rPr>
          <w:rFonts w:ascii="Calibri" w:hAnsi="Calibri" w:eastAsia="宋体"/>
          <w:b/>
          <w:i w:val="0"/>
          <w:sz w:val="23"/>
        </w:rPr>
        <w:t>C1. 处置建议：不签、不启动、不入 MOU</w:t>
      </w:r>
    </w:p>
    <w:p w14:paraId="1D3D88A4">
      <w:pPr>
        <w:spacing w:after="80" w:line="312" w:lineRule="auto"/>
      </w:pPr>
      <w:r>
        <w:rPr>
          <w:rFonts w:ascii="Calibri" w:hAnsi="Calibri" w:eastAsia="宋体"/>
          <w:b w:val="0"/>
          <w:i w:val="0"/>
          <w:sz w:val="21"/>
        </w:rPr>
        <w:t>该协议验证场景全部为直接接触老人身体的高风险操作（辅助起床/床-轮椅转移、喂食、洗漱擦拭、行走辅助防跌倒），与双方"早期不碰人体"共识直接冲突；且 5.2.3 数据归丙方所有 + 8.3 退出时"数据归还"，是全协议包中对乙方最恶劣的数据条款。建议：</w:t>
      </w:r>
    </w:p>
    <w:p w14:paraId="562D7F29">
      <w:pPr>
        <w:spacing w:after="80" w:line="312" w:lineRule="auto"/>
        <w:ind w:left="283"/>
      </w:pPr>
      <w:r>
        <w:rPr>
          <w:rFonts w:ascii="Calibri" w:hAnsi="Calibri" w:eastAsia="宋体"/>
          <w:b w:val="0"/>
          <w:i w:val="0"/>
          <w:sz w:val="21"/>
        </w:rPr>
        <w:t>① 不签署该协议、不启动养老照护验证；</w:t>
      </w:r>
    </w:p>
    <w:p w14:paraId="40C411B0">
      <w:pPr>
        <w:spacing w:after="80" w:line="312" w:lineRule="auto"/>
        <w:ind w:left="283"/>
      </w:pPr>
      <w:r>
        <w:rPr>
          <w:rFonts w:ascii="Calibri" w:hAnsi="Calibri" w:eastAsia="宋体"/>
          <w:b w:val="0"/>
          <w:i w:val="0"/>
          <w:sz w:val="21"/>
        </w:rPr>
        <w:t>② 在 MOU 中明确养老照护不纳入本期合作范围（见 A2/A3）；</w:t>
      </w:r>
    </w:p>
    <w:p w14:paraId="7BD18B27">
      <w:pPr>
        <w:spacing w:after="80" w:line="312" w:lineRule="auto"/>
        <w:ind w:left="283"/>
      </w:pPr>
      <w:r>
        <w:rPr>
          <w:rFonts w:ascii="Calibri" w:hAnsi="Calibri" w:eastAsia="宋体"/>
          <w:b w:val="0"/>
          <w:i w:val="0"/>
          <w:sz w:val="21"/>
        </w:rPr>
        <w:t>③ 如 Pasontech 追问，以"技术安全门槛 + 监管伦理合规"为由，而非商业条件为由（见第五部分话术）。</w:t>
      </w:r>
    </w:p>
    <w:p w14:paraId="3C4CD75F">
      <w:pPr>
        <w:spacing w:before="160" w:after="80"/>
      </w:pPr>
      <w:r>
        <w:rPr>
          <w:rFonts w:ascii="Calibri" w:hAnsi="Calibri" w:eastAsia="宋体"/>
          <w:b/>
          <w:i w:val="0"/>
          <w:sz w:val="23"/>
        </w:rPr>
        <w:t>C2. 若 Pasontech 坚持：书面条件清单（作为启动门槛）</w:t>
      </w:r>
    </w:p>
    <w:p w14:paraId="341CFDB7">
      <w:pPr>
        <w:shd w:val="clear" w:color="auto" w:fill="FFF2CC"/>
        <w:spacing w:before="60" w:after="100" w:line="300" w:lineRule="auto"/>
        <w:ind w:left="227"/>
      </w:pPr>
      <w:r>
        <w:rPr>
          <w:rFonts w:ascii="Calibri" w:hAnsi="Calibri" w:eastAsia="宋体"/>
          <w:b/>
          <w:i w:val="0"/>
          <w:color w:val="C00000"/>
          <w:sz w:val="20"/>
        </w:rPr>
        <w:t>【建议新增】</w:t>
      </w:r>
      <w:r>
        <w:rPr>
          <w:rFonts w:ascii="Calibri" w:hAnsi="Calibri" w:eastAsia="宋体"/>
          <w:b w:val="0"/>
          <w:i w:val="0"/>
          <w:sz w:val="20"/>
        </w:rPr>
        <w:t>"养老照护类概念验证的启动，须同时满足以下条件并全部以书面形式确认：① 实验室检测及康复训练类概念验证达到双方约定的安全与技术门槛；② 验证场景限定为非直接接触老人身体的操作（如环境巡检、物品递送、防跌倒监测预警等）；③ 完成伦理审查、老人及家属知情同意、医疗责任保险与全程人工接管冗余安排；④ 数据条款按本文件 B3 原则修正（乙方获得脱敏数据永久训练使用权，删除退出"数据归还"要求）；⑤ 取得民政及监管部门的合规意见。未满足前述条件前，乙方不承担任何养老照护验证义务。"</w:t>
      </w:r>
    </w:p>
    <w:p w14:paraId="29C06AB1">
      <w:pPr>
        <w:pBdr>
          <w:bottom w:val="single" w:color="1F4E79" w:sz="8" w:space="2"/>
        </w:pBdr>
        <w:spacing w:before="320" w:after="160"/>
      </w:pPr>
      <w:r>
        <w:rPr>
          <w:rFonts w:ascii="Calibri" w:hAnsi="Calibri" w:eastAsia="宋体"/>
          <w:b/>
          <w:i w:val="0"/>
          <w:color w:val="1F4E79"/>
          <w:sz w:val="32"/>
        </w:rPr>
        <w:t>五、谈判策略与红线清单</w:t>
      </w:r>
    </w:p>
    <w:p w14:paraId="7D3CC5E0">
      <w:pPr>
        <w:spacing w:before="240" w:after="120"/>
      </w:pPr>
      <w:r>
        <w:rPr>
          <w:rFonts w:ascii="Calibri" w:hAnsi="Calibri" w:eastAsia="宋体"/>
          <w:b/>
          <w:i w:val="0"/>
          <w:color w:val="1F4E79"/>
          <w:sz w:val="26"/>
        </w:rPr>
        <w:t>5.1 红线（不可让步）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4"/>
        <w:gridCol w:w="3969"/>
        <w:gridCol w:w="3628"/>
      </w:tblGrid>
      <w:tr w14:paraId="63423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shd w:val="clear" w:color="auto" w:fill="1F4E79"/>
          </w:tcPr>
          <w:p w14:paraId="30F0573C">
            <w:pPr>
              <w:spacing w:after="0" w:line="240" w:lineRule="auto"/>
            </w:pPr>
            <w:r>
              <w:rPr>
                <w:rFonts w:ascii="Calibri" w:hAnsi="Calibri" w:eastAsia="宋体"/>
                <w:b/>
                <w:i w:val="0"/>
                <w:color w:val="FFFFFF"/>
                <w:sz w:val="20"/>
              </w:rPr>
              <w:t>#</w:t>
            </w:r>
          </w:p>
        </w:tc>
        <w:tc>
          <w:tcPr>
            <w:tcW w:w="3969" w:type="dxa"/>
            <w:shd w:val="clear" w:color="auto" w:fill="1F4E79"/>
          </w:tcPr>
          <w:p w14:paraId="3DAC8E9F">
            <w:pPr>
              <w:spacing w:after="0" w:line="240" w:lineRule="auto"/>
            </w:pPr>
            <w:r>
              <w:rPr>
                <w:rFonts w:ascii="Calibri" w:hAnsi="Calibri" w:eastAsia="宋体"/>
                <w:b/>
                <w:i w:val="0"/>
                <w:color w:val="FFFFFF"/>
                <w:sz w:val="20"/>
              </w:rPr>
              <w:t>红线</w:t>
            </w:r>
          </w:p>
        </w:tc>
        <w:tc>
          <w:tcPr>
            <w:tcW w:w="3628" w:type="dxa"/>
            <w:shd w:val="clear" w:color="auto" w:fill="1F4E79"/>
          </w:tcPr>
          <w:p w14:paraId="1D1EE292">
            <w:pPr>
              <w:spacing w:after="0" w:line="240" w:lineRule="auto"/>
            </w:pPr>
            <w:r>
              <w:rPr>
                <w:rFonts w:ascii="Calibri" w:hAnsi="Calibri" w:eastAsia="宋体"/>
                <w:b/>
                <w:i w:val="0"/>
                <w:color w:val="FFFFFF"/>
                <w:sz w:val="20"/>
              </w:rPr>
              <w:t>理由</w:t>
            </w:r>
          </w:p>
        </w:tc>
      </w:tr>
      <w:tr w14:paraId="7EBAB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Pr>
          <w:p w14:paraId="0DCBBE51">
            <w:pPr>
              <w:spacing w:after="0" w:line="240" w:lineRule="auto"/>
            </w:pPr>
            <w:r>
              <w:rPr>
                <w:rFonts w:ascii="Calibri" w:hAnsi="Calibri" w:eastAsia="宋体"/>
                <w:b w:val="0"/>
                <w:i w:val="0"/>
                <w:sz w:val="19"/>
              </w:rPr>
              <w:t>1</w:t>
            </w:r>
          </w:p>
        </w:tc>
        <w:tc>
          <w:tcPr>
            <w:tcW w:w="3969" w:type="dxa"/>
          </w:tcPr>
          <w:p w14:paraId="13FC347A">
            <w:pPr>
              <w:spacing w:after="0" w:line="240" w:lineRule="auto"/>
            </w:pPr>
            <w:r>
              <w:rPr>
                <w:rFonts w:ascii="Calibri" w:hAnsi="Calibri" w:eastAsia="宋体"/>
                <w:b w:val="0"/>
                <w:i w:val="0"/>
                <w:sz w:val="19"/>
              </w:rPr>
              <w:t>养老照护（直接接触人体）不写入 MOU、不启动</w:t>
            </w:r>
          </w:p>
        </w:tc>
        <w:tc>
          <w:tcPr>
            <w:tcW w:w="3628" w:type="dxa"/>
          </w:tcPr>
          <w:p w14:paraId="0F079DE2">
            <w:pPr>
              <w:spacing w:after="0" w:line="240" w:lineRule="auto"/>
            </w:pPr>
            <w:r>
              <w:rPr>
                <w:rFonts w:ascii="Calibri" w:hAnsi="Calibri" w:eastAsia="宋体"/>
                <w:b w:val="0"/>
                <w:i w:val="0"/>
                <w:sz w:val="19"/>
              </w:rPr>
              <w:t>技术伦理底线 + 法律风险不可控；一旦出事毁掉的是整个赛道信誉</w:t>
            </w:r>
          </w:p>
        </w:tc>
      </w:tr>
      <w:tr w14:paraId="1F170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Pr>
          <w:p w14:paraId="70F4F18C">
            <w:pPr>
              <w:spacing w:after="0" w:line="240" w:lineRule="auto"/>
            </w:pPr>
            <w:r>
              <w:rPr>
                <w:rFonts w:ascii="Calibri" w:hAnsi="Calibri" w:eastAsia="宋体"/>
                <w:b w:val="0"/>
                <w:i w:val="0"/>
                <w:sz w:val="19"/>
              </w:rPr>
              <w:t>2</w:t>
            </w:r>
          </w:p>
        </w:tc>
        <w:tc>
          <w:tcPr>
            <w:tcW w:w="3969" w:type="dxa"/>
          </w:tcPr>
          <w:p w14:paraId="1D2DC0E5">
            <w:pPr>
              <w:spacing w:after="0" w:line="240" w:lineRule="auto"/>
            </w:pPr>
            <w:r>
              <w:rPr>
                <w:rFonts w:ascii="Calibri" w:hAnsi="Calibri" w:eastAsia="宋体"/>
                <w:b w:val="0"/>
                <w:i w:val="0"/>
                <w:sz w:val="19"/>
              </w:rPr>
              <w:t>底层技术不被"生命健康领域独家授权"绑定</w:t>
            </w:r>
          </w:p>
        </w:tc>
        <w:tc>
          <w:tcPr>
            <w:tcW w:w="3628" w:type="dxa"/>
          </w:tcPr>
          <w:p w14:paraId="702C65CD">
            <w:pPr>
              <w:spacing w:after="0" w:line="240" w:lineRule="auto"/>
            </w:pPr>
            <w:r>
              <w:rPr>
                <w:rFonts w:ascii="Calibri" w:hAnsi="Calibri" w:eastAsia="宋体"/>
                <w:b w:val="0"/>
                <w:i w:val="0"/>
                <w:sz w:val="19"/>
              </w:rPr>
              <w:t>等于无偿提前锁死我方全部商业化空间</w:t>
            </w:r>
          </w:p>
        </w:tc>
      </w:tr>
      <w:tr w14:paraId="24838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Pr>
          <w:p w14:paraId="3D624905">
            <w:pPr>
              <w:spacing w:after="0" w:line="240" w:lineRule="auto"/>
            </w:pPr>
            <w:r>
              <w:rPr>
                <w:rFonts w:ascii="Calibri" w:hAnsi="Calibri" w:eastAsia="宋体"/>
                <w:b w:val="0"/>
                <w:i w:val="0"/>
                <w:sz w:val="19"/>
              </w:rPr>
              <w:t>3</w:t>
            </w:r>
          </w:p>
        </w:tc>
        <w:tc>
          <w:tcPr>
            <w:tcW w:w="3969" w:type="dxa"/>
          </w:tcPr>
          <w:p w14:paraId="55DA1925">
            <w:pPr>
              <w:spacing w:after="0" w:line="240" w:lineRule="auto"/>
            </w:pPr>
            <w:r>
              <w:rPr>
                <w:rFonts w:ascii="Calibri" w:hAnsi="Calibri" w:eastAsia="宋体"/>
                <w:b w:val="0"/>
                <w:i w:val="0"/>
                <w:sz w:val="19"/>
              </w:rPr>
              <w:t>数据不被场景方独占；我方必须拿到脱敏数据永久训练使用权</w:t>
            </w:r>
          </w:p>
        </w:tc>
        <w:tc>
          <w:tcPr>
            <w:tcW w:w="3628" w:type="dxa"/>
          </w:tcPr>
          <w:p w14:paraId="21346E61">
            <w:pPr>
              <w:spacing w:after="0" w:line="240" w:lineRule="auto"/>
            </w:pPr>
            <w:r>
              <w:rPr>
                <w:rFonts w:ascii="Calibri" w:hAnsi="Calibri" w:eastAsia="宋体"/>
                <w:b w:val="0"/>
                <w:i w:val="0"/>
                <w:sz w:val="19"/>
              </w:rPr>
              <w:t>Ego/触觉数据是我方核心壁垒</w:t>
            </w:r>
          </w:p>
        </w:tc>
      </w:tr>
    </w:tbl>
    <w:p w14:paraId="3A568CF1">
      <w:pPr>
        <w:spacing w:before="240" w:after="120"/>
      </w:pPr>
      <w:r>
        <w:rPr>
          <w:rFonts w:ascii="Calibri" w:hAnsi="Calibri" w:eastAsia="宋体"/>
          <w:b/>
          <w:i w:val="0"/>
          <w:color w:val="1F4E79"/>
          <w:sz w:val="26"/>
        </w:rPr>
        <w:t>5.2 可让步 / 可交换项</w:t>
      </w:r>
    </w:p>
    <w:p w14:paraId="3933E6A6">
      <w:pPr>
        <w:spacing w:after="80" w:line="312" w:lineRule="auto"/>
        <w:ind w:left="283"/>
      </w:pPr>
      <w:r>
        <w:rPr>
          <w:rFonts w:ascii="Calibri" w:hAnsi="Calibri" w:eastAsia="宋体"/>
          <w:b w:val="0"/>
          <w:i w:val="0"/>
          <w:sz w:val="21"/>
        </w:rPr>
        <w:t>① 场景应用方案可共同共有（但须补行使规则与收益分配）；</w:t>
      </w:r>
    </w:p>
    <w:p w14:paraId="305134F1">
      <w:pPr>
        <w:spacing w:after="80" w:line="312" w:lineRule="auto"/>
        <w:ind w:left="283"/>
      </w:pPr>
      <w:r>
        <w:rPr>
          <w:rFonts w:ascii="Calibri" w:hAnsi="Calibri" w:eastAsia="宋体"/>
          <w:b w:val="0"/>
          <w:i w:val="0"/>
          <w:sz w:val="21"/>
        </w:rPr>
        <w:t>② 康复领域可承诺并行 POC、认可约 12 个月验证周期；</w:t>
      </w:r>
    </w:p>
    <w:p w14:paraId="7669F79C">
      <w:pPr>
        <w:spacing w:after="80" w:line="312" w:lineRule="auto"/>
        <w:ind w:left="283"/>
      </w:pPr>
      <w:r>
        <w:rPr>
          <w:rFonts w:ascii="Calibri" w:hAnsi="Calibri" w:eastAsia="宋体"/>
          <w:b w:val="0"/>
          <w:i w:val="0"/>
          <w:sz w:val="21"/>
        </w:rPr>
        <w:t>③ 可接受脱敏数据与场景方按约定共享，但须以我方训练使用权固化 + 场景方禁止自训/转售为前提。</w:t>
      </w:r>
    </w:p>
    <w:p w14:paraId="0CF2D843">
      <w:pPr>
        <w:spacing w:before="240" w:after="120"/>
      </w:pPr>
      <w:r>
        <w:rPr>
          <w:rFonts w:ascii="Calibri" w:hAnsi="Calibri" w:eastAsia="宋体"/>
          <w:b/>
          <w:i w:val="0"/>
          <w:color w:val="1F4E79"/>
          <w:sz w:val="26"/>
        </w:rPr>
        <w:t>5.3 谈判顺序与话术要点</w:t>
      </w:r>
    </w:p>
    <w:p w14:paraId="52EC5948">
      <w:pPr>
        <w:spacing w:after="80" w:line="312" w:lineRule="auto"/>
      </w:pPr>
      <w:r>
        <w:rPr>
          <w:rFonts w:ascii="Calibri" w:hAnsi="Calibri" w:eastAsia="宋体"/>
          <w:b w:val="0"/>
          <w:i w:val="0"/>
          <w:sz w:val="21"/>
        </w:rPr>
        <w:t>① 先定原则、再谈条款：把"场景边界（康复可并行 / 养老不碰）"作为价值观立场而非纯商业条款提出——"技术远未成熟时碰人体，出事毁掉的是三方共同的赛道信誉与监管环境"。以安全+专业姿态回应，反而能建立专业信任、确立我方主导权。</w:t>
      </w:r>
    </w:p>
    <w:p w14:paraId="193CB117">
      <w:pPr>
        <w:spacing w:after="80" w:line="312" w:lineRule="auto"/>
      </w:pPr>
      <w:r>
        <w:rPr>
          <w:rFonts w:ascii="Calibri" w:hAnsi="Calibri" w:eastAsia="宋体"/>
          <w:b w:val="0"/>
          <w:i w:val="0"/>
          <w:sz w:val="21"/>
        </w:rPr>
        <w:t>② 对 Pasontech 意图的解读：其以"场景换技术、IP 换资源"为策略，用养老协议测试我方对自身安全边界的判断成熟度。我方不签养老协议不是不合作，而是"分阶段、按门槛"推进——这与 MOU 分阶段决策机制一脉相承。</w:t>
      </w:r>
    </w:p>
    <w:p w14:paraId="0C444AC7">
      <w:pPr>
        <w:spacing w:after="80" w:line="312" w:lineRule="auto"/>
      </w:pPr>
      <w:r>
        <w:rPr>
          <w:rFonts w:ascii="Calibri" w:hAnsi="Calibri" w:eastAsia="宋体"/>
          <w:b w:val="0"/>
          <w:i w:val="0"/>
          <w:sz w:val="21"/>
        </w:rPr>
        <w:t>③ 推进顺序建议：MOU 原则性修改（场景边界+IP+数据）→ 实验室三方协议（近期可签）→ 康复场景验证方案 → 视验证成果谈研究院/养护公司。</w:t>
      </w:r>
    </w:p>
    <w:p w14:paraId="52116C02">
      <w:pPr>
        <w:spacing w:after="80" w:line="312" w:lineRule="auto"/>
      </w:pPr>
      <w:r>
        <w:rPr>
          <w:rFonts w:ascii="Calibri" w:hAnsi="Calibri" w:eastAsia="宋体"/>
          <w:b w:val="0"/>
          <w:i w:val="0"/>
          <w:sz w:val="21"/>
        </w:rPr>
        <w:t>④ 数据与标准是两张牌：以"评测/验收标准话语权 + 场景运行数据回流"为筹码，换取对方在场景边界与 IP 限缩上的让步。</w:t>
      </w:r>
    </w:p>
    <w:p w14:paraId="3663619D">
      <w:pPr>
        <w:pBdr>
          <w:bottom w:val="single" w:color="1F4E79" w:sz="8" w:space="2"/>
        </w:pBdr>
        <w:spacing w:before="320" w:after="160"/>
      </w:pPr>
      <w:r>
        <w:rPr>
          <w:rFonts w:ascii="Calibri" w:hAnsi="Calibri" w:eastAsia="宋体"/>
          <w:b/>
          <w:i w:val="0"/>
          <w:color w:val="1F4E79"/>
          <w:sz w:val="32"/>
        </w:rPr>
        <w:t>六、内部过会决策表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1"/>
        <w:gridCol w:w="4082"/>
        <w:gridCol w:w="1247"/>
      </w:tblGrid>
      <w:tr w14:paraId="01EE2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1" w:type="dxa"/>
            <w:shd w:val="clear" w:color="auto" w:fill="1F4E79"/>
          </w:tcPr>
          <w:p w14:paraId="1CE22918">
            <w:pPr>
              <w:spacing w:after="0" w:line="240" w:lineRule="auto"/>
            </w:pPr>
            <w:r>
              <w:rPr>
                <w:rFonts w:ascii="Calibri" w:hAnsi="Calibri" w:eastAsia="宋体"/>
                <w:b/>
                <w:i w:val="0"/>
                <w:color w:val="FFFFFF"/>
                <w:sz w:val="20"/>
              </w:rPr>
              <w:t>议题</w:t>
            </w:r>
          </w:p>
        </w:tc>
        <w:tc>
          <w:tcPr>
            <w:tcW w:w="4082" w:type="dxa"/>
            <w:shd w:val="clear" w:color="auto" w:fill="1F4E79"/>
          </w:tcPr>
          <w:p w14:paraId="2F2527E0">
            <w:pPr>
              <w:spacing w:after="0" w:line="240" w:lineRule="auto"/>
            </w:pPr>
            <w:r>
              <w:rPr>
                <w:rFonts w:ascii="Calibri" w:hAnsi="Calibri" w:eastAsia="宋体"/>
                <w:b/>
                <w:i w:val="0"/>
                <w:color w:val="FFFFFF"/>
                <w:sz w:val="20"/>
              </w:rPr>
              <w:t>建议决策</w:t>
            </w:r>
          </w:p>
        </w:tc>
        <w:tc>
          <w:tcPr>
            <w:tcW w:w="1247" w:type="dxa"/>
            <w:shd w:val="clear" w:color="auto" w:fill="1F4E79"/>
          </w:tcPr>
          <w:p w14:paraId="12D6F65C">
            <w:pPr>
              <w:spacing w:after="0" w:line="240" w:lineRule="auto"/>
            </w:pPr>
            <w:r>
              <w:rPr>
                <w:rFonts w:ascii="Calibri" w:hAnsi="Calibri" w:eastAsia="宋体"/>
                <w:b/>
                <w:i w:val="0"/>
                <w:color w:val="FFFFFF"/>
                <w:sz w:val="20"/>
              </w:rPr>
              <w:t>结论</w:t>
            </w:r>
          </w:p>
        </w:tc>
      </w:tr>
      <w:tr w14:paraId="79CA0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1" w:type="dxa"/>
          </w:tcPr>
          <w:p w14:paraId="53CEB963">
            <w:pPr>
              <w:spacing w:after="0" w:line="240" w:lineRule="auto"/>
            </w:pPr>
            <w:r>
              <w:rPr>
                <w:rFonts w:ascii="Calibri" w:hAnsi="Calibri" w:eastAsia="宋体"/>
                <w:b w:val="0"/>
                <w:i w:val="0"/>
                <w:sz w:val="19"/>
              </w:rPr>
              <w:t>养老照护场景是否写入 MOU</w:t>
            </w:r>
          </w:p>
        </w:tc>
        <w:tc>
          <w:tcPr>
            <w:tcW w:w="4082" w:type="dxa"/>
          </w:tcPr>
          <w:p w14:paraId="596E31FB">
            <w:pPr>
              <w:spacing w:after="0" w:line="240" w:lineRule="auto"/>
            </w:pPr>
            <w:r>
              <w:rPr>
                <w:rFonts w:ascii="Calibri" w:hAnsi="Calibri" w:eastAsia="宋体"/>
                <w:b w:val="0"/>
                <w:i w:val="0"/>
                <w:sz w:val="19"/>
              </w:rPr>
              <w:t>不写入</w:t>
            </w:r>
          </w:p>
        </w:tc>
        <w:tc>
          <w:tcPr>
            <w:tcW w:w="1247" w:type="dxa"/>
          </w:tcPr>
          <w:p w14:paraId="10A2DCAB">
            <w:pPr>
              <w:spacing w:after="0" w:line="240" w:lineRule="auto"/>
            </w:pPr>
          </w:p>
        </w:tc>
      </w:tr>
      <w:tr w14:paraId="6A65C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1" w:type="dxa"/>
          </w:tcPr>
          <w:p w14:paraId="15EF12B5">
            <w:pPr>
              <w:spacing w:after="0" w:line="240" w:lineRule="auto"/>
            </w:pPr>
            <w:r>
              <w:rPr>
                <w:rFonts w:ascii="Calibri" w:hAnsi="Calibri" w:eastAsia="宋体"/>
                <w:b w:val="0"/>
                <w:i w:val="0"/>
                <w:sz w:val="19"/>
              </w:rPr>
              <w:t>康复领域是否并行 POC</w:t>
            </w:r>
          </w:p>
        </w:tc>
        <w:tc>
          <w:tcPr>
            <w:tcW w:w="4082" w:type="dxa"/>
          </w:tcPr>
          <w:p w14:paraId="0DD51933">
            <w:pPr>
              <w:spacing w:after="0" w:line="240" w:lineRule="auto"/>
            </w:pPr>
            <w:r>
              <w:rPr>
                <w:rFonts w:ascii="Calibri" w:hAnsi="Calibri" w:eastAsia="宋体"/>
                <w:b w:val="0"/>
                <w:i w:val="0"/>
                <w:sz w:val="19"/>
              </w:rPr>
              <w:t>可以，但保留协商放弃/推迟权</w:t>
            </w:r>
          </w:p>
        </w:tc>
        <w:tc>
          <w:tcPr>
            <w:tcW w:w="1247" w:type="dxa"/>
          </w:tcPr>
          <w:p w14:paraId="77799BA4">
            <w:pPr>
              <w:spacing w:after="0" w:line="240" w:lineRule="auto"/>
            </w:pPr>
          </w:p>
        </w:tc>
      </w:tr>
      <w:tr w14:paraId="51B28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1" w:type="dxa"/>
          </w:tcPr>
          <w:p w14:paraId="1E7FBCCC">
            <w:pPr>
              <w:spacing w:after="0" w:line="240" w:lineRule="auto"/>
            </w:pPr>
            <w:r>
              <w:rPr>
                <w:rFonts w:ascii="Calibri" w:hAnsi="Calibri" w:eastAsia="宋体"/>
                <w:b w:val="0"/>
                <w:i w:val="0"/>
                <w:sz w:val="19"/>
              </w:rPr>
              <w:t>"生命健康领域独家使用权"是否接受</w:t>
            </w:r>
          </w:p>
        </w:tc>
        <w:tc>
          <w:tcPr>
            <w:tcW w:w="4082" w:type="dxa"/>
          </w:tcPr>
          <w:p w14:paraId="1A4301CC">
            <w:pPr>
              <w:spacing w:after="0" w:line="240" w:lineRule="auto"/>
            </w:pPr>
            <w:r>
              <w:rPr>
                <w:rFonts w:ascii="Calibri" w:hAnsi="Calibri" w:eastAsia="宋体"/>
                <w:b w:val="0"/>
                <w:i w:val="0"/>
                <w:sz w:val="19"/>
              </w:rPr>
              <w:t>不接受，改为限场景非独占+有对价</w:t>
            </w:r>
          </w:p>
        </w:tc>
        <w:tc>
          <w:tcPr>
            <w:tcW w:w="1247" w:type="dxa"/>
          </w:tcPr>
          <w:p w14:paraId="467AB019">
            <w:pPr>
              <w:spacing w:after="0" w:line="240" w:lineRule="auto"/>
            </w:pPr>
          </w:p>
        </w:tc>
      </w:tr>
      <w:tr w14:paraId="5AFEC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1" w:type="dxa"/>
          </w:tcPr>
          <w:p w14:paraId="28A340E9">
            <w:pPr>
              <w:spacing w:after="0" w:line="240" w:lineRule="auto"/>
            </w:pPr>
            <w:r>
              <w:rPr>
                <w:rFonts w:ascii="Calibri" w:hAnsi="Calibri" w:eastAsia="宋体"/>
                <w:b w:val="0"/>
                <w:i w:val="0"/>
                <w:sz w:val="19"/>
              </w:rPr>
              <w:t>数据归场景方+退出归还</w:t>
            </w:r>
          </w:p>
        </w:tc>
        <w:tc>
          <w:tcPr>
            <w:tcW w:w="4082" w:type="dxa"/>
          </w:tcPr>
          <w:p w14:paraId="576EBDE2">
            <w:pPr>
              <w:spacing w:after="0" w:line="240" w:lineRule="auto"/>
            </w:pPr>
            <w:r>
              <w:rPr>
                <w:rFonts w:ascii="Calibri" w:hAnsi="Calibri" w:eastAsia="宋体"/>
                <w:b w:val="0"/>
                <w:i w:val="0"/>
                <w:sz w:val="19"/>
              </w:rPr>
              <w:t>不接受，须改（脱敏数据永久训练权）</w:t>
            </w:r>
          </w:p>
        </w:tc>
        <w:tc>
          <w:tcPr>
            <w:tcW w:w="1247" w:type="dxa"/>
          </w:tcPr>
          <w:p w14:paraId="3F865AC8">
            <w:pPr>
              <w:spacing w:after="0" w:line="240" w:lineRule="auto"/>
            </w:pPr>
          </w:p>
        </w:tc>
      </w:tr>
      <w:tr w14:paraId="728F8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1" w:type="dxa"/>
          </w:tcPr>
          <w:p w14:paraId="55CF1096">
            <w:pPr>
              <w:spacing w:after="0" w:line="240" w:lineRule="auto"/>
            </w:pPr>
            <w:r>
              <w:rPr>
                <w:rFonts w:ascii="Calibri" w:hAnsi="Calibri" w:eastAsia="宋体"/>
                <w:b w:val="0"/>
                <w:i w:val="0"/>
                <w:sz w:val="19"/>
              </w:rPr>
              <w:t>场景应用方案共同共有</w:t>
            </w:r>
          </w:p>
        </w:tc>
        <w:tc>
          <w:tcPr>
            <w:tcW w:w="4082" w:type="dxa"/>
          </w:tcPr>
          <w:p w14:paraId="5D4A1604">
            <w:pPr>
              <w:spacing w:after="0" w:line="240" w:lineRule="auto"/>
            </w:pPr>
            <w:r>
              <w:rPr>
                <w:rFonts w:ascii="Calibri" w:hAnsi="Calibri" w:eastAsia="宋体"/>
                <w:b w:val="0"/>
                <w:i w:val="0"/>
                <w:sz w:val="19"/>
              </w:rPr>
              <w:t>接受，补行使规则与收益分配</w:t>
            </w:r>
          </w:p>
        </w:tc>
        <w:tc>
          <w:tcPr>
            <w:tcW w:w="1247" w:type="dxa"/>
          </w:tcPr>
          <w:p w14:paraId="70D1B47A">
            <w:pPr>
              <w:spacing w:after="0" w:line="240" w:lineRule="auto"/>
            </w:pPr>
          </w:p>
        </w:tc>
      </w:tr>
      <w:tr w14:paraId="12A9D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1" w:type="dxa"/>
          </w:tcPr>
          <w:p w14:paraId="6C3B8C8F">
            <w:pPr>
              <w:spacing w:after="0" w:line="240" w:lineRule="auto"/>
            </w:pPr>
            <w:r>
              <w:rPr>
                <w:rFonts w:ascii="Calibri" w:hAnsi="Calibri" w:eastAsia="宋体"/>
                <w:b w:val="0"/>
                <w:i w:val="0"/>
                <w:sz w:val="19"/>
              </w:rPr>
              <w:t>评测/验收标准条款</w:t>
            </w:r>
          </w:p>
        </w:tc>
        <w:tc>
          <w:tcPr>
            <w:tcW w:w="4082" w:type="dxa"/>
          </w:tcPr>
          <w:p w14:paraId="40BFE156">
            <w:pPr>
              <w:spacing w:after="0" w:line="240" w:lineRule="auto"/>
            </w:pPr>
            <w:r>
              <w:rPr>
                <w:rFonts w:ascii="Calibri" w:hAnsi="Calibri" w:eastAsia="宋体"/>
                <w:b w:val="0"/>
                <w:i w:val="0"/>
                <w:sz w:val="19"/>
              </w:rPr>
              <w:t>新增，由我方主导标准制定</w:t>
            </w:r>
          </w:p>
        </w:tc>
        <w:tc>
          <w:tcPr>
            <w:tcW w:w="1247" w:type="dxa"/>
          </w:tcPr>
          <w:p w14:paraId="3382DE32">
            <w:pPr>
              <w:spacing w:after="0" w:line="240" w:lineRule="auto"/>
            </w:pPr>
          </w:p>
        </w:tc>
      </w:tr>
      <w:tr w14:paraId="0600F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1" w:type="dxa"/>
          </w:tcPr>
          <w:p w14:paraId="2B0C1AB2">
            <w:pPr>
              <w:spacing w:after="0" w:line="240" w:lineRule="auto"/>
            </w:pPr>
            <w:r>
              <w:rPr>
                <w:rFonts w:ascii="Calibri" w:hAnsi="Calibri" w:eastAsia="宋体"/>
                <w:b w:val="0"/>
                <w:i w:val="0"/>
                <w:sz w:val="19"/>
              </w:rPr>
              <w:t>养老三方协议处置</w:t>
            </w:r>
          </w:p>
        </w:tc>
        <w:tc>
          <w:tcPr>
            <w:tcW w:w="4082" w:type="dxa"/>
          </w:tcPr>
          <w:p w14:paraId="13FE4F96">
            <w:pPr>
              <w:spacing w:after="0" w:line="240" w:lineRule="auto"/>
            </w:pPr>
            <w:r>
              <w:rPr>
                <w:rFonts w:ascii="Calibri" w:hAnsi="Calibri" w:eastAsia="宋体"/>
                <w:b w:val="0"/>
                <w:i w:val="0"/>
                <w:sz w:val="19"/>
              </w:rPr>
              <w:t>不签、不启动，列书面启动门槛</w:t>
            </w:r>
          </w:p>
        </w:tc>
        <w:tc>
          <w:tcPr>
            <w:tcW w:w="1247" w:type="dxa"/>
          </w:tcPr>
          <w:p w14:paraId="03E21A87">
            <w:pPr>
              <w:spacing w:after="0" w:line="240" w:lineRule="auto"/>
            </w:pPr>
          </w:p>
        </w:tc>
      </w:tr>
      <w:tr w14:paraId="7196A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1" w:type="dxa"/>
          </w:tcPr>
          <w:p w14:paraId="4D3444DB">
            <w:pPr>
              <w:spacing w:after="0" w:line="240" w:lineRule="auto"/>
            </w:pPr>
            <w:r>
              <w:rPr>
                <w:rFonts w:ascii="Calibri" w:hAnsi="Calibri" w:eastAsia="宋体"/>
                <w:b w:val="0"/>
                <w:i w:val="0"/>
                <w:sz w:val="19"/>
              </w:rPr>
              <w:t>仲裁/保密期限等空白</w:t>
            </w:r>
          </w:p>
        </w:tc>
        <w:tc>
          <w:tcPr>
            <w:tcW w:w="4082" w:type="dxa"/>
          </w:tcPr>
          <w:p w14:paraId="110B1C4B">
            <w:pPr>
              <w:spacing w:after="0" w:line="240" w:lineRule="auto"/>
            </w:pPr>
            <w:r>
              <w:rPr>
                <w:rFonts w:ascii="Calibri" w:hAnsi="Calibri" w:eastAsia="宋体"/>
                <w:b w:val="0"/>
                <w:i w:val="0"/>
                <w:sz w:val="19"/>
              </w:rPr>
              <w:t>补全（北京仲裁委 + HKIAC）</w:t>
            </w:r>
          </w:p>
        </w:tc>
        <w:tc>
          <w:tcPr>
            <w:tcW w:w="1247" w:type="dxa"/>
          </w:tcPr>
          <w:p w14:paraId="18E20C70">
            <w:pPr>
              <w:spacing w:after="0" w:line="240" w:lineRule="auto"/>
            </w:pPr>
          </w:p>
        </w:tc>
      </w:tr>
    </w:tbl>
    <w:p w14:paraId="4D9BE31A">
      <w:pPr>
        <w:spacing w:after="80" w:line="312" w:lineRule="auto"/>
      </w:pPr>
    </w:p>
    <w:p w14:paraId="21DABE24">
      <w:r>
        <w:rPr>
          <w:rFonts w:ascii="Calibri" w:hAnsi="Calibri" w:eastAsia="宋体"/>
          <w:b w:val="0"/>
          <w:i w:val="0"/>
          <w:color w:val="595959"/>
          <w:sz w:val="18"/>
        </w:rPr>
        <w:t>附注：本文件引用条款文本均提取自 Pasontech 发来的三份协议草案原文；改写文本为谈判建议稿，最终条款以法务与双方协商定稿为准。</w:t>
      </w:r>
    </w:p>
    <w:sectPr>
      <w:pgSz w:w="12240" w:h="15840"/>
      <w:pgMar w:top="1247" w:right="1361" w:bottom="1247" w:left="136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1AA22A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5329</Words>
  <Characters>5631</Characters>
  <Lines>0</Lines>
  <Paragraphs>0</Paragraphs>
  <TotalTime>34</TotalTime>
  <ScaleCrop>false</ScaleCrop>
  <LinksUpToDate>false</LinksUpToDate>
  <CharactersWithSpaces>5762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Anson</cp:lastModifiedBy>
  <dcterms:modified xsi:type="dcterms:W3CDTF">2026-08-25T13:54:27Z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eyJoZGlkIjoiMDljYzUzMWQ4OWI0YzBkYjYzMDRhZTY5ZjZkYmFmYTgiLCJ1c2VySWQiOiI0MzU1NzQ3NTQifQ==</vt:lpwstr>
  </property>
  <property fmtid="{D5CDD505-2E9C-101B-9397-08002B2CF9AE}" pid="3" name="KSOProductBuildVer">
    <vt:lpwstr>2052-12.1.0.28043</vt:lpwstr>
  </property>
  <property fmtid="{D5CDD505-2E9C-101B-9397-08002B2CF9AE}" pid="4" name="ICV">
    <vt:lpwstr>B182C08BF6D54A4F88FBE8B3A1342867_12</vt:lpwstr>
  </property>
</Properties>
</file>