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9CD79">
      <w:pPr>
        <w:spacing w:after="60"/>
        <w:jc w:val="center"/>
      </w:pPr>
      <w:bookmarkStart w:id="0" w:name="_GoBack"/>
      <w:bookmarkEnd w:id="0"/>
      <w:r>
        <w:rPr>
          <w:rFonts w:ascii="Arial" w:hAnsi="Arial" w:eastAsia="微软雅黑"/>
          <w:b/>
          <w:bCs/>
          <w:sz w:val="36"/>
          <w:szCs w:val="36"/>
        </w:rPr>
        <w:t>自主进化的「触觉优先灵巧操作」场景应具备的特征</w:t>
      </w:r>
    </w:p>
    <w:p w14:paraId="078C12DD">
      <w:pPr>
        <w:spacing w:after="200"/>
        <w:jc w:val="center"/>
      </w:pPr>
      <w:r>
        <w:rPr>
          <w:rFonts w:ascii="Arial" w:hAnsi="Arial" w:eastAsia="微软雅黑"/>
          <w:color w:val="595959"/>
          <w:sz w:val="20"/>
          <w:szCs w:val="20"/>
        </w:rPr>
        <w:t>——基于《康复与养老场景》《生化医疗实验室与 AI4S 自主实验室》两份场景分析报告（面向 RoboX）</w:t>
      </w:r>
    </w:p>
    <w:p w14:paraId="2D7DC9C2">
      <w:pPr>
        <w:pStyle w:val="2"/>
        <w:spacing w:before="240" w:after="160"/>
      </w:pPr>
      <w:r>
        <w:rPr>
          <w:rFonts w:ascii="Arial" w:hAnsi="Arial" w:eastAsia="微软雅黑"/>
        </w:rPr>
        <w:t>一、两份报告的核心结论回顾</w:t>
      </w:r>
    </w:p>
    <w:p w14:paraId="0BDAC45E">
      <w:pPr>
        <w:pStyle w:val="3"/>
        <w:spacing w:before="200" w:after="120"/>
      </w:pPr>
      <w:r>
        <w:rPr>
          <w:rFonts w:ascii="Arial" w:hAnsi="Arial" w:eastAsia="微软雅黑"/>
        </w:rPr>
        <w:t>1.1 康复与养老场景</w:t>
      </w:r>
    </w:p>
    <w:p w14:paraId="0EC835E7">
      <w:pPr>
        <w:spacing w:after="100" w:line="320" w:lineRule="auto"/>
      </w:pPr>
      <w:r>
        <w:rPr>
          <w:rFonts w:ascii="Arial" w:hAnsi="Arial" w:eastAsia="微软雅黑"/>
          <w:b/>
          <w:bCs/>
          <w:sz w:val="21"/>
          <w:szCs w:val="21"/>
        </w:rPr>
        <w:t>一句话结论：</w:t>
      </w:r>
      <w:r>
        <w:rPr>
          <w:rFonts w:ascii="Arial" w:hAnsi="Arial" w:eastAsia="微软雅黑"/>
          <w:sz w:val="21"/>
          <w:szCs w:val="21"/>
        </w:rPr>
        <w:t>康复优于养老，但两者对现阶段 RoboX 都不是「付费能力轨」主战场，只应定位为品牌故事轨 + 有限数据积累轨。</w:t>
      </w:r>
    </w:p>
    <w:p w14:paraId="058A82BB">
      <w:pPr>
        <w:pStyle w:val="3"/>
        <w:spacing w:before="200" w:after="120"/>
      </w:pPr>
      <w:r>
        <w:rPr>
          <w:rFonts w:ascii="Arial" w:hAnsi="Arial" w:eastAsia="微软雅黑"/>
        </w:rPr>
        <w:t>1.2 生化医疗实验室与 AI4S 自主实验室</w:t>
      </w:r>
    </w:p>
    <w:p w14:paraId="20B1FBDB">
      <w:pPr>
        <w:spacing w:after="100" w:line="320" w:lineRule="auto"/>
      </w:pPr>
      <w:r>
        <w:rPr>
          <w:rFonts w:ascii="Arial" w:hAnsi="Arial" w:eastAsia="微软雅黑"/>
          <w:b/>
          <w:bCs/>
          <w:sz w:val="21"/>
          <w:szCs w:val="21"/>
        </w:rPr>
        <w:t>一句话结论：</w:t>
      </w:r>
      <w:r>
        <w:rPr>
          <w:rFonts w:ascii="Arial" w:hAnsi="Arial" w:eastAsia="微软雅黑"/>
          <w:sz w:val="21"/>
          <w:szCs w:val="21"/>
        </w:rPr>
        <w:t>检验流水线核心工位已被「专机 + 标准化容器」系统性消灭灵巧需求（kill gate 已触发），整体为 P2/研究轨；机会在标准化没啃动的边缘工位——CGT 是唯一 P0，病理捞片贴片与异形/破损样本前处理是 P1，AI4S 不应作为卖点。</w:t>
      </w:r>
    </w:p>
    <w:p w14:paraId="7FF57B6A">
      <w:pPr>
        <w:pStyle w:val="2"/>
        <w:spacing w:before="240" w:after="160"/>
      </w:pPr>
      <w:r>
        <w:rPr>
          <w:rFonts w:ascii="Arial" w:hAnsi="Arial" w:eastAsia="微软雅黑"/>
        </w:rPr>
        <w:t>二、两场景横向对比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460"/>
        <w:gridCol w:w="3466"/>
      </w:tblGrid>
      <w:tr w14:paraId="061A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304048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574BD46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康复养老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7963A2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生化实验室</w:t>
            </w:r>
          </w:p>
        </w:tc>
      </w:tr>
      <w:tr w14:paraId="10B2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2E40"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触觉硬需求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63C1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有，但都在「不可回退」高危任务上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0DB0E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有（CGT/病理），且失败可回退或结果可重来</w:t>
            </w:r>
          </w:p>
        </w:tc>
      </w:tr>
      <w:tr w14:paraId="77BEF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221B"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标准化专机威胁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AA44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结构化力控/被动机构已够用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5F36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核心工位被专机消灭，边缘工位专机啃不动</w:t>
            </w:r>
          </w:p>
        </w:tc>
      </w:tr>
      <w:tr w14:paraId="0BF7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AFE0"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支付方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DB059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医保不能加价、长护险不覆盖、护理员薪资低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CED7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CGT 降本 74% ROI 真实、病理有预算</w:t>
            </w:r>
          </w:p>
        </w:tc>
      </w:tr>
      <w:tr w14:paraId="64B1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5DC4B"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监管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DCFB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器械注册黑洞（3 年+）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367E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IVD/GMP 验证严格，但可绕「工作站 + 服务费」</w:t>
            </w:r>
          </w:p>
        </w:tc>
      </w:tr>
      <w:tr w14:paraId="7918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A995"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数据合规</w:t>
            </w:r>
          </w:p>
        </w:tc>
        <w:tc>
          <w:tcPr>
            <w:tcW w:w="34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B5D68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人体数据 IRB/隐私/出境受限，富矿被锁死</w:t>
            </w:r>
          </w:p>
        </w:tc>
        <w:tc>
          <w:tcPr>
            <w:tcW w:w="3466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94F79"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非人体接触为主，数据可得性高</w:t>
            </w:r>
          </w:p>
        </w:tc>
      </w:tr>
    </w:tbl>
    <w:p w14:paraId="27361B31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结论：实验室场景（CGT/病理类）明显优于康复养老——它同时满足「标准化没啃动 + 触觉真差异化 + 支付方真实 + 数据合规」，而康复养老在最重要的三条上（可回退、支付方、数据可用性）都踩坑。</w:t>
      </w:r>
    </w:p>
    <w:p w14:paraId="1609A428">
      <w:pPr>
        <w:pStyle w:val="2"/>
        <w:spacing w:before="240" w:after="160"/>
      </w:pPr>
      <w:r>
        <w:rPr>
          <w:rFonts w:ascii="Arial" w:hAnsi="Arial" w:eastAsia="微软雅黑"/>
        </w:rPr>
        <w:t>三、自主进化的「触觉优先灵巧操作」场景应具备的 8 大特征</w:t>
      </w:r>
    </w:p>
    <w:p w14:paraId="5359C2D9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说明：所谓「自主进化」，本质是数据飞轮——机器人在真实任务中执行 → 感知结果 → 数据回流改进策略 → 能力升级。以下特征基于该机制与两份报告的正反面证据推导。</w:t>
      </w:r>
    </w:p>
    <w:p w14:paraId="7705EA30">
      <w:pPr>
        <w:pStyle w:val="3"/>
        <w:spacing w:before="200" w:after="120"/>
      </w:pPr>
      <w:r>
        <w:rPr>
          <w:rFonts w:ascii="Arial" w:hAnsi="Arial" w:eastAsia="微软雅黑"/>
        </w:rPr>
        <w:t>特征 1｜可回退性——失败能重来，且无不可逆伤害（第一优先级）</w:t>
      </w:r>
    </w:p>
    <w:p w14:paraId="113BE104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自主进化靠试错积累，试错成本必须可控。康复养老的移乘/洗浴/徒手治疗全部死于「失败后果不可回退」（一次失败 = 坠落/骨折/烫伤/神经损伤）；实验室的捞片（做坏丢片重切）、CGT 单批失败（批次可废弃）之所以可做，正是因为失败可恢复。</w:t>
      </w:r>
    </w:p>
    <w:p w14:paraId="2FF71D16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「失败后果不可回退」= 数据飞轮断裂，是硬性否决项。</w:t>
      </w:r>
    </w:p>
    <w:p w14:paraId="3581DC15">
      <w:pPr>
        <w:pStyle w:val="3"/>
        <w:spacing w:before="200" w:after="120"/>
      </w:pPr>
      <w:r>
        <w:rPr>
          <w:rFonts w:ascii="Arial" w:hAnsi="Arial" w:eastAsia="微软雅黑"/>
        </w:rPr>
        <w:t>特征 2｜高频——任务频次足以支撑 30 日/3000 次量级的数据采集</w:t>
      </w:r>
    </w:p>
    <w:p w14:paraId="62D2889D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进化需要数据量。养老移乘（日本人均抬举约 40 次/日）虽高频但不可回退；病理捞片（2400 蜡块/天/站）、检验前处理（轨道 3600 管/小时）是高频标杆。频次低则进化慢、试点周期拉长。</w:t>
      </w:r>
    </w:p>
    <w:p w14:paraId="3AB2AE23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高频 + 可回退两者缺一不可。</w:t>
      </w:r>
    </w:p>
    <w:p w14:paraId="14BD287C">
      <w:pPr>
        <w:pStyle w:val="3"/>
        <w:spacing w:before="200" w:after="120"/>
      </w:pPr>
      <w:r>
        <w:rPr>
          <w:rFonts w:ascii="Arial" w:hAnsi="Arial" w:eastAsia="微软雅黑"/>
        </w:rPr>
        <w:t>特征 3｜触觉是「真门槛」而非「加分项」——标准化专机和简单夹爪啃不动</w:t>
      </w:r>
    </w:p>
    <w:p w14:paraId="376D5B9F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这是触觉优先的立身之本。反向证据：康复训练用结构化力控就够、检验科用夹爪 + 工装就 &gt;99%、喂食用固定轨迹 + 简单触发就行——这些地方触觉没有可测增益。正向证据：CGT 软管对接「不夹瘪/不脱扣」、病理薄蜡片捞取贴片、异形/破损样本——柔性、易碎、非标、需要力/形变反馈判断才是触觉的差异化区。</w:t>
      </w:r>
    </w:p>
    <w:p w14:paraId="790CB070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判断标准：三组消融（简单夹爪 vs 腕力控 vs 触觉末端），触觉须带来可测成功率增益（建议阈值 ≥15%）。</w:t>
      </w:r>
    </w:p>
    <w:p w14:paraId="58053087">
      <w:pPr>
        <w:pStyle w:val="3"/>
        <w:spacing w:before="200" w:after="120"/>
      </w:pPr>
      <w:r>
        <w:rPr>
          <w:rFonts w:ascii="Arial" w:hAnsi="Arial" w:eastAsia="微软雅黑"/>
        </w:rPr>
        <w:t>特征 4｜环境半结构化、物体非标——「异构性在物体上，不在环境里」</w:t>
      </w:r>
    </w:p>
    <w:p w14:paraId="710DC73C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受控环境（工作站、BSL/GMP 洁净区、固定台面）降低探索成本和安全风险；物体的柔性/非标/破损提供触觉数据的「富矿」（真实力/形变/接触数据）。开放环境（居家养老、野外）探索成本高、数据信噪比低，不适合自主进化早期阶段。</w:t>
      </w:r>
    </w:p>
    <w:p w14:paraId="43088E38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环境越稳定越好，物体越多样越有价值。</w:t>
      </w:r>
    </w:p>
    <w:p w14:paraId="00C2BECE">
      <w:pPr>
        <w:pStyle w:val="3"/>
        <w:spacing w:before="200" w:after="120"/>
      </w:pPr>
      <w:r>
        <w:rPr>
          <w:rFonts w:ascii="Arial" w:hAnsi="Arial" w:eastAsia="微软雅黑"/>
        </w:rPr>
        <w:t>特征 5｜结果可自动化评估——存在客观、可采集的成功/合格指标</w:t>
      </w:r>
    </w:p>
    <w:p w14:paraId="4F7893F9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进化闭环要求结果能量化回流：CGT 的无菌连接成功率、接头损坏率、污染率；病理的贴片完整率/气泡率、玻片破损率；检验的开盖成功率、条码核对准确率。若结果需要人工主观评判（如「康复效果」），数据无法自动回流，进化就断了。</w:t>
      </w:r>
    </w:p>
    <w:p w14:paraId="033B55E1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可自动化评估 = 数据可回流训练的前提。</w:t>
      </w:r>
    </w:p>
    <w:p w14:paraId="5A30E6FB">
      <w:pPr>
        <w:pStyle w:val="3"/>
        <w:spacing w:before="200" w:after="120"/>
      </w:pPr>
      <w:r>
        <w:rPr>
          <w:rFonts w:ascii="Arial" w:hAnsi="Arial" w:eastAsia="微软雅黑"/>
        </w:rPr>
        <w:t>特征 6｜支付方明确且 ROI 可算——替代人力或高价值产出，能覆盖进化成本</w:t>
      </w:r>
    </w:p>
    <w:p w14:paraId="4D337C09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进化需要持续投入，必须有人买单。最优是「替代人力成本可量化」（CGT 降本 74%、美国检验技师满载 $80–90k/年）或「高价值品低容错」（单剂 $30 万–$200 万）；次优是机构自费省人力（但护理员薪资 5000 元级把 ROI 分母压死）。</w:t>
      </w:r>
    </w:p>
    <w:p w14:paraId="73F6AEF4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警惕：医疗报销通道是陷阱——「能收费 ≠ 机器人的钱」（医保机器人不能加价）。</w:t>
      </w:r>
    </w:p>
    <w:p w14:paraId="44274167">
      <w:pPr>
        <w:pStyle w:val="3"/>
        <w:spacing w:before="200" w:after="120"/>
      </w:pPr>
      <w:r>
        <w:rPr>
          <w:rFonts w:ascii="Arial" w:hAnsi="Arial" w:eastAsia="微软雅黑"/>
        </w:rPr>
        <w:t>特征 7｜避开监管/合规结构性阻碍——或能找到合规绕行方案</w:t>
      </w:r>
    </w:p>
    <w:p w14:paraId="48F1A349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器械注册（康复 3 年+）、IVD/GMP 验证（ALCOA+/CSV/GAMP）、人体数据合规（IRB/隐私/医疗数据出境）都会让现金流和进化节奏失血。要么避开（「非器械/工具/福祉用具」定位、「已验证工作站 + 服务费」模式），要么有战略资方托底。</w:t>
      </w:r>
    </w:p>
    <w:p w14:paraId="57F12973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数据合规同样关键：康复养老最富价值的接触数据恰好全在被否决的高危任务上——数据可得 ≠ 数据可用。</w:t>
      </w:r>
    </w:p>
    <w:p w14:paraId="6BF34FD7">
      <w:pPr>
        <w:pStyle w:val="3"/>
        <w:spacing w:before="200" w:after="120"/>
      </w:pPr>
      <w:r>
        <w:rPr>
          <w:rFonts w:ascii="Arial" w:hAnsi="Arial" w:eastAsia="微软雅黑"/>
        </w:rPr>
        <w:t>特征 8｜B2B 工作站化——边界清晰、可部署试点、可复制</w:t>
      </w:r>
    </w:p>
    <w:p w14:paraId="42A8B2D2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把操作局限在「能力工作站」内（而非开放场景），便于标准化部署、数据采集和进化闭环的复现；客户是机构/企业（检验科、病理科、CGT 工厂、康复机构），单个试点验证（30 日/3000 任务）后可横向复制。</w:t>
      </w:r>
    </w:p>
    <w:p w14:paraId="64FBC5C8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工作站化是自主进化从实验室走向商用的工程前提。</w:t>
      </w:r>
    </w:p>
    <w:p w14:paraId="0003C2E4">
      <w:pPr>
        <w:pStyle w:val="2"/>
        <w:spacing w:before="240" w:after="160"/>
      </w:pPr>
      <w:r>
        <w:rPr>
          <w:rFonts w:ascii="Arial" w:hAnsi="Arial" w:eastAsia="微软雅黑"/>
        </w:rPr>
        <w:t>四、一句话总结</w:t>
      </w:r>
    </w:p>
    <w:p w14:paraId="2B667EB0">
      <w:pPr>
        <w:spacing w:after="100" w:line="320" w:lineRule="auto"/>
        <w:jc w:val="left"/>
      </w:pPr>
      <w:r>
        <w:rPr>
          <w:rFonts w:ascii="Arial" w:hAnsi="Arial" w:eastAsia="微软雅黑"/>
          <w:b w:val="0"/>
          <w:bCs w:val="0"/>
          <w:color w:val="000000"/>
          <w:sz w:val="21"/>
          <w:szCs w:val="21"/>
        </w:rPr>
        <w:t>自主进化的触觉优先灵巧操作，应选择「高频 + 可回退 + 标准化专机啃不动的柔性/非标物体 + 结果可自动评估 + 支付方 ROI 真实 + 合规可绕行 + 工作站化」的场景。对照两份报告：康复养老在「可回退、支付方、数据合规」三条上全线触雷；实验室的 CGT 无菌软物料操作和病理捞片贴片是最接近理想画像的候选——这正好验证了报告判断（P0/P1 在实验室侧，不在养老侧）。</w:t>
      </w:r>
    </w:p>
    <w:p w14:paraId="77C44243">
      <w:r>
        <w:br w:type="page"/>
      </w:r>
    </w:p>
    <w:p w14:paraId="70AAE074">
      <w:pPr>
        <w:spacing w:after="60"/>
        <w:jc w:val="center"/>
      </w:pPr>
      <w:r>
        <w:rPr>
          <w:rFonts w:ascii="Arial" w:hAnsi="Arial" w:eastAsia="微软雅黑"/>
          <w:b/>
          <w:bCs/>
          <w:sz w:val="32"/>
          <w:szCs w:val="32"/>
        </w:rPr>
        <w:t>附表｜专业英文缩写对照表</w:t>
      </w:r>
    </w:p>
    <w:p w14:paraId="0D2D5141">
      <w:pPr>
        <w:spacing w:after="200"/>
        <w:jc w:val="center"/>
      </w:pPr>
      <w:r>
        <w:rPr>
          <w:rFonts w:ascii="Arial" w:hAnsi="Arial" w:eastAsia="微软雅黑"/>
          <w:color w:val="595959"/>
          <w:sz w:val="18"/>
          <w:szCs w:val="18"/>
        </w:rPr>
        <w:t>收录范围：《康复与养老场景》《生化医疗实验室与 AI4S 自主实验室》两份分析报告及本总结中出现的全部专业英文缩写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1030"/>
        <w:gridCol w:w="3370"/>
        <w:gridCol w:w="3180"/>
        <w:gridCol w:w="748"/>
      </w:tblGrid>
      <w:tr w14:paraId="0D25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23A8628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23506E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英文缩写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273515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英文全拼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4B0DB32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汉语翻译及解释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2E75B6"/>
            <w:vAlign w:val="center"/>
          </w:tcPr>
          <w:p w14:paraId="1A5344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14:paraId="72FD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  <w:wAfter w:w="8328" w:type="dxa"/>
        </w:trPr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E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5168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通用</w:t>
            </w:r>
          </w:p>
        </w:tc>
      </w:tr>
      <w:tr w14:paraId="4242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2D9F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047E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AI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CD89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Artificial Intelligence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7CBB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人工智能：让机器模拟人类智能的技术，报告中的通用能力底座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C401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7C55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53DC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75F2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ISO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997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International Organization for Standardization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BA24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国际标准化组织：制定 ISO 13482（个人护理机器人）等标准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1B0F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1245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FFFB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EF0B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NMPA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900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National Medical Products Administration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840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国家药品监督管理局：中国医疗器械与药品监管机构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9674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6368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12F7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7156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FDA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B9E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Food and Drug Administration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40FB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美国食品药品监督管理局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C26E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2C98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F804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1FC3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GMP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3EA7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Good Manufacturing Practice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12C8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药品/医疗器械生产质量管理规范：制药与医疗器械生产的强制质量体系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E1F3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1811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EE4A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06AE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ROI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774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Return on Investment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CBF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投资回报率：评估机器人替代人力或降本的经济性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2F9E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0551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CE08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64DC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TCO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9D1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Total Cost of Ownership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2B7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总拥有成本：购置+维护+运营全生命周期成本，kill gate 的基准分母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2E8D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468D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299D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4BC9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CAGR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EFE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Compound Annual Growth Rate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38B9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复合年增长率：衡量市场规模增速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3DD1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10030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FA18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BF74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FTE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015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Full-Time Equivalent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A49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全职等效人力：一个标准岗位的工作量，用于测算机器人替代人力的经济账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1AFD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054F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1C3B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1BCC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P0/P1/P2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8F4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Priority 0/1/2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A66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任务优先级评级：P0=立即立项试点，P1=研究轨升级观察，P2=持续跟踪不投产品化（P-out=否决）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FBB5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08E5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95A0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1C40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IRB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3E7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Institutional Review Board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A05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机构审查委员会（伦理审查委员会）：人体数据/受试研究的伦理审批机构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3224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0BCDA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AA3C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7709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B2B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E2C1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Business to Business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C05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企业对企业（商业模式）：面向机构/企业的销售模式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75A4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0D15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ADD9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EDF6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CGT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6B49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Cell and Gene Therapy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3628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细胞与基因治疗：高价值生物药生产领域，实验室报告的 P0 场景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1CEA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7E80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00D5D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938F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IVD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DF9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 Vitro Diagnostics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7D7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体外诊断：检验科检测试剂的监管类别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FA30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411EA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CEF8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7331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BSL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2CC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Biosafety Level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5A6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生物安全等级：BSL-1/2/3 按病原微生物风险分级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BDFF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5806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50A2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FF30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POC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209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Proof of Concept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DA1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概念验证：小规模验证可行性的阶段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B4F4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通用</w:t>
            </w:r>
          </w:p>
        </w:tc>
      </w:tr>
      <w:tr w14:paraId="5BCA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  <w:wAfter w:w="8328" w:type="dxa"/>
        </w:trPr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E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C36A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康复养老报告</w:t>
            </w:r>
          </w:p>
        </w:tc>
      </w:tr>
      <w:tr w14:paraId="7C8F8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E8DD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3A56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TL;DR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8AD9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Too Long; Didn't Read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1E24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太长不看：文档开头的极简摘要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ADFD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0FA6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7DE1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B4FC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ADL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231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Activities of Daily Living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F205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日常生活活动能力：评估康复效果的核心指标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D4E1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2634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5DBC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19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DFA0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ROM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5E1C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Range of Motion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198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关节活动度：康复训练与评估的基础指标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F444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5014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CD43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4FD8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CPM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CF1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Continuous Passive Motion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942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持续被动运动（训练器）：康复科成熟且便宜的专机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8660F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0C8FD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2865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9FA3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RCT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86C8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Randomized Controlled Trial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6E6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随机对照试验：循证医学最高级别证据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3193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379A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8C7A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1EBB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CFDA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4449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China Food and Drug Administration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EAC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原国家食品药品监督管理总局：NMPA 的前身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F53D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75A0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ADEE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16C1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IEC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3D5F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International Electrotechnical Commission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0613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国际电工委员会：制定 IEC 60601-1 医用电气安全标准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C686A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462B8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3965C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B9B0E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TS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B55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Technical Specification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0DA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技术规范：ISO/TS 15066 协作机器人力/压安全限值规范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A543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6CE1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7D05F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EED4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MIT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315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Massachusetts Institute of Technology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654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麻省理工学院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7E5C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3E985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394C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CB74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CMS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893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Centers for Medicare &amp; Medicaid Services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46F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美国医疗保险与医疗补助服务中心：决定外骨骼报销的机构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10CD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73E8A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617A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E13C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Medicare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548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Medicare（美国联邦医疗保险）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BBD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美国联邦医疗保险：65 岁以上/残障者医疗保障，外骨骼获 DMEPOS 一次性买断报销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100B1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1B81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F78D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2DD2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DMEPOS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EBC3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Durable Medical Equipment, Prosthetics, Orthotics and Supplies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64D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耐用医疗设备、假肢、矫形器及用品：CMS 的报销定价目录类别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8A7F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6FB8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8DFD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29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54F0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DME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ADE5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Durable Medical Equipment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532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耐用医疗设备：可在家重复使用的医疗设备类别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345B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01C2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501A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49C4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MDR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310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Medical Device Regulation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D4DC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欧盟医疗器械法规（2017/745）：当前欧盟医疗器械合规框架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90BA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3568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106C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9A78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MDD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ECCF2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Medical Devices Directive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F75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欧盟医疗器械指令：MDR 之前的旧合规框架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EA93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4ADD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7959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A95E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GRADE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64D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Grading of Recommendations, Assessment, Development and Evaluation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307B4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证据推荐分级的评估、制定与评价：系统评价的证据质量分级体系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B791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7B8E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9DAA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D8FA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Cochrane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BD7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Cochrane Library（考科蓝系统评价）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755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考科蓝协作网：循证医学系统评价的金标准数据库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17B2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2BE2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9F52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0539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CMAI-SF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02A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Cohen-Mansfield Agitation Inventory–Short Form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7B8D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柯恩-曼斯菲尔德激越量表简版：评估失智老人激越行为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18EF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4648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CA9C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DF66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LTC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A5A0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Long-Term Care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003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长期照护：养老机构照护业态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9DF1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5545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FF80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172D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WSJ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EC5C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The Wall Street Journal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B0C5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华尔街日报：媒体信源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3218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69ECA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8EED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7B79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PMF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B04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Product-Market Fit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BEC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产品市场契合度：验证产品真正被市场需要的状态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79EE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1178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F2C9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184F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JAMDA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E1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Journal of the American Medical Directors Association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F191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美国医学主任协会杂志：老年医学领域同行评议期刊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3DE9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7B237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6134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939A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VR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E109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Virtual Reality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DBD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虚拟现实：用于遥操作与仿真训练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4564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3BFE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1E43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CEDF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NASDAQ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32A3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National Association of Securities Dealers Automated Quotations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299B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纳斯达克：美股交易市场（如 Lifeward 股票代码 LFWD）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1D33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4ECA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8BFC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BE98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CMU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CB2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Carnegie Mellon University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C04C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卡内基梅隆大学：康复/辅助机器人代表实验室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B4AD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62D5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E959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9991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UW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72A55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University of Washington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9F3C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华盛顿大学：辅助机器人物联网实验室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7D76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67EB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9DA5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CC135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HAL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E6B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Hybrid Assistive Limb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E425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混合辅助肢体：Cyberdyne 公司外骨骼机器人（产品名即缩写）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F432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康复养老报告</w:t>
            </w:r>
          </w:p>
        </w:tc>
      </w:tr>
      <w:tr w14:paraId="3A8D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4"/>
          <w:wAfter w:w="8328" w:type="dxa"/>
        </w:trPr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EEBF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DDC5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实验室报告</w:t>
            </w:r>
          </w:p>
        </w:tc>
      </w:tr>
      <w:tr w14:paraId="4C7F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558A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75FB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AI4S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D019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AI for Science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6A5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人工智能驱动的科学研究：AI4S 自主实验室业态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FFFAE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0B8D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7527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32B5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TLA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08AE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Total Laboratory Automation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33FA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实验室全自动化流水线：检验科轨道式自动化系统（如迈瑞 M6000）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26EB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3190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32E1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396C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SBS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20F7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Society for Biomolecular Screening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FD2D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生物分子筛选学会：其制定的 SBS 标准微孔板（96/384 孔）是自动化容器标准化基石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79DD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04C2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28A5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98F1C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PIVAS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97DB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Pharmacy Intravenous Admixture Service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A3AA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静脉用药调配中心：医院配液中心，已有专机（约 400 万元/台）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AAE2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860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A68F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839B0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NGS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47BC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Next-Generation Sequencing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5A98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下一代测序：高通量基因测序，液体工作站覆盖的建库工序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7E7A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7757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DAC7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8F4B2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ELISA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9375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Enzyme-Linked Immunosorbent Assay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A016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酶联免疫吸附试验：经典免疫检测方法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7013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62BA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D3CE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BB85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ICL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6905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Independent Clinical Laboratory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1B31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独立医学检验实验室（第三方医检）：如金域、迪安、艾迪康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E869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452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9519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808B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CRO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CE5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Contract Research Organization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E126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合同研究组织：医药研发外包服务商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4A4D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1201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89FC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9B1E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CDMO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17D4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Contract Development and Manufacturing Organization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1A97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合同研发生产组织：制药生产外包服务商（如药明）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3205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9A3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2757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DD47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AMT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BDDD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Advanced Manufacturing Technology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542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先进制造技术：FDA 针对基因治疗制造技术的认定计划（Cellares Cell Shuttle 获此认定）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1F31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2C40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6AFC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AC3C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ALCOA+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DAB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Attributable, Legible, Contemporaneous, Original, Accurate, plus Complete, Consistent, Enduring, Available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2990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数据完整性原则：可归因、清晰、同步、原始、准确 + 完整、一致、持久、可用，制药 GMP 数据合规要求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DF75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849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A99A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608F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CSV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792E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Computer System Validation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9B3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计算机化系统验证：制药/医疗器械系统上线前的验证流程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43D3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384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8FB1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0423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CSA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A41C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Computer Software Assurance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67C4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计算机软件保证：FDA 2025 年更新的软件质量保证方法（终稿适用于含 AI 系统）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E861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4E560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E6C21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BE1F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GAMP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EE0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Good Automated Manufacturing Practice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3EE7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自动化生产质量管理规范：GAMP 5 指南（附录 D11 已纳入 AI/ML）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5B79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16BE5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86D61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C6A2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BMS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7286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Bristol Myers Squibb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23B0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百时美施贵宝：跨国药企，终止了与 Cellares 最高 $3.8 亿的产能预留协议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0E75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2D43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B093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59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4B51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UCSF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7E91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University of California, San Francisco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97E3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加州大学旧金山分校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FD93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7DB1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AA17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AD0F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UCL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D673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University College London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F1BA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伦敦大学学院：公开质疑 A-Lab 成果的学者所属机构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02DE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416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4075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27E9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C&amp;EN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ABB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Chemical &amp; Engineering News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A8A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化学与工程新闻：美国化学会旗下行业媒体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4B0A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48CE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1FA2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5F24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XRD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BFD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X-Ray Diffraction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2FB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X 射线衍射：材料表征手段，A-Lab 争议焦点在其自动化判读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3407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246E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EDA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85BEE1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AGV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8F73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Automated Guided Vehicle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F17B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自动导引运输车：实验室/工厂内自动搬运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90E2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8F2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D00A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9313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R&amp;D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439B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Research and Development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AF1A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研究与开发：AI4S 客户采购预算科目为科研经费/R&amp;D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D902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3187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7F35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647E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OpEx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A7C81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Operating Expense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405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运营性支出：产线持续运营成本（机器人替代对象的测算基准）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F392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4B52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4AF8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F20E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Capex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363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Capital Expenditure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1237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资本性支出：设备采购一次性投入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BBF3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A84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5F70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E8CB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WRC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5BA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World Robot Conference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A82A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世界机器人大会：国内机器人展会（BrainCo 触觉灵巧手 2024 展示）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0E423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C33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41C7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7C6C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GR00T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1A49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Generalist Robot 00 Technology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78D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英伟达通用人形机器人基础模型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2F65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335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720B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69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8601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BLS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CFE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Bureau of Labor Statistics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5762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美国劳工统计局：检验技师薪资数据来源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6E99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045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A5228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70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F883F4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CAP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ACE2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College of American Pathologists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CA8E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美国病理学家学会：实验室质量认证体系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4D96D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2CC76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D1B86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71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4434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CLIA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6FD7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Clinical Laboratory Improvement Amendments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42B9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临床实验室改进修正案：美国临床实验室质量监管框架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06A2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7290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D2BF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72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DE25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VHP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78EB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Vaporized Hydrogen Peroxide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A6C2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汽化过氧化氢：无菌/BSL 环境的低温灭菌方式，触觉传感器灭菌退化是研究空白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7449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1515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8F737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73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0CFC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UV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331A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Ultraviolet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9DF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紫外线：实验室常用灭菌/消毒手段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7DB8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1360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694597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74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AC98F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MDPI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28B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Multidisciplinary Digital Publishing Institute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FF3F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多学科数字出版机构：开放获取期刊出版商（MDPI Diagnostics 2025 报告 31 台 cobot 案例）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640D0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78A48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E080D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75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AE6AB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AJMC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103A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American Journal of Managed Care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37D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美国管理式医疗杂志：CGT 操作员流失率数据来源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D3675C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26E6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16DB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76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8893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IARPA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615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Intelligence Advanced Research Projects Activity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858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美国情报高级研究计划局：Ginkgo RAC foundry 能力档案来源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4B335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6CE2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15B7B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77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5633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LiHa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589F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Liquid Handling Arm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4BB3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液体处理臂：Tecan 工作站的核心移液通道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767AA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4E0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FA772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78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316B48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FCA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3B4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Fixed Channel Arm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931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固定通道臂：Tecan 工作站的固定通道机械臂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64FA9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  <w:tr w14:paraId="5CE3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576FF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79</w:t>
            </w:r>
          </w:p>
        </w:tc>
        <w:tc>
          <w:tcPr>
            <w:tcW w:w="103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97B06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17"/>
                <w:szCs w:val="17"/>
              </w:rPr>
              <w:t>GLP</w:t>
            </w:r>
          </w:p>
        </w:tc>
        <w:tc>
          <w:tcPr>
            <w:tcW w:w="337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D1C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Good Laboratory Practice</w:t>
            </w:r>
          </w:p>
        </w:tc>
        <w:tc>
          <w:tcPr>
            <w:tcW w:w="318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BC5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非临床研究质量管理规范：药物非临床研究环节的质量规范</w:t>
            </w:r>
          </w:p>
        </w:tc>
        <w:tc>
          <w:tcPr>
            <w:tcW w:w="748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60984">
            <w:pPr>
              <w:jc w:val="center"/>
            </w:pPr>
            <w:r>
              <w:rPr>
                <w:rFonts w:ascii="Arial" w:hAnsi="Arial" w:eastAsia="微软雅黑"/>
                <w:b w:val="0"/>
                <w:bCs w:val="0"/>
                <w:sz w:val="17"/>
                <w:szCs w:val="17"/>
              </w:rPr>
              <w:t>实验室报告</w:t>
            </w:r>
          </w:p>
        </w:tc>
      </w:tr>
    </w:tbl>
    <w:p w14:paraId="39238A54">
      <w:pPr>
        <w:spacing w:after="80" w:line="300" w:lineRule="auto"/>
      </w:pPr>
      <w:r>
        <w:rPr>
          <w:rFonts w:ascii="Arial" w:hAnsi="Arial" w:eastAsia="微软雅黑"/>
          <w:color w:val="595959"/>
          <w:sz w:val="18"/>
          <w:szCs w:val="18"/>
        </w:rPr>
        <w:t>注：来源列按出现报告区分（通用=两份报告与本总结均涉及）；产品专有型号（如 M6000、Resyone、Robear 等）不属于英文缩写，未收录。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A751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微软雅黑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Arial" w:hAnsi="Arial" w:eastAsia="微软雅黑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2179</Words>
  <Characters>2350</Characters>
  <TotalTime>1</TotalTime>
  <ScaleCrop>false</ScaleCrop>
  <LinksUpToDate>false</LinksUpToDate>
  <CharactersWithSpaces>2474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2026-08-30T01:53:00Z</dcterms:created>
  <dc:creator>Un-named</dc:creator>
  <cp:lastModifiedBy>Anson</cp:lastModifiedBy>
  <dcterms:modified xsi:type="dcterms:W3CDTF">2026-08-30T02:19:43Z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D13FFD156766478E946027C658EB4502_12</vt:lpwstr>
  </property>
</Properties>
</file>