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65BA8" w14:textId="77777777" w:rsidR="002233A8" w:rsidRDefault="00000000">
      <w:pPr>
        <w:spacing w:before="2200"/>
        <w:jc w:val="center"/>
        <w:rPr>
          <w:lang w:eastAsia="zh-CN"/>
        </w:rPr>
      </w:pPr>
      <w:r>
        <w:rPr>
          <w:b/>
          <w:color w:val="17365D"/>
          <w:sz w:val="52"/>
          <w:lang w:eastAsia="zh-CN"/>
        </w:rPr>
        <w:t>六份专项合作协议</w:t>
      </w:r>
    </w:p>
    <w:p w14:paraId="63170D07" w14:textId="7366BD42" w:rsidR="002233A8" w:rsidRDefault="00000000">
      <w:pPr>
        <w:spacing w:before="60" w:after="160" w:line="240" w:lineRule="auto"/>
        <w:jc w:val="center"/>
        <w:rPr>
          <w:lang w:eastAsia="zh-CN"/>
        </w:rPr>
      </w:pPr>
      <w:r>
        <w:rPr>
          <w:b/>
          <w:color w:val="2F75B5"/>
          <w:sz w:val="40"/>
          <w:lang w:eastAsia="zh-CN"/>
        </w:rPr>
        <w:t>起草背景</w:t>
      </w:r>
    </w:p>
    <w:p w14:paraId="065BACF3" w14:textId="77777777" w:rsidR="002233A8" w:rsidRDefault="00000000">
      <w:pPr>
        <w:spacing w:before="60" w:after="60" w:line="240" w:lineRule="auto"/>
        <w:jc w:val="center"/>
        <w:rPr>
          <w:lang w:eastAsia="zh-CN"/>
        </w:rPr>
      </w:pPr>
      <w:r>
        <w:rPr>
          <w:color w:val="666666"/>
          <w:lang w:eastAsia="zh-CN"/>
        </w:rPr>
        <w:t>基于《战略合作框架协议（MOU版）》及六份专项协议讨论稿整理</w:t>
      </w:r>
    </w:p>
    <w:p w14:paraId="4456E907" w14:textId="77777777" w:rsidR="002233A8" w:rsidRDefault="00000000">
      <w:pPr>
        <w:spacing w:before="2400"/>
        <w:jc w:val="center"/>
        <w:rPr>
          <w:lang w:eastAsia="zh-CN"/>
        </w:rPr>
      </w:pPr>
      <w:r>
        <w:rPr>
          <w:color w:val="777777"/>
          <w:sz w:val="20"/>
          <w:lang w:eastAsia="zh-CN"/>
        </w:rPr>
        <w:t>2026年8月</w:t>
      </w:r>
    </w:p>
    <w:p w14:paraId="55369D37" w14:textId="77777777" w:rsidR="002233A8" w:rsidRDefault="00000000">
      <w:pPr>
        <w:rPr>
          <w:lang w:eastAsia="zh-CN"/>
        </w:rPr>
      </w:pPr>
      <w:r>
        <w:rPr>
          <w:lang w:eastAsia="zh-CN"/>
        </w:rPr>
        <w:br w:type="page"/>
      </w:r>
    </w:p>
    <w:p w14:paraId="2B3A217F" w14:textId="21208444" w:rsidR="002233A8" w:rsidRDefault="00000000">
      <w:pPr>
        <w:keepNext/>
        <w:pBdr>
          <w:left w:val="single" w:sz="20" w:space="6" w:color="5B9BD5"/>
        </w:pBdr>
        <w:spacing w:before="200" w:after="140" w:line="288" w:lineRule="auto"/>
        <w:rPr>
          <w:lang w:eastAsia="zh-CN"/>
        </w:rPr>
      </w:pPr>
      <w:r>
        <w:rPr>
          <w:b/>
          <w:color w:val="17365D"/>
          <w:sz w:val="34"/>
          <w:lang w:eastAsia="zh-CN"/>
        </w:rPr>
        <w:lastRenderedPageBreak/>
        <w:t>一、文件说明</w:t>
      </w:r>
    </w:p>
    <w:p w14:paraId="7023C8CB" w14:textId="2058166E" w:rsidR="002233A8" w:rsidRDefault="00000000">
      <w:pPr>
        <w:spacing w:after="80" w:line="348" w:lineRule="auto"/>
        <w:rPr>
          <w:lang w:eastAsia="zh-CN"/>
        </w:rPr>
      </w:pPr>
      <w:r>
        <w:rPr>
          <w:color w:val="222222"/>
          <w:lang w:eastAsia="zh-CN"/>
        </w:rPr>
        <w:t>本说明文件不是对六份专项协议的替代，也不是最终法律意见，而是将前期商务讨论中形成的核心判断、交易逻辑和待确认问题集中整理，作为进入正式审查和起草阶段的“业务底稿”。</w:t>
      </w:r>
    </w:p>
    <w:p w14:paraId="27DB14C6" w14:textId="77777777" w:rsidR="002233A8" w:rsidRDefault="00000000">
      <w:pPr>
        <w:spacing w:after="80" w:line="348" w:lineRule="auto"/>
        <w:rPr>
          <w:lang w:eastAsia="zh-CN"/>
        </w:rPr>
      </w:pPr>
      <w:r>
        <w:rPr>
          <w:color w:val="222222"/>
          <w:lang w:eastAsia="zh-CN"/>
        </w:rPr>
        <w:t>《战略合作框架协议（MOU）》明确双方后续具体合作遵循“一事一议”，具体方案、指标和商务条件通过专项协议或项目文件另行明确。因此，六份讨论稿的共同起草原则是：主协议先锁定长期合作关系、核心投入、权利边界和基本风险分配，具体金额、数量、时间、报价、交付和项目收益再通过确认单、订单或授权文件落地。</w:t>
      </w:r>
    </w:p>
    <w:tbl>
      <w:tblPr>
        <w:tblW w:w="0" w:type="auto"/>
        <w:jc w:val="center"/>
        <w:tblLayout w:type="fixed"/>
        <w:tblLook w:val="04A0" w:firstRow="1" w:lastRow="0" w:firstColumn="1" w:lastColumn="0" w:noHBand="0" w:noVBand="1"/>
      </w:tblPr>
      <w:tblGrid>
        <w:gridCol w:w="8957"/>
      </w:tblGrid>
      <w:tr w:rsidR="002233A8" w14:paraId="3CEAEA35" w14:textId="77777777">
        <w:trPr>
          <w:jc w:val="center"/>
        </w:trPr>
        <w:tc>
          <w:tcPr>
            <w:tcW w:w="8957" w:type="dxa"/>
            <w:shd w:val="clear" w:color="auto" w:fill="EAF2F8"/>
            <w:tcMar>
              <w:top w:w="150" w:type="dxa"/>
              <w:left w:w="220" w:type="dxa"/>
              <w:bottom w:w="150" w:type="dxa"/>
              <w:right w:w="220" w:type="dxa"/>
            </w:tcMar>
          </w:tcPr>
          <w:p w14:paraId="1AB8C1AE" w14:textId="20E9C067" w:rsidR="002233A8" w:rsidRDefault="00000000">
            <w:pPr>
              <w:spacing w:after="60" w:line="312" w:lineRule="auto"/>
              <w:rPr>
                <w:lang w:eastAsia="zh-CN"/>
              </w:rPr>
            </w:pPr>
            <w:r>
              <w:rPr>
                <w:b/>
                <w:color w:val="24527A"/>
                <w:sz w:val="20"/>
                <w:lang w:eastAsia="zh-CN"/>
              </w:rPr>
              <w:t xml:space="preserve">特别说明  </w:t>
            </w:r>
            <w:r>
              <w:rPr>
                <w:color w:val="3B3B3B"/>
                <w:sz w:val="20"/>
                <w:lang w:eastAsia="zh-CN"/>
              </w:rPr>
              <w:t>MOU中共有五个非投融资业务方向；其中“硬件合作”</w:t>
            </w:r>
            <w:r w:rsidR="00076810">
              <w:rPr>
                <w:rFonts w:ascii="宋体" w:eastAsia="宋体" w:hAnsi="宋体" w:cs="宋体" w:hint="eastAsia"/>
                <w:color w:val="3B3B3B"/>
                <w:sz w:val="20"/>
                <w:lang w:eastAsia="zh-CN"/>
              </w:rPr>
              <w:t>我</w:t>
            </w:r>
            <w:r>
              <w:rPr>
                <w:color w:val="3B3B3B"/>
                <w:sz w:val="20"/>
                <w:lang w:eastAsia="zh-CN"/>
              </w:rPr>
              <w:t>根据不同商业模式形成两个平行备选版本，因此当前合计六份专项协议。硬件版本一与版本二原则上是不同的商业路线，应根据最终谈判结果择一适用于具体产品或合作阶段，不宜在同一产品上无区分地同时适用。</w:t>
            </w:r>
          </w:p>
        </w:tc>
      </w:tr>
    </w:tbl>
    <w:p w14:paraId="1B27BD5C" w14:textId="77777777" w:rsidR="002233A8" w:rsidRDefault="00000000">
      <w:pPr>
        <w:keepNext/>
        <w:pBdr>
          <w:left w:val="single" w:sz="20" w:space="6" w:color="5B9BD5"/>
        </w:pBdr>
        <w:spacing w:before="200" w:after="140" w:line="288" w:lineRule="auto"/>
      </w:pPr>
      <w:proofErr w:type="spellStart"/>
      <w:r>
        <w:rPr>
          <w:b/>
          <w:color w:val="17365D"/>
          <w:sz w:val="34"/>
        </w:rPr>
        <w:t>二、六份协议关系总览</w:t>
      </w:r>
      <w:proofErr w:type="spellEnd"/>
    </w:p>
    <w:tbl>
      <w:tblPr>
        <w:tblStyle w:val="aff1"/>
        <w:tblW w:w="0" w:type="auto"/>
        <w:jc w:val="center"/>
        <w:tblLayout w:type="fixed"/>
        <w:tblLook w:val="04A0" w:firstRow="1" w:lastRow="0" w:firstColumn="1" w:lastColumn="0" w:noHBand="0" w:noVBand="1"/>
      </w:tblPr>
      <w:tblGrid>
        <w:gridCol w:w="2408"/>
        <w:gridCol w:w="2408"/>
        <w:gridCol w:w="2408"/>
        <w:gridCol w:w="2408"/>
      </w:tblGrid>
      <w:tr w:rsidR="002233A8" w14:paraId="563F91F2" w14:textId="77777777">
        <w:trPr>
          <w:tblHeader/>
          <w:jc w:val="center"/>
        </w:trPr>
        <w:tc>
          <w:tcPr>
            <w:tcW w:w="2408" w:type="dxa"/>
            <w:shd w:val="clear" w:color="auto" w:fill="DCE6F1"/>
            <w:tcMar>
              <w:top w:w="100" w:type="dxa"/>
              <w:left w:w="120" w:type="dxa"/>
              <w:bottom w:w="100" w:type="dxa"/>
              <w:right w:w="120" w:type="dxa"/>
            </w:tcMar>
          </w:tcPr>
          <w:p w14:paraId="5E983E8C" w14:textId="77777777" w:rsidR="002233A8" w:rsidRDefault="00000000">
            <w:pPr>
              <w:spacing w:line="264" w:lineRule="auto"/>
            </w:pPr>
            <w:r>
              <w:rPr>
                <w:b/>
                <w:color w:val="17365D"/>
                <w:sz w:val="18"/>
              </w:rPr>
              <w:t>协议</w:t>
            </w:r>
          </w:p>
        </w:tc>
        <w:tc>
          <w:tcPr>
            <w:tcW w:w="2408" w:type="dxa"/>
            <w:shd w:val="clear" w:color="auto" w:fill="DCE6F1"/>
            <w:tcMar>
              <w:top w:w="100" w:type="dxa"/>
              <w:left w:w="120" w:type="dxa"/>
              <w:bottom w:w="100" w:type="dxa"/>
              <w:right w:w="120" w:type="dxa"/>
            </w:tcMar>
          </w:tcPr>
          <w:p w14:paraId="11A46FAE" w14:textId="77777777" w:rsidR="002233A8" w:rsidRDefault="00000000">
            <w:pPr>
              <w:spacing w:line="264" w:lineRule="auto"/>
            </w:pPr>
            <w:r>
              <w:rPr>
                <w:b/>
                <w:color w:val="17365D"/>
                <w:sz w:val="18"/>
              </w:rPr>
              <w:t>主要解决对象</w:t>
            </w:r>
          </w:p>
        </w:tc>
        <w:tc>
          <w:tcPr>
            <w:tcW w:w="2408" w:type="dxa"/>
            <w:shd w:val="clear" w:color="auto" w:fill="DCE6F1"/>
            <w:tcMar>
              <w:top w:w="100" w:type="dxa"/>
              <w:left w:w="120" w:type="dxa"/>
              <w:bottom w:w="100" w:type="dxa"/>
              <w:right w:w="120" w:type="dxa"/>
            </w:tcMar>
          </w:tcPr>
          <w:p w14:paraId="6C5D327C" w14:textId="77777777" w:rsidR="002233A8" w:rsidRDefault="00000000">
            <w:pPr>
              <w:spacing w:line="264" w:lineRule="auto"/>
            </w:pPr>
            <w:r>
              <w:rPr>
                <w:b/>
                <w:color w:val="17365D"/>
                <w:sz w:val="18"/>
              </w:rPr>
              <w:t>核心商业关系</w:t>
            </w:r>
          </w:p>
        </w:tc>
        <w:tc>
          <w:tcPr>
            <w:tcW w:w="2408" w:type="dxa"/>
            <w:shd w:val="clear" w:color="auto" w:fill="DCE6F1"/>
            <w:tcMar>
              <w:top w:w="100" w:type="dxa"/>
              <w:left w:w="120" w:type="dxa"/>
              <w:bottom w:w="100" w:type="dxa"/>
              <w:right w:w="120" w:type="dxa"/>
            </w:tcMar>
          </w:tcPr>
          <w:p w14:paraId="4E66BBCD" w14:textId="5B06CE0D" w:rsidR="002233A8" w:rsidRDefault="00000000">
            <w:pPr>
              <w:spacing w:line="264" w:lineRule="auto"/>
            </w:pPr>
            <w:proofErr w:type="spellStart"/>
            <w:r>
              <w:rPr>
                <w:b/>
                <w:color w:val="17365D"/>
                <w:sz w:val="18"/>
              </w:rPr>
              <w:t>关注重点</w:t>
            </w:r>
            <w:proofErr w:type="spellEnd"/>
          </w:p>
        </w:tc>
      </w:tr>
      <w:tr w:rsidR="002233A8" w14:paraId="562B714C" w14:textId="77777777">
        <w:trPr>
          <w:jc w:val="center"/>
        </w:trPr>
        <w:tc>
          <w:tcPr>
            <w:tcW w:w="2408" w:type="dxa"/>
            <w:shd w:val="clear" w:color="auto" w:fill="F7F9FB"/>
            <w:tcMar>
              <w:top w:w="90" w:type="dxa"/>
              <w:left w:w="90" w:type="dxa"/>
              <w:bottom w:w="90" w:type="dxa"/>
              <w:right w:w="90" w:type="dxa"/>
            </w:tcMar>
          </w:tcPr>
          <w:p w14:paraId="5FCECF06" w14:textId="77777777" w:rsidR="002233A8" w:rsidRDefault="00000000">
            <w:pPr>
              <w:spacing w:line="288" w:lineRule="auto"/>
              <w:rPr>
                <w:lang w:eastAsia="zh-CN"/>
              </w:rPr>
            </w:pPr>
            <w:r>
              <w:rPr>
                <w:b/>
                <w:color w:val="333333"/>
                <w:sz w:val="17"/>
                <w:lang w:eastAsia="zh-CN"/>
              </w:rPr>
              <w:t>1. 训练场评测与数据采集</w:t>
            </w:r>
          </w:p>
        </w:tc>
        <w:tc>
          <w:tcPr>
            <w:tcW w:w="2408" w:type="dxa"/>
            <w:tcMar>
              <w:top w:w="90" w:type="dxa"/>
              <w:left w:w="90" w:type="dxa"/>
              <w:bottom w:w="90" w:type="dxa"/>
              <w:right w:w="90" w:type="dxa"/>
            </w:tcMar>
          </w:tcPr>
          <w:p w14:paraId="1BE8F86B" w14:textId="77777777" w:rsidR="002233A8" w:rsidRDefault="00000000">
            <w:pPr>
              <w:spacing w:line="288" w:lineRule="auto"/>
            </w:pPr>
            <w:proofErr w:type="spellStart"/>
            <w:r>
              <w:rPr>
                <w:color w:val="333333"/>
                <w:sz w:val="17"/>
              </w:rPr>
              <w:t>数据生产与采购</w:t>
            </w:r>
            <w:proofErr w:type="spellEnd"/>
          </w:p>
        </w:tc>
        <w:tc>
          <w:tcPr>
            <w:tcW w:w="2408" w:type="dxa"/>
            <w:tcMar>
              <w:top w:w="90" w:type="dxa"/>
              <w:left w:w="90" w:type="dxa"/>
              <w:bottom w:w="90" w:type="dxa"/>
              <w:right w:w="90" w:type="dxa"/>
            </w:tcMar>
          </w:tcPr>
          <w:p w14:paraId="538ECF2D" w14:textId="77777777" w:rsidR="002233A8" w:rsidRDefault="00000000">
            <w:pPr>
              <w:spacing w:line="288" w:lineRule="auto"/>
              <w:rPr>
                <w:lang w:eastAsia="zh-CN"/>
              </w:rPr>
            </w:pPr>
            <w:r>
              <w:rPr>
                <w:color w:val="333333"/>
                <w:sz w:val="17"/>
                <w:lang w:eastAsia="zh-CN"/>
              </w:rPr>
              <w:t>甲方采购有效数据服务；甲方先采设备并转售乙方；乙方建设和运营数据产能</w:t>
            </w:r>
          </w:p>
        </w:tc>
        <w:tc>
          <w:tcPr>
            <w:tcW w:w="2408" w:type="dxa"/>
            <w:tcMar>
              <w:top w:w="90" w:type="dxa"/>
              <w:left w:w="90" w:type="dxa"/>
              <w:bottom w:w="90" w:type="dxa"/>
              <w:right w:w="90" w:type="dxa"/>
            </w:tcMar>
          </w:tcPr>
          <w:p w14:paraId="28AED4EE" w14:textId="77777777" w:rsidR="002233A8" w:rsidRDefault="00000000">
            <w:pPr>
              <w:spacing w:line="288" w:lineRule="auto"/>
              <w:rPr>
                <w:lang w:eastAsia="zh-CN"/>
              </w:rPr>
            </w:pPr>
            <w:r>
              <w:rPr>
                <w:color w:val="333333"/>
                <w:sz w:val="17"/>
                <w:lang w:eastAsia="zh-CN"/>
              </w:rPr>
              <w:t>数据范围、有效数据、设备转售、数据权利、产能规划</w:t>
            </w:r>
          </w:p>
        </w:tc>
      </w:tr>
      <w:tr w:rsidR="002233A8" w14:paraId="7A757402" w14:textId="77777777">
        <w:trPr>
          <w:jc w:val="center"/>
        </w:trPr>
        <w:tc>
          <w:tcPr>
            <w:tcW w:w="2408" w:type="dxa"/>
            <w:shd w:val="clear" w:color="auto" w:fill="F7F9FB"/>
            <w:tcMar>
              <w:top w:w="90" w:type="dxa"/>
              <w:left w:w="90" w:type="dxa"/>
              <w:bottom w:w="90" w:type="dxa"/>
              <w:right w:w="90" w:type="dxa"/>
            </w:tcMar>
          </w:tcPr>
          <w:p w14:paraId="5BA64B59" w14:textId="77777777" w:rsidR="002233A8" w:rsidRDefault="00000000">
            <w:pPr>
              <w:spacing w:line="288" w:lineRule="auto"/>
            </w:pPr>
            <w:r>
              <w:rPr>
                <w:b/>
                <w:color w:val="333333"/>
                <w:sz w:val="17"/>
              </w:rPr>
              <w:t xml:space="preserve">2. </w:t>
            </w:r>
            <w:proofErr w:type="spellStart"/>
            <w:r>
              <w:rPr>
                <w:b/>
                <w:color w:val="333333"/>
                <w:sz w:val="17"/>
              </w:rPr>
              <w:t>无本体数采装置</w:t>
            </w:r>
            <w:proofErr w:type="spellEnd"/>
          </w:p>
        </w:tc>
        <w:tc>
          <w:tcPr>
            <w:tcW w:w="2408" w:type="dxa"/>
            <w:tcMar>
              <w:top w:w="90" w:type="dxa"/>
              <w:left w:w="90" w:type="dxa"/>
              <w:bottom w:w="90" w:type="dxa"/>
              <w:right w:w="90" w:type="dxa"/>
            </w:tcMar>
          </w:tcPr>
          <w:p w14:paraId="15A56DE6" w14:textId="77777777" w:rsidR="002233A8" w:rsidRDefault="00000000">
            <w:pPr>
              <w:spacing w:line="288" w:lineRule="auto"/>
            </w:pPr>
            <w:r>
              <w:rPr>
                <w:color w:val="333333"/>
                <w:sz w:val="17"/>
              </w:rPr>
              <w:t>数采产品联合研发</w:t>
            </w:r>
          </w:p>
        </w:tc>
        <w:tc>
          <w:tcPr>
            <w:tcW w:w="2408" w:type="dxa"/>
            <w:tcMar>
              <w:top w:w="90" w:type="dxa"/>
              <w:left w:w="90" w:type="dxa"/>
              <w:bottom w:w="90" w:type="dxa"/>
              <w:right w:w="90" w:type="dxa"/>
            </w:tcMar>
          </w:tcPr>
          <w:p w14:paraId="0675DEDC" w14:textId="77777777" w:rsidR="002233A8" w:rsidRDefault="00000000">
            <w:pPr>
              <w:spacing w:line="288" w:lineRule="auto"/>
              <w:rPr>
                <w:lang w:eastAsia="zh-CN"/>
              </w:rPr>
            </w:pPr>
            <w:r>
              <w:rPr>
                <w:color w:val="333333"/>
                <w:sz w:val="17"/>
                <w:lang w:eastAsia="zh-CN"/>
              </w:rPr>
              <w:t>甲方定义产品及软件算法；乙方工程化、试制、量产；共同商业化</w:t>
            </w:r>
          </w:p>
        </w:tc>
        <w:tc>
          <w:tcPr>
            <w:tcW w:w="2408" w:type="dxa"/>
            <w:tcMar>
              <w:top w:w="90" w:type="dxa"/>
              <w:left w:w="90" w:type="dxa"/>
              <w:bottom w:w="90" w:type="dxa"/>
              <w:right w:w="90" w:type="dxa"/>
            </w:tcMar>
          </w:tcPr>
          <w:p w14:paraId="72F34A47" w14:textId="77777777" w:rsidR="002233A8" w:rsidRDefault="00000000">
            <w:pPr>
              <w:spacing w:line="288" w:lineRule="auto"/>
              <w:rPr>
                <w:lang w:eastAsia="zh-CN"/>
              </w:rPr>
            </w:pPr>
            <w:r>
              <w:rPr>
                <w:color w:val="333333"/>
                <w:sz w:val="17"/>
                <w:lang w:eastAsia="zh-CN"/>
              </w:rPr>
              <w:t>双方投入、知识产权、量产、持续生产、商业分工</w:t>
            </w:r>
          </w:p>
        </w:tc>
      </w:tr>
      <w:tr w:rsidR="002233A8" w14:paraId="06F0B41C" w14:textId="77777777">
        <w:trPr>
          <w:jc w:val="center"/>
        </w:trPr>
        <w:tc>
          <w:tcPr>
            <w:tcW w:w="2408" w:type="dxa"/>
            <w:shd w:val="clear" w:color="auto" w:fill="F7F9FB"/>
            <w:tcMar>
              <w:top w:w="90" w:type="dxa"/>
              <w:left w:w="90" w:type="dxa"/>
              <w:bottom w:w="90" w:type="dxa"/>
              <w:right w:w="90" w:type="dxa"/>
            </w:tcMar>
          </w:tcPr>
          <w:p w14:paraId="06F0786D" w14:textId="77777777" w:rsidR="002233A8" w:rsidRDefault="00000000">
            <w:pPr>
              <w:spacing w:line="288" w:lineRule="auto"/>
            </w:pPr>
            <w:r>
              <w:rPr>
                <w:b/>
                <w:color w:val="333333"/>
                <w:sz w:val="17"/>
              </w:rPr>
              <w:t xml:space="preserve">3. </w:t>
            </w:r>
            <w:proofErr w:type="spellStart"/>
            <w:r>
              <w:rPr>
                <w:b/>
                <w:color w:val="333333"/>
                <w:sz w:val="17"/>
              </w:rPr>
              <w:t>基模后训练</w:t>
            </w:r>
            <w:proofErr w:type="spellEnd"/>
          </w:p>
        </w:tc>
        <w:tc>
          <w:tcPr>
            <w:tcW w:w="2408" w:type="dxa"/>
            <w:tcMar>
              <w:top w:w="90" w:type="dxa"/>
              <w:left w:w="90" w:type="dxa"/>
              <w:bottom w:w="90" w:type="dxa"/>
              <w:right w:w="90" w:type="dxa"/>
            </w:tcMar>
          </w:tcPr>
          <w:p w14:paraId="52489F46" w14:textId="77777777" w:rsidR="002233A8" w:rsidRDefault="00000000">
            <w:pPr>
              <w:spacing w:line="288" w:lineRule="auto"/>
              <w:rPr>
                <w:lang w:eastAsia="zh-CN"/>
              </w:rPr>
            </w:pPr>
            <w:r>
              <w:rPr>
                <w:color w:val="333333"/>
                <w:sz w:val="17"/>
                <w:lang w:eastAsia="zh-CN"/>
              </w:rPr>
              <w:t>模型能力与后训练服务</w:t>
            </w:r>
          </w:p>
        </w:tc>
        <w:tc>
          <w:tcPr>
            <w:tcW w:w="2408" w:type="dxa"/>
            <w:tcMar>
              <w:top w:w="90" w:type="dxa"/>
              <w:left w:w="90" w:type="dxa"/>
              <w:bottom w:w="90" w:type="dxa"/>
              <w:right w:w="90" w:type="dxa"/>
            </w:tcMar>
          </w:tcPr>
          <w:p w14:paraId="47132AAE" w14:textId="77777777" w:rsidR="002233A8" w:rsidRDefault="00000000">
            <w:pPr>
              <w:spacing w:line="288" w:lineRule="auto"/>
              <w:rPr>
                <w:lang w:eastAsia="zh-CN"/>
              </w:rPr>
            </w:pPr>
            <w:r>
              <w:rPr>
                <w:color w:val="333333"/>
                <w:sz w:val="17"/>
                <w:lang w:eastAsia="zh-CN"/>
              </w:rPr>
              <w:t>甲方提供商业模型能力、后训练基础设施与云服务；乙方采购并联合后训练</w:t>
            </w:r>
          </w:p>
        </w:tc>
        <w:tc>
          <w:tcPr>
            <w:tcW w:w="2408" w:type="dxa"/>
            <w:tcMar>
              <w:top w:w="90" w:type="dxa"/>
              <w:left w:w="90" w:type="dxa"/>
              <w:bottom w:w="90" w:type="dxa"/>
              <w:right w:w="90" w:type="dxa"/>
            </w:tcMar>
          </w:tcPr>
          <w:p w14:paraId="45591E6A" w14:textId="77777777" w:rsidR="002233A8" w:rsidRDefault="00000000">
            <w:pPr>
              <w:spacing w:line="288" w:lineRule="auto"/>
              <w:rPr>
                <w:lang w:eastAsia="zh-CN"/>
              </w:rPr>
            </w:pPr>
            <w:r>
              <w:rPr>
                <w:color w:val="333333"/>
                <w:sz w:val="17"/>
                <w:lang w:eastAsia="zh-CN"/>
              </w:rPr>
              <w:t>授权边界、私有化部署、买断含义、专项成果、持续服务</w:t>
            </w:r>
          </w:p>
        </w:tc>
      </w:tr>
      <w:tr w:rsidR="002233A8" w14:paraId="79858E39" w14:textId="77777777">
        <w:trPr>
          <w:jc w:val="center"/>
        </w:trPr>
        <w:tc>
          <w:tcPr>
            <w:tcW w:w="2408" w:type="dxa"/>
            <w:shd w:val="clear" w:color="auto" w:fill="F7F9FB"/>
            <w:tcMar>
              <w:top w:w="90" w:type="dxa"/>
              <w:left w:w="90" w:type="dxa"/>
              <w:bottom w:w="90" w:type="dxa"/>
              <w:right w:w="90" w:type="dxa"/>
            </w:tcMar>
          </w:tcPr>
          <w:p w14:paraId="5B3A435A" w14:textId="77777777" w:rsidR="002233A8" w:rsidRDefault="00000000">
            <w:pPr>
              <w:spacing w:line="288" w:lineRule="auto"/>
            </w:pPr>
            <w:r>
              <w:rPr>
                <w:b/>
                <w:color w:val="333333"/>
                <w:sz w:val="17"/>
              </w:rPr>
              <w:t xml:space="preserve">4. </w:t>
            </w:r>
            <w:proofErr w:type="spellStart"/>
            <w:r>
              <w:rPr>
                <w:b/>
                <w:color w:val="333333"/>
                <w:sz w:val="17"/>
              </w:rPr>
              <w:t>应用场景联合开发</w:t>
            </w:r>
            <w:proofErr w:type="spellEnd"/>
          </w:p>
        </w:tc>
        <w:tc>
          <w:tcPr>
            <w:tcW w:w="2408" w:type="dxa"/>
            <w:tcMar>
              <w:top w:w="90" w:type="dxa"/>
              <w:left w:w="90" w:type="dxa"/>
              <w:bottom w:w="90" w:type="dxa"/>
              <w:right w:w="90" w:type="dxa"/>
            </w:tcMar>
          </w:tcPr>
          <w:p w14:paraId="6536C1D7" w14:textId="77777777" w:rsidR="002233A8" w:rsidRDefault="00000000">
            <w:pPr>
              <w:spacing w:line="288" w:lineRule="auto"/>
            </w:pPr>
            <w:r>
              <w:rPr>
                <w:color w:val="333333"/>
                <w:sz w:val="17"/>
              </w:rPr>
              <w:t>终端场景商业化</w:t>
            </w:r>
          </w:p>
        </w:tc>
        <w:tc>
          <w:tcPr>
            <w:tcW w:w="2408" w:type="dxa"/>
            <w:tcMar>
              <w:top w:w="90" w:type="dxa"/>
              <w:left w:w="90" w:type="dxa"/>
              <w:bottom w:w="90" w:type="dxa"/>
              <w:right w:w="90" w:type="dxa"/>
            </w:tcMar>
          </w:tcPr>
          <w:p w14:paraId="00B72F66" w14:textId="77777777" w:rsidR="002233A8" w:rsidRDefault="00000000">
            <w:pPr>
              <w:spacing w:line="288" w:lineRule="auto"/>
              <w:rPr>
                <w:lang w:eastAsia="zh-CN"/>
              </w:rPr>
            </w:pPr>
            <w:r>
              <w:rPr>
                <w:color w:val="333333"/>
                <w:sz w:val="17"/>
                <w:lang w:eastAsia="zh-CN"/>
              </w:rPr>
              <w:t>将双方模型、硬件、集成能力组合成客户项目，并形成可复制最佳实践</w:t>
            </w:r>
          </w:p>
        </w:tc>
        <w:tc>
          <w:tcPr>
            <w:tcW w:w="2408" w:type="dxa"/>
            <w:tcMar>
              <w:top w:w="90" w:type="dxa"/>
              <w:left w:w="90" w:type="dxa"/>
              <w:bottom w:w="90" w:type="dxa"/>
              <w:right w:w="90" w:type="dxa"/>
            </w:tcMar>
          </w:tcPr>
          <w:p w14:paraId="0EA20AD0" w14:textId="77777777" w:rsidR="002233A8" w:rsidRDefault="00000000">
            <w:pPr>
              <w:spacing w:line="288" w:lineRule="auto"/>
              <w:rPr>
                <w:lang w:eastAsia="zh-CN"/>
              </w:rPr>
            </w:pPr>
            <w:r>
              <w:rPr>
                <w:color w:val="333333"/>
                <w:sz w:val="17"/>
                <w:lang w:eastAsia="zh-CN"/>
              </w:rPr>
              <w:t>机会/验证、项目牵头、内部结算、两层验收、客户与区域边界</w:t>
            </w:r>
          </w:p>
        </w:tc>
      </w:tr>
      <w:tr w:rsidR="002233A8" w14:paraId="28E90E0A" w14:textId="77777777">
        <w:trPr>
          <w:jc w:val="center"/>
        </w:trPr>
        <w:tc>
          <w:tcPr>
            <w:tcW w:w="2408" w:type="dxa"/>
            <w:shd w:val="clear" w:color="auto" w:fill="F7F9FB"/>
            <w:tcMar>
              <w:top w:w="90" w:type="dxa"/>
              <w:left w:w="90" w:type="dxa"/>
              <w:bottom w:w="90" w:type="dxa"/>
              <w:right w:w="90" w:type="dxa"/>
            </w:tcMar>
          </w:tcPr>
          <w:p w14:paraId="13AE230C" w14:textId="4A655EFA" w:rsidR="002233A8" w:rsidRDefault="00000000">
            <w:pPr>
              <w:spacing w:line="288" w:lineRule="auto"/>
              <w:rPr>
                <w:rFonts w:hint="eastAsia"/>
                <w:lang w:eastAsia="zh-CN"/>
              </w:rPr>
            </w:pPr>
            <w:r>
              <w:rPr>
                <w:b/>
                <w:color w:val="333333"/>
                <w:sz w:val="17"/>
              </w:rPr>
              <w:t xml:space="preserve">5. </w:t>
            </w:r>
            <w:proofErr w:type="spellStart"/>
            <w:r>
              <w:rPr>
                <w:b/>
                <w:color w:val="333333"/>
                <w:sz w:val="17"/>
              </w:rPr>
              <w:t>硬件合作V</w:t>
            </w:r>
            <w:proofErr w:type="spellEnd"/>
            <w:r w:rsidR="001963ED">
              <w:rPr>
                <w:rFonts w:ascii="宋体" w:eastAsia="宋体" w:hAnsi="宋体" w:cs="宋体" w:hint="eastAsia"/>
                <w:b/>
                <w:color w:val="333333"/>
                <w:sz w:val="17"/>
                <w:lang w:eastAsia="zh-CN"/>
              </w:rPr>
              <w:t>代工</w:t>
            </w:r>
          </w:p>
        </w:tc>
        <w:tc>
          <w:tcPr>
            <w:tcW w:w="2408" w:type="dxa"/>
            <w:tcMar>
              <w:top w:w="90" w:type="dxa"/>
              <w:left w:w="90" w:type="dxa"/>
              <w:bottom w:w="90" w:type="dxa"/>
              <w:right w:w="90" w:type="dxa"/>
            </w:tcMar>
          </w:tcPr>
          <w:p w14:paraId="1A8348AC" w14:textId="77777777" w:rsidR="002233A8" w:rsidRDefault="00000000">
            <w:pPr>
              <w:spacing w:line="288" w:lineRule="auto"/>
              <w:rPr>
                <w:lang w:eastAsia="zh-CN"/>
              </w:rPr>
            </w:pPr>
            <w:r>
              <w:rPr>
                <w:color w:val="333333"/>
                <w:sz w:val="17"/>
                <w:lang w:eastAsia="zh-CN"/>
              </w:rPr>
              <w:t>甲方品牌主导的定制研发制造</w:t>
            </w:r>
          </w:p>
        </w:tc>
        <w:tc>
          <w:tcPr>
            <w:tcW w:w="2408" w:type="dxa"/>
            <w:tcMar>
              <w:top w:w="90" w:type="dxa"/>
              <w:left w:w="90" w:type="dxa"/>
              <w:bottom w:w="90" w:type="dxa"/>
              <w:right w:w="90" w:type="dxa"/>
            </w:tcMar>
          </w:tcPr>
          <w:p w14:paraId="3987A2A3" w14:textId="77777777" w:rsidR="002233A8" w:rsidRDefault="00000000">
            <w:pPr>
              <w:spacing w:line="288" w:lineRule="auto"/>
              <w:rPr>
                <w:lang w:eastAsia="zh-CN"/>
              </w:rPr>
            </w:pPr>
            <w:r>
              <w:rPr>
                <w:color w:val="333333"/>
                <w:sz w:val="17"/>
                <w:lang w:eastAsia="zh-CN"/>
              </w:rPr>
              <w:t>甲方定义产品、品牌和销售；乙方研发制造并作为优先供应方</w:t>
            </w:r>
          </w:p>
        </w:tc>
        <w:tc>
          <w:tcPr>
            <w:tcW w:w="2408" w:type="dxa"/>
            <w:tcMar>
              <w:top w:w="90" w:type="dxa"/>
              <w:left w:w="90" w:type="dxa"/>
              <w:bottom w:w="90" w:type="dxa"/>
              <w:right w:w="90" w:type="dxa"/>
            </w:tcMar>
          </w:tcPr>
          <w:p w14:paraId="23770AE1" w14:textId="77777777" w:rsidR="002233A8" w:rsidRDefault="00000000">
            <w:pPr>
              <w:spacing w:line="288" w:lineRule="auto"/>
              <w:rPr>
                <w:lang w:eastAsia="zh-CN"/>
              </w:rPr>
            </w:pPr>
            <w:r>
              <w:rPr>
                <w:color w:val="333333"/>
                <w:sz w:val="17"/>
                <w:lang w:eastAsia="zh-CN"/>
              </w:rPr>
              <w:t>前期研发投入、品牌/专项产品保护、供货价格、替代制造</w:t>
            </w:r>
          </w:p>
        </w:tc>
      </w:tr>
      <w:tr w:rsidR="002233A8" w14:paraId="719874E4" w14:textId="77777777">
        <w:trPr>
          <w:jc w:val="center"/>
        </w:trPr>
        <w:tc>
          <w:tcPr>
            <w:tcW w:w="2408" w:type="dxa"/>
            <w:shd w:val="clear" w:color="auto" w:fill="F7F9FB"/>
            <w:tcMar>
              <w:top w:w="90" w:type="dxa"/>
              <w:left w:w="90" w:type="dxa"/>
              <w:bottom w:w="90" w:type="dxa"/>
              <w:right w:w="90" w:type="dxa"/>
            </w:tcMar>
          </w:tcPr>
          <w:p w14:paraId="0FCC673C" w14:textId="00915DF8" w:rsidR="002233A8" w:rsidRDefault="00000000">
            <w:pPr>
              <w:spacing w:line="288" w:lineRule="auto"/>
              <w:rPr>
                <w:rFonts w:hint="eastAsia"/>
                <w:lang w:eastAsia="zh-CN"/>
              </w:rPr>
            </w:pPr>
            <w:r>
              <w:rPr>
                <w:b/>
                <w:color w:val="333333"/>
                <w:sz w:val="17"/>
              </w:rPr>
              <w:t xml:space="preserve">6. </w:t>
            </w:r>
            <w:proofErr w:type="spellStart"/>
            <w:r>
              <w:rPr>
                <w:b/>
                <w:color w:val="333333"/>
                <w:sz w:val="17"/>
              </w:rPr>
              <w:t>硬件合作V</w:t>
            </w:r>
            <w:proofErr w:type="spellEnd"/>
            <w:r w:rsidR="001963ED">
              <w:rPr>
                <w:rFonts w:ascii="宋体" w:eastAsia="宋体" w:hAnsi="宋体" w:cs="宋体" w:hint="eastAsia"/>
                <w:b/>
                <w:color w:val="333333"/>
                <w:sz w:val="17"/>
                <w:lang w:eastAsia="zh-CN"/>
              </w:rPr>
              <w:t>双销售</w:t>
            </w:r>
          </w:p>
        </w:tc>
        <w:tc>
          <w:tcPr>
            <w:tcW w:w="2408" w:type="dxa"/>
            <w:tcMar>
              <w:top w:w="90" w:type="dxa"/>
              <w:left w:w="90" w:type="dxa"/>
              <w:bottom w:w="90" w:type="dxa"/>
              <w:right w:w="90" w:type="dxa"/>
            </w:tcMar>
          </w:tcPr>
          <w:p w14:paraId="2FA114DB" w14:textId="77777777" w:rsidR="002233A8" w:rsidRDefault="00000000">
            <w:pPr>
              <w:spacing w:line="288" w:lineRule="auto"/>
              <w:rPr>
                <w:lang w:eastAsia="zh-CN"/>
              </w:rPr>
            </w:pPr>
            <w:r>
              <w:rPr>
                <w:color w:val="333333"/>
                <w:sz w:val="17"/>
                <w:lang w:eastAsia="zh-CN"/>
              </w:rPr>
              <w:t>联合产品+双销售+单机授权</w:t>
            </w:r>
          </w:p>
        </w:tc>
        <w:tc>
          <w:tcPr>
            <w:tcW w:w="2408" w:type="dxa"/>
            <w:tcMar>
              <w:top w:w="90" w:type="dxa"/>
              <w:left w:w="90" w:type="dxa"/>
              <w:bottom w:w="90" w:type="dxa"/>
              <w:right w:w="90" w:type="dxa"/>
            </w:tcMar>
          </w:tcPr>
          <w:p w14:paraId="51A9E7E7" w14:textId="77777777" w:rsidR="002233A8" w:rsidRDefault="00000000">
            <w:pPr>
              <w:spacing w:line="288" w:lineRule="auto"/>
              <w:rPr>
                <w:lang w:eastAsia="zh-CN"/>
              </w:rPr>
            </w:pPr>
            <w:r>
              <w:rPr>
                <w:color w:val="333333"/>
                <w:sz w:val="17"/>
                <w:lang w:eastAsia="zh-CN"/>
              </w:rPr>
              <w:t>双方共同定义品牌并均可销售；乙方销售每台向甲方取得智能能力授权</w:t>
            </w:r>
          </w:p>
        </w:tc>
        <w:tc>
          <w:tcPr>
            <w:tcW w:w="2408" w:type="dxa"/>
            <w:tcMar>
              <w:top w:w="90" w:type="dxa"/>
              <w:left w:w="90" w:type="dxa"/>
              <w:bottom w:w="90" w:type="dxa"/>
              <w:right w:w="90" w:type="dxa"/>
            </w:tcMar>
          </w:tcPr>
          <w:p w14:paraId="7E327AA8" w14:textId="77777777" w:rsidR="002233A8" w:rsidRDefault="00000000">
            <w:pPr>
              <w:spacing w:line="288" w:lineRule="auto"/>
            </w:pPr>
            <w:proofErr w:type="spellStart"/>
            <w:r>
              <w:rPr>
                <w:color w:val="333333"/>
                <w:sz w:val="17"/>
              </w:rPr>
              <w:t>License激活、双销售价格体系、重大项目一事一议、联合品牌、退出机制</w:t>
            </w:r>
            <w:proofErr w:type="spellEnd"/>
          </w:p>
        </w:tc>
      </w:tr>
    </w:tbl>
    <w:p w14:paraId="00C94465" w14:textId="77777777" w:rsidR="002233A8" w:rsidRDefault="00000000">
      <w:pPr>
        <w:keepNext/>
        <w:pBdr>
          <w:left w:val="single" w:sz="20" w:space="6" w:color="5B9BD5"/>
        </w:pBdr>
        <w:spacing w:before="200" w:after="140" w:line="288" w:lineRule="auto"/>
        <w:rPr>
          <w:lang w:eastAsia="zh-CN"/>
        </w:rPr>
      </w:pPr>
      <w:r>
        <w:rPr>
          <w:b/>
          <w:color w:val="17365D"/>
          <w:sz w:val="34"/>
          <w:lang w:eastAsia="zh-CN"/>
        </w:rPr>
        <w:t>三、跨协议的共同起草原则</w:t>
      </w:r>
    </w:p>
    <w:p w14:paraId="44518A04" w14:textId="77777777" w:rsidR="002233A8" w:rsidRDefault="00000000">
      <w:pPr>
        <w:pStyle w:val="a0"/>
        <w:spacing w:after="40" w:line="324" w:lineRule="auto"/>
        <w:rPr>
          <w:lang w:eastAsia="zh-CN"/>
        </w:rPr>
      </w:pPr>
      <w:r>
        <w:rPr>
          <w:color w:val="2B2B2B"/>
          <w:lang w:eastAsia="zh-CN"/>
        </w:rPr>
        <w:t>框架—专项—项目三级逻辑：MOU解决战略合作方向，专项协议解决某一业务方向的长期规则，具体项目文件解决金额、数量、时间、客户、验收及收益。</w:t>
      </w:r>
    </w:p>
    <w:p w14:paraId="0728A58E" w14:textId="77777777" w:rsidR="002233A8" w:rsidRDefault="00000000">
      <w:pPr>
        <w:pStyle w:val="a0"/>
        <w:spacing w:after="40" w:line="324" w:lineRule="auto"/>
        <w:rPr>
          <w:lang w:eastAsia="zh-CN"/>
        </w:rPr>
      </w:pPr>
      <w:r>
        <w:rPr>
          <w:color w:val="2B2B2B"/>
          <w:lang w:eastAsia="zh-CN"/>
        </w:rPr>
        <w:t>不以“双方合作”当然推导知识产权共同所有。背景知识产权、独立成果、专项共同成果应区分处理。</w:t>
      </w:r>
    </w:p>
    <w:p w14:paraId="3D63FF52" w14:textId="77777777" w:rsidR="002233A8" w:rsidRDefault="00000000">
      <w:pPr>
        <w:pStyle w:val="a0"/>
        <w:spacing w:after="40" w:line="324" w:lineRule="auto"/>
        <w:rPr>
          <w:lang w:eastAsia="zh-CN"/>
        </w:rPr>
      </w:pPr>
      <w:r>
        <w:rPr>
          <w:color w:val="2B2B2B"/>
          <w:lang w:eastAsia="zh-CN"/>
        </w:rPr>
        <w:lastRenderedPageBreak/>
        <w:t>不把长期业务规划直接写成最低采购、最低订单或必达产能，除非双方确有明确商业承诺。</w:t>
      </w:r>
    </w:p>
    <w:p w14:paraId="4046B23F" w14:textId="77777777" w:rsidR="002233A8" w:rsidRDefault="00000000">
      <w:pPr>
        <w:pStyle w:val="a0"/>
        <w:spacing w:after="40" w:line="324" w:lineRule="auto"/>
        <w:rPr>
          <w:lang w:eastAsia="zh-CN"/>
        </w:rPr>
      </w:pPr>
      <w:r>
        <w:rPr>
          <w:color w:val="2B2B2B"/>
          <w:lang w:eastAsia="zh-CN"/>
        </w:rPr>
        <w:t>责任尽量按照实际控制范围、专业分工和问题原因划分，避免项目牵头方因“统一接口”而自动承担另一方专业责任。</w:t>
      </w:r>
    </w:p>
    <w:p w14:paraId="73310355" w14:textId="77777777" w:rsidR="002233A8" w:rsidRDefault="00000000">
      <w:pPr>
        <w:pStyle w:val="a0"/>
        <w:spacing w:after="40" w:line="324" w:lineRule="auto"/>
        <w:rPr>
          <w:lang w:eastAsia="zh-CN"/>
        </w:rPr>
      </w:pPr>
      <w:r>
        <w:rPr>
          <w:color w:val="2B2B2B"/>
          <w:lang w:eastAsia="zh-CN"/>
        </w:rPr>
        <w:t>正常合作失败、技术验证失败、市场变化原则上各自承担自身投入；双方已确认继续推进后发生单方退出并造成不可合理消化的专项净损失，再设置协商补偿机制。</w:t>
      </w:r>
    </w:p>
    <w:p w14:paraId="3A59DC06" w14:textId="77777777" w:rsidR="002233A8" w:rsidRDefault="00000000">
      <w:pPr>
        <w:pStyle w:val="a0"/>
        <w:spacing w:after="40" w:line="324" w:lineRule="auto"/>
        <w:rPr>
          <w:lang w:eastAsia="zh-CN"/>
        </w:rPr>
      </w:pPr>
      <w:r>
        <w:rPr>
          <w:color w:val="2B2B2B"/>
          <w:lang w:eastAsia="zh-CN"/>
        </w:rPr>
        <w:t>协议整体语气应维持战略合作关系的合作性和可执行性，避免在主协议中普遍使用高倍违约金、绝对排他、不可撤销承诺等过度刚性安排。</w:t>
      </w:r>
    </w:p>
    <w:p w14:paraId="245AADAB" w14:textId="77777777" w:rsidR="002233A8" w:rsidRDefault="00000000">
      <w:pPr>
        <w:keepNext/>
        <w:pBdr>
          <w:left w:val="single" w:sz="20" w:space="6" w:color="5B9BD5"/>
        </w:pBdr>
        <w:spacing w:before="200" w:after="140" w:line="288" w:lineRule="auto"/>
        <w:rPr>
          <w:lang w:eastAsia="zh-CN"/>
        </w:rPr>
      </w:pPr>
      <w:r>
        <w:rPr>
          <w:b/>
          <w:color w:val="17365D"/>
          <w:sz w:val="34"/>
          <w:lang w:eastAsia="zh-CN"/>
        </w:rPr>
        <w:t>一、《训练场评测与数据采集专项合作协议》</w:t>
      </w:r>
    </w:p>
    <w:p w14:paraId="45C54AA5" w14:textId="77777777" w:rsidR="002233A8" w:rsidRDefault="00000000">
      <w:pPr>
        <w:keepNext/>
        <w:spacing w:after="140" w:line="240" w:lineRule="auto"/>
        <w:rPr>
          <w:lang w:eastAsia="zh-CN"/>
        </w:rPr>
      </w:pPr>
      <w:r>
        <w:rPr>
          <w:b/>
          <w:color w:val="5B9BD5"/>
          <w:lang w:eastAsia="zh-CN"/>
        </w:rPr>
        <w:t>数据需求及数采设备采购转售版</w:t>
      </w:r>
    </w:p>
    <w:p w14:paraId="3CCD6765" w14:textId="77777777" w:rsidR="002233A8" w:rsidRDefault="00000000">
      <w:pPr>
        <w:keepNext/>
        <w:spacing w:before="140" w:after="80" w:line="288" w:lineRule="auto"/>
      </w:pPr>
      <w:r>
        <w:rPr>
          <w:b/>
          <w:color w:val="244A74"/>
          <w:sz w:val="25"/>
        </w:rPr>
        <w:t xml:space="preserve">1. </w:t>
      </w:r>
      <w:proofErr w:type="spellStart"/>
      <w:r>
        <w:rPr>
          <w:b/>
          <w:color w:val="244A74"/>
          <w:sz w:val="25"/>
        </w:rPr>
        <w:t>MOU原文</w:t>
      </w:r>
      <w:proofErr w:type="spellEnd"/>
    </w:p>
    <w:tbl>
      <w:tblPr>
        <w:tblW w:w="0" w:type="auto"/>
        <w:jc w:val="center"/>
        <w:tblLayout w:type="fixed"/>
        <w:tblLook w:val="04A0" w:firstRow="1" w:lastRow="0" w:firstColumn="1" w:lastColumn="0" w:noHBand="0" w:noVBand="1"/>
      </w:tblPr>
      <w:tblGrid>
        <w:gridCol w:w="8957"/>
      </w:tblGrid>
      <w:tr w:rsidR="002233A8" w14:paraId="568343E6" w14:textId="77777777">
        <w:trPr>
          <w:jc w:val="center"/>
        </w:trPr>
        <w:tc>
          <w:tcPr>
            <w:tcW w:w="8957" w:type="dxa"/>
            <w:shd w:val="clear" w:color="auto" w:fill="F2F6FA"/>
            <w:tcMar>
              <w:top w:w="150" w:type="dxa"/>
              <w:left w:w="220" w:type="dxa"/>
              <w:bottom w:w="150" w:type="dxa"/>
              <w:right w:w="220" w:type="dxa"/>
            </w:tcMar>
          </w:tcPr>
          <w:p w14:paraId="2F046429" w14:textId="77777777" w:rsidR="002233A8" w:rsidRDefault="00000000">
            <w:pPr>
              <w:spacing w:after="80" w:line="288" w:lineRule="auto"/>
              <w:rPr>
                <w:lang w:eastAsia="zh-CN"/>
              </w:rPr>
            </w:pPr>
            <w:r>
              <w:rPr>
                <w:b/>
                <w:color w:val="5B6B7A"/>
                <w:sz w:val="19"/>
                <w:lang w:eastAsia="zh-CN"/>
              </w:rPr>
              <w:t xml:space="preserve">MOU原文  </w:t>
            </w:r>
            <w:r>
              <w:rPr>
                <w:color w:val="2E4053"/>
                <w:sz w:val="20"/>
                <w:lang w:eastAsia="zh-CN"/>
              </w:rPr>
              <w:t>训练场评测与数据采集：甲方作为采购方出资采购真机评测、数据采集与预处理服务，乙方利用自有四川省级训练场提供场地、人员与执行团队，形成商业化订单；双方联合推进开源数据集建设，开源范围与使用规范另行书面确认；双方探索西部机房部署与端云交互评测方案；机器人本体和零部件、装置由乙方按需购置于训练场，实现日常运行管理。</w:t>
            </w:r>
          </w:p>
        </w:tc>
      </w:tr>
    </w:tbl>
    <w:p w14:paraId="04D0A194" w14:textId="77777777" w:rsidR="002233A8" w:rsidRDefault="00000000">
      <w:pPr>
        <w:keepNext/>
        <w:spacing w:before="140" w:after="80" w:line="288" w:lineRule="auto"/>
        <w:rPr>
          <w:lang w:eastAsia="zh-CN"/>
        </w:rPr>
      </w:pPr>
      <w:r>
        <w:rPr>
          <w:b/>
          <w:color w:val="244A74"/>
          <w:sz w:val="25"/>
          <w:lang w:eastAsia="zh-CN"/>
        </w:rPr>
        <w:t>2. 解读后的整体思路</w:t>
      </w:r>
    </w:p>
    <w:p w14:paraId="52D36822" w14:textId="77777777" w:rsidR="002233A8" w:rsidRDefault="00000000">
      <w:pPr>
        <w:spacing w:after="100" w:line="348" w:lineRule="auto"/>
        <w:rPr>
          <w:lang w:eastAsia="zh-CN"/>
        </w:rPr>
      </w:pPr>
      <w:r>
        <w:rPr>
          <w:color w:val="222222"/>
          <w:sz w:val="20"/>
          <w:lang w:eastAsia="zh-CN"/>
        </w:rPr>
        <w:t>专项协议没有机械照搬MOU中的“真机评测”全部范围，而是根据近期实际业务，先把第一阶段收窄为以Ego数采装置为核心的非真机数据，包括Ego及头环、触觉手套等配套多模态数据。机器人本体运行数据、真机灵巧手数据暂不计入当前规模，未来有需求再通过订单或补充文件纳入。当前合作被设计为“甲方提出持续数据需求并采购数据服务—甲方先行采购数采设备并按成本转售乙方—乙方持有并运营设备、组织训练场及其他合法场景的数据产能—按经甲方验收的有效数据小时结算”。目标不是单次采购数据，而是借甲方中长期需求逐步形成可扩展的数据生产能力。</w:t>
      </w:r>
    </w:p>
    <w:p w14:paraId="134EB121" w14:textId="3DDA0074" w:rsidR="002233A8" w:rsidRDefault="00000000">
      <w:pPr>
        <w:keepNext/>
        <w:spacing w:before="140" w:after="80" w:line="288" w:lineRule="auto"/>
      </w:pPr>
      <w:r>
        <w:rPr>
          <w:b/>
          <w:color w:val="244A74"/>
          <w:sz w:val="25"/>
        </w:rPr>
        <w:t xml:space="preserve">3. </w:t>
      </w:r>
      <w:proofErr w:type="spellStart"/>
      <w:r>
        <w:rPr>
          <w:b/>
          <w:color w:val="244A74"/>
          <w:sz w:val="25"/>
        </w:rPr>
        <w:t>主要重点</w:t>
      </w:r>
      <w:proofErr w:type="spellEnd"/>
    </w:p>
    <w:p w14:paraId="4CEDEB1F" w14:textId="77777777" w:rsidR="002233A8" w:rsidRDefault="00000000">
      <w:pPr>
        <w:pStyle w:val="a0"/>
        <w:spacing w:after="40" w:line="324" w:lineRule="auto"/>
        <w:rPr>
          <w:lang w:eastAsia="zh-CN"/>
        </w:rPr>
      </w:pPr>
      <w:r>
        <w:rPr>
          <w:color w:val="2B2B2B"/>
          <w:lang w:eastAsia="zh-CN"/>
        </w:rPr>
        <w:t>当前范围：非真机Ego及配套多模态数据；需法务确保与MOU较宽的“真机评测与数据采集”表述兼容。</w:t>
      </w:r>
    </w:p>
    <w:p w14:paraId="5E61DD93" w14:textId="77777777" w:rsidR="002233A8" w:rsidRDefault="00000000">
      <w:pPr>
        <w:pStyle w:val="a0"/>
        <w:spacing w:after="40" w:line="324" w:lineRule="auto"/>
        <w:rPr>
          <w:lang w:eastAsia="zh-CN"/>
        </w:rPr>
      </w:pPr>
      <w:r>
        <w:rPr>
          <w:color w:val="2B2B2B"/>
          <w:lang w:eastAsia="zh-CN"/>
        </w:rPr>
        <w:t>需求规划：12个月约10万小时，18/24/30个月逐步扩展至百万小时级；规划用于产能建设，不构成甲方最低采购承诺，具体采购以阶段订单为准。</w:t>
      </w:r>
    </w:p>
    <w:p w14:paraId="6B7E3E05" w14:textId="77777777" w:rsidR="002233A8" w:rsidRDefault="00000000">
      <w:pPr>
        <w:pStyle w:val="a0"/>
        <w:spacing w:after="40" w:line="324" w:lineRule="auto"/>
        <w:rPr>
          <w:lang w:eastAsia="zh-CN"/>
        </w:rPr>
      </w:pPr>
      <w:r>
        <w:rPr>
          <w:color w:val="2B2B2B"/>
          <w:lang w:eastAsia="zh-CN"/>
        </w:rPr>
        <w:t>有效数据口径：只有符合双方标准并经甲方验收的数据才计入有效数据小时和结算。</w:t>
      </w:r>
    </w:p>
    <w:p w14:paraId="651E3C0D" w14:textId="77777777" w:rsidR="002233A8" w:rsidRDefault="00000000">
      <w:pPr>
        <w:pStyle w:val="a0"/>
        <w:spacing w:after="40" w:line="324" w:lineRule="auto"/>
        <w:rPr>
          <w:lang w:eastAsia="zh-CN"/>
        </w:rPr>
      </w:pPr>
      <w:r>
        <w:rPr>
          <w:color w:val="2B2B2B"/>
          <w:lang w:eastAsia="zh-CN"/>
        </w:rPr>
        <w:t>设备转售：甲方先采购设备，再以实际采购成本及必要税费、物流等合理费用转售乙方，原则上不设置明显商业利润；付清后设备产权转移乙方。</w:t>
      </w:r>
    </w:p>
    <w:p w14:paraId="53F2B0D6" w14:textId="77777777" w:rsidR="002233A8" w:rsidRDefault="00000000">
      <w:pPr>
        <w:pStyle w:val="a0"/>
        <w:spacing w:after="40" w:line="324" w:lineRule="auto"/>
        <w:rPr>
          <w:lang w:eastAsia="zh-CN"/>
        </w:rPr>
      </w:pPr>
      <w:r>
        <w:rPr>
          <w:color w:val="2B2B2B"/>
          <w:lang w:eastAsia="zh-CN"/>
        </w:rPr>
        <w:t>设备使用与合作绑定：合作期内转售设备原则上优先服务甲方相关任务；期满设置衔接期。</w:t>
      </w:r>
    </w:p>
    <w:p w14:paraId="2076F416" w14:textId="77777777" w:rsidR="002233A8" w:rsidRDefault="00000000">
      <w:pPr>
        <w:pStyle w:val="a0"/>
        <w:spacing w:after="40" w:line="324" w:lineRule="auto"/>
        <w:rPr>
          <w:lang w:eastAsia="zh-CN"/>
        </w:rPr>
      </w:pPr>
      <w:r>
        <w:rPr>
          <w:color w:val="2B2B2B"/>
          <w:lang w:eastAsia="zh-CN"/>
        </w:rPr>
        <w:t>需求落空风险：设备到位后若因甲方原因在约定时间内长期没有实质需求，对乙方不能合理消化的专项净损失设置友好协商补偿。</w:t>
      </w:r>
    </w:p>
    <w:p w14:paraId="0E7EAA84" w14:textId="77777777" w:rsidR="002233A8" w:rsidRDefault="00000000">
      <w:pPr>
        <w:pStyle w:val="a0"/>
        <w:spacing w:after="40" w:line="324" w:lineRule="auto"/>
        <w:rPr>
          <w:lang w:eastAsia="zh-CN"/>
        </w:rPr>
      </w:pPr>
      <w:r>
        <w:rPr>
          <w:color w:val="2B2B2B"/>
          <w:lang w:eastAsia="zh-CN"/>
        </w:rPr>
        <w:t>数据权利：甲方付费专项采购数据应获得模型训练、算法迭代、复制加工、衍生开发和商业使用的充分权利；乙方不得擅自另售、公开或用于其他客户。</w:t>
      </w:r>
    </w:p>
    <w:p w14:paraId="2C60381C" w14:textId="77777777" w:rsidR="002233A8" w:rsidRDefault="00000000">
      <w:pPr>
        <w:pStyle w:val="a0"/>
        <w:spacing w:after="40" w:line="324" w:lineRule="auto"/>
        <w:rPr>
          <w:lang w:eastAsia="zh-CN"/>
        </w:rPr>
      </w:pPr>
      <w:r>
        <w:rPr>
          <w:color w:val="2B2B2B"/>
          <w:lang w:eastAsia="zh-CN"/>
        </w:rPr>
        <w:t>数据合规：乙方负责采集现场、人员授权、必要脱敏和采集过程管理；甲方对接收后模型训练和使用行为负责。</w:t>
      </w:r>
    </w:p>
    <w:p w14:paraId="02555FD2" w14:textId="77777777" w:rsidR="002233A8" w:rsidRDefault="00000000">
      <w:pPr>
        <w:pStyle w:val="a0"/>
        <w:spacing w:after="40" w:line="324" w:lineRule="auto"/>
        <w:rPr>
          <w:lang w:eastAsia="zh-CN"/>
        </w:rPr>
      </w:pPr>
      <w:r>
        <w:rPr>
          <w:color w:val="2B2B2B"/>
          <w:lang w:eastAsia="zh-CN"/>
        </w:rPr>
        <w:lastRenderedPageBreak/>
        <w:t>开源数据集不是默认开源，范围、脱敏、许可和署名等需另行书面确认。</w:t>
      </w:r>
    </w:p>
    <w:p w14:paraId="2049A002" w14:textId="77777777" w:rsidR="002233A8" w:rsidRDefault="00000000">
      <w:pPr>
        <w:pStyle w:val="a0"/>
        <w:spacing w:after="40" w:line="324" w:lineRule="auto"/>
        <w:rPr>
          <w:lang w:eastAsia="zh-CN"/>
        </w:rPr>
      </w:pPr>
      <w:r>
        <w:rPr>
          <w:color w:val="2B2B2B"/>
          <w:lang w:eastAsia="zh-CN"/>
        </w:rPr>
        <w:t>西部机房属于中长期方向，本协议不预设刚性投资额和完成期限。</w:t>
      </w:r>
    </w:p>
    <w:p w14:paraId="438C205B" w14:textId="77777777" w:rsidR="002233A8" w:rsidRDefault="00000000">
      <w:pPr>
        <w:pStyle w:val="a0"/>
        <w:spacing w:after="40" w:line="324" w:lineRule="auto"/>
        <w:rPr>
          <w:lang w:eastAsia="zh-CN"/>
        </w:rPr>
      </w:pPr>
      <w:r>
        <w:rPr>
          <w:color w:val="2B2B2B"/>
          <w:lang w:eastAsia="zh-CN"/>
        </w:rPr>
        <w:t>待确认：协议期限目前仍保留2年/3年的商务选择。</w:t>
      </w:r>
    </w:p>
    <w:p w14:paraId="28FB21E2" w14:textId="77777777" w:rsidR="002233A8" w:rsidRDefault="00000000">
      <w:pPr>
        <w:keepNext/>
        <w:pBdr>
          <w:left w:val="single" w:sz="20" w:space="6" w:color="5B9BD5"/>
        </w:pBdr>
        <w:spacing w:before="200" w:after="140" w:line="288" w:lineRule="auto"/>
        <w:rPr>
          <w:lang w:eastAsia="zh-CN"/>
        </w:rPr>
      </w:pPr>
      <w:r>
        <w:rPr>
          <w:b/>
          <w:color w:val="17365D"/>
          <w:sz w:val="34"/>
          <w:lang w:eastAsia="zh-CN"/>
        </w:rPr>
        <w:t>二、《无本体数采装置专项合作协议》</w:t>
      </w:r>
    </w:p>
    <w:p w14:paraId="454F9505" w14:textId="77777777" w:rsidR="002233A8" w:rsidRDefault="00000000">
      <w:pPr>
        <w:keepNext/>
        <w:spacing w:after="140" w:line="240" w:lineRule="auto"/>
        <w:rPr>
          <w:lang w:eastAsia="zh-CN"/>
        </w:rPr>
      </w:pPr>
      <w:r>
        <w:rPr>
          <w:b/>
          <w:color w:val="5B9BD5"/>
          <w:lang w:eastAsia="zh-CN"/>
        </w:rPr>
        <w:t>联合研发、产品化与商业化版</w:t>
      </w:r>
    </w:p>
    <w:p w14:paraId="1914CA51" w14:textId="77777777" w:rsidR="002233A8" w:rsidRDefault="00000000">
      <w:pPr>
        <w:keepNext/>
        <w:spacing w:before="140" w:after="80" w:line="288" w:lineRule="auto"/>
      </w:pPr>
      <w:r>
        <w:rPr>
          <w:b/>
          <w:color w:val="244A74"/>
          <w:sz w:val="25"/>
        </w:rPr>
        <w:t xml:space="preserve">1. </w:t>
      </w:r>
      <w:proofErr w:type="spellStart"/>
      <w:r>
        <w:rPr>
          <w:b/>
          <w:color w:val="244A74"/>
          <w:sz w:val="25"/>
        </w:rPr>
        <w:t>MOU原文</w:t>
      </w:r>
      <w:proofErr w:type="spellEnd"/>
    </w:p>
    <w:tbl>
      <w:tblPr>
        <w:tblW w:w="0" w:type="auto"/>
        <w:jc w:val="center"/>
        <w:tblLayout w:type="fixed"/>
        <w:tblLook w:val="04A0" w:firstRow="1" w:lastRow="0" w:firstColumn="1" w:lastColumn="0" w:noHBand="0" w:noVBand="1"/>
      </w:tblPr>
      <w:tblGrid>
        <w:gridCol w:w="8957"/>
      </w:tblGrid>
      <w:tr w:rsidR="002233A8" w14:paraId="67BD95ED" w14:textId="77777777">
        <w:trPr>
          <w:jc w:val="center"/>
        </w:trPr>
        <w:tc>
          <w:tcPr>
            <w:tcW w:w="8957" w:type="dxa"/>
            <w:shd w:val="clear" w:color="auto" w:fill="F2F6FA"/>
            <w:tcMar>
              <w:top w:w="150" w:type="dxa"/>
              <w:left w:w="220" w:type="dxa"/>
              <w:bottom w:w="150" w:type="dxa"/>
              <w:right w:w="220" w:type="dxa"/>
            </w:tcMar>
          </w:tcPr>
          <w:p w14:paraId="4DA255AC" w14:textId="77777777" w:rsidR="002233A8" w:rsidRDefault="00000000">
            <w:pPr>
              <w:spacing w:after="80" w:line="288" w:lineRule="auto"/>
              <w:rPr>
                <w:lang w:eastAsia="zh-CN"/>
              </w:rPr>
            </w:pPr>
            <w:r>
              <w:rPr>
                <w:b/>
                <w:color w:val="5B6B7A"/>
                <w:sz w:val="19"/>
                <w:lang w:eastAsia="zh-CN"/>
              </w:rPr>
              <w:t xml:space="preserve">MOU原文  </w:t>
            </w:r>
            <w:r>
              <w:rPr>
                <w:color w:val="2E4053"/>
                <w:sz w:val="20"/>
                <w:lang w:eastAsia="zh-CN"/>
              </w:rPr>
              <w:t>无本体数采装置：由甲方定义产品方案，乙方支持产品化与规模化量产，在四川具身训练场开展试点落地，联合推进家庭及多场景操作数据的规模化采集，并拓展后续商机，形成商业化合作分润。</w:t>
            </w:r>
          </w:p>
        </w:tc>
      </w:tr>
    </w:tbl>
    <w:p w14:paraId="6F2D9B42" w14:textId="77777777" w:rsidR="002233A8" w:rsidRDefault="00000000">
      <w:pPr>
        <w:keepNext/>
        <w:spacing w:before="140" w:after="80" w:line="288" w:lineRule="auto"/>
        <w:rPr>
          <w:lang w:eastAsia="zh-CN"/>
        </w:rPr>
      </w:pPr>
      <w:r>
        <w:rPr>
          <w:b/>
          <w:color w:val="244A74"/>
          <w:sz w:val="25"/>
          <w:lang w:eastAsia="zh-CN"/>
        </w:rPr>
        <w:t>2. 解读后的整体思路</w:t>
      </w:r>
    </w:p>
    <w:p w14:paraId="43AA1DF9" w14:textId="77777777" w:rsidR="002233A8" w:rsidRDefault="00000000">
      <w:pPr>
        <w:spacing w:after="100" w:line="348" w:lineRule="auto"/>
        <w:rPr>
          <w:lang w:eastAsia="zh-CN"/>
        </w:rPr>
      </w:pPr>
      <w:r>
        <w:rPr>
          <w:color w:val="222222"/>
          <w:sz w:val="20"/>
          <w:lang w:eastAsia="zh-CN"/>
        </w:rPr>
        <w:t>本专项不是普通硬件采购，也不是甲方单向委托乙方开发一台设备，而是“联合产品共建”。甲方主导产品定义、数据需求、核心软件算法和数据系统，乙方主导硬件工程化、样机试制、产品化和规模制造。双方分别在自身优势领域投入研发，四川训练场优先作为验证节点，但后续可进入家庭、企业、酒店、文旅、康养等多场景。产品路线按“产品定义—工程样机—训练场验证—小批量试产—规模量产—外部商业部署”推进。</w:t>
      </w:r>
    </w:p>
    <w:p w14:paraId="704CC1FB" w14:textId="77777777" w:rsidR="002233A8" w:rsidRDefault="00000000">
      <w:pPr>
        <w:keepNext/>
        <w:spacing w:before="140" w:after="80" w:line="288" w:lineRule="auto"/>
      </w:pPr>
      <w:r>
        <w:rPr>
          <w:b/>
          <w:color w:val="244A74"/>
          <w:sz w:val="25"/>
        </w:rPr>
        <w:t xml:space="preserve">3. </w:t>
      </w:r>
      <w:proofErr w:type="spellStart"/>
      <w:r>
        <w:rPr>
          <w:b/>
          <w:color w:val="244A74"/>
          <w:sz w:val="25"/>
        </w:rPr>
        <w:t>主要讨论重点</w:t>
      </w:r>
      <w:proofErr w:type="spellEnd"/>
    </w:p>
    <w:p w14:paraId="4BBAA2EF" w14:textId="77777777" w:rsidR="002233A8" w:rsidRDefault="00000000">
      <w:pPr>
        <w:pStyle w:val="a0"/>
        <w:spacing w:after="40" w:line="324" w:lineRule="auto"/>
        <w:rPr>
          <w:lang w:eastAsia="zh-CN"/>
        </w:rPr>
      </w:pPr>
      <w:r>
        <w:rPr>
          <w:color w:val="2B2B2B"/>
          <w:lang w:eastAsia="zh-CN"/>
        </w:rPr>
        <w:t>产品定义权：甲方主导产品定位、数据模态、核心功能和软件算法方向；乙方从技术可行性、成本、供应链和制造角度提供建议。</w:t>
      </w:r>
    </w:p>
    <w:p w14:paraId="52098244" w14:textId="77777777" w:rsidR="002233A8" w:rsidRDefault="00000000">
      <w:pPr>
        <w:pStyle w:val="a0"/>
        <w:spacing w:after="40" w:line="324" w:lineRule="auto"/>
        <w:rPr>
          <w:lang w:eastAsia="zh-CN"/>
        </w:rPr>
      </w:pPr>
      <w:r>
        <w:rPr>
          <w:color w:val="2B2B2B"/>
          <w:lang w:eastAsia="zh-CN"/>
        </w:rPr>
        <w:t>双方投入：双方均承担自身优势领域的研发投入，不以现金成本高低作为双方贡献和权益分配的唯一依据。</w:t>
      </w:r>
    </w:p>
    <w:p w14:paraId="51D74391" w14:textId="77777777" w:rsidR="002233A8" w:rsidRDefault="00000000">
      <w:pPr>
        <w:pStyle w:val="a0"/>
        <w:spacing w:after="40" w:line="324" w:lineRule="auto"/>
        <w:rPr>
          <w:lang w:eastAsia="zh-CN"/>
        </w:rPr>
      </w:pPr>
      <w:r>
        <w:rPr>
          <w:color w:val="2B2B2B"/>
          <w:lang w:eastAsia="zh-CN"/>
        </w:rPr>
        <w:t>样机/试产：当前版本倾向由乙方承担样机、材料、模具、工装和试产投入；同时保留“小批量后转为商业采购”的备选方案。</w:t>
      </w:r>
    </w:p>
    <w:p w14:paraId="4A47FBD9" w14:textId="77777777" w:rsidR="002233A8" w:rsidRDefault="00000000">
      <w:pPr>
        <w:pStyle w:val="a0"/>
        <w:spacing w:after="40" w:line="324" w:lineRule="auto"/>
        <w:rPr>
          <w:lang w:eastAsia="zh-CN"/>
        </w:rPr>
      </w:pPr>
      <w:r>
        <w:rPr>
          <w:color w:val="2B2B2B"/>
          <w:lang w:eastAsia="zh-CN"/>
        </w:rPr>
        <w:t>知识产权：甲方核心软件、算法、数据系统原则上归甲方；乙方通用制造工艺、工程方法、底层硬件/固件等归乙方；不可清晰拆分的共同成果另行确认。</w:t>
      </w:r>
    </w:p>
    <w:p w14:paraId="46959C6F" w14:textId="77777777" w:rsidR="002233A8" w:rsidRDefault="00000000">
      <w:pPr>
        <w:pStyle w:val="a0"/>
        <w:spacing w:after="40" w:line="324" w:lineRule="auto"/>
        <w:rPr>
          <w:lang w:eastAsia="zh-CN"/>
        </w:rPr>
      </w:pPr>
      <w:r>
        <w:rPr>
          <w:color w:val="2B2B2B"/>
          <w:lang w:eastAsia="zh-CN"/>
        </w:rPr>
        <w:t>核心软件保护：甲方原则上通过SDK/API、可执行程序、接口文档等方式配合集成，不默认开放核心源码。</w:t>
      </w:r>
    </w:p>
    <w:p w14:paraId="749F17AD" w14:textId="77777777" w:rsidR="002233A8" w:rsidRDefault="00000000">
      <w:pPr>
        <w:pStyle w:val="a0"/>
        <w:spacing w:after="40" w:line="324" w:lineRule="auto"/>
        <w:rPr>
          <w:lang w:eastAsia="zh-CN"/>
        </w:rPr>
      </w:pPr>
      <w:r>
        <w:rPr>
          <w:color w:val="2B2B2B"/>
          <w:lang w:eastAsia="zh-CN"/>
        </w:rPr>
        <w:t>生产资料与连续供应：讨论稿倾向沉淀维持本产品生产所必要的BOM、关键器件、测试规范等资料；乙方无法合理生产时可在保密条件下启用替代制造。</w:t>
      </w:r>
    </w:p>
    <w:p w14:paraId="165C4162" w14:textId="77777777" w:rsidR="002233A8" w:rsidRDefault="00000000">
      <w:pPr>
        <w:pStyle w:val="a0"/>
        <w:spacing w:after="40" w:line="324" w:lineRule="auto"/>
        <w:rPr>
          <w:lang w:eastAsia="zh-CN"/>
        </w:rPr>
      </w:pPr>
      <w:r>
        <w:rPr>
          <w:color w:val="2B2B2B"/>
          <w:lang w:eastAsia="zh-CN"/>
        </w:rPr>
        <w:t>乙方为优先制造合作方，但不是绝对独家。</w:t>
      </w:r>
    </w:p>
    <w:p w14:paraId="6C45180D" w14:textId="77777777" w:rsidR="002233A8" w:rsidRDefault="00000000">
      <w:pPr>
        <w:pStyle w:val="a0"/>
        <w:spacing w:after="40" w:line="324" w:lineRule="auto"/>
        <w:rPr>
          <w:lang w:eastAsia="zh-CN"/>
        </w:rPr>
      </w:pPr>
      <w:r>
        <w:rPr>
          <w:color w:val="2B2B2B"/>
          <w:lang w:eastAsia="zh-CN"/>
        </w:rPr>
        <w:t>商业化不预设固定销售主体和固定分润比例；每个项目的签约、制造结算和收益分配按项目确认。</w:t>
      </w:r>
    </w:p>
    <w:p w14:paraId="31B8A78E" w14:textId="77777777" w:rsidR="002233A8" w:rsidRDefault="00000000">
      <w:pPr>
        <w:pStyle w:val="a0"/>
        <w:spacing w:after="40" w:line="324" w:lineRule="auto"/>
        <w:rPr>
          <w:lang w:eastAsia="zh-CN"/>
        </w:rPr>
      </w:pPr>
      <w:r>
        <w:rPr>
          <w:color w:val="2B2B2B"/>
          <w:lang w:eastAsia="zh-CN"/>
        </w:rPr>
        <w:t>本装置产生的训练数据权利原则上回到第一份数据专项协议处理，避免重复建立数据体系。</w:t>
      </w:r>
    </w:p>
    <w:p w14:paraId="1400BDBE" w14:textId="77777777" w:rsidR="002233A8" w:rsidRDefault="00000000">
      <w:pPr>
        <w:pStyle w:val="a0"/>
        <w:spacing w:after="40" w:line="324" w:lineRule="auto"/>
        <w:rPr>
          <w:lang w:eastAsia="zh-CN"/>
        </w:rPr>
      </w:pPr>
      <w:r>
        <w:rPr>
          <w:color w:val="2B2B2B"/>
          <w:lang w:eastAsia="zh-CN"/>
        </w:rPr>
        <w:t>退出：正常验证失败或市场变化原则上各自承担投入；双方已确认继续推进后单方退出造成明确专项净损失的，再协商处理。</w:t>
      </w:r>
    </w:p>
    <w:p w14:paraId="7B7BDC9D" w14:textId="13B9615B" w:rsidR="002233A8" w:rsidRDefault="00000000">
      <w:pPr>
        <w:pStyle w:val="a0"/>
        <w:spacing w:after="40" w:line="324" w:lineRule="auto"/>
        <w:rPr>
          <w:lang w:eastAsia="zh-CN"/>
        </w:rPr>
      </w:pPr>
      <w:r>
        <w:rPr>
          <w:color w:val="2B2B2B"/>
          <w:lang w:eastAsia="zh-CN"/>
        </w:rPr>
        <w:t>待确认：协议期限2年/3年；生产资料交付强弱方案仍需法务最终定稿。</w:t>
      </w:r>
    </w:p>
    <w:p w14:paraId="174A7225" w14:textId="77777777" w:rsidR="002233A8" w:rsidRDefault="00000000">
      <w:pPr>
        <w:keepNext/>
        <w:pBdr>
          <w:left w:val="single" w:sz="20" w:space="6" w:color="5B9BD5"/>
        </w:pBdr>
        <w:spacing w:before="200" w:after="140" w:line="288" w:lineRule="auto"/>
        <w:rPr>
          <w:lang w:eastAsia="zh-CN"/>
        </w:rPr>
      </w:pPr>
      <w:r>
        <w:rPr>
          <w:b/>
          <w:color w:val="17365D"/>
          <w:sz w:val="34"/>
          <w:lang w:eastAsia="zh-CN"/>
        </w:rPr>
        <w:lastRenderedPageBreak/>
        <w:t>三、《基模后训练专项合作协议》</w:t>
      </w:r>
    </w:p>
    <w:p w14:paraId="1E09C0D2" w14:textId="77777777" w:rsidR="002233A8" w:rsidRDefault="00000000">
      <w:pPr>
        <w:keepNext/>
        <w:spacing w:after="140" w:line="240" w:lineRule="auto"/>
        <w:rPr>
          <w:lang w:eastAsia="zh-CN"/>
        </w:rPr>
      </w:pPr>
      <w:r>
        <w:rPr>
          <w:b/>
          <w:color w:val="5B9BD5"/>
          <w:lang w:eastAsia="zh-CN"/>
        </w:rPr>
        <w:t>模型授权、后训练基础设施及联合后训练版</w:t>
      </w:r>
    </w:p>
    <w:p w14:paraId="773707C9" w14:textId="77777777" w:rsidR="002233A8" w:rsidRDefault="00000000">
      <w:pPr>
        <w:keepNext/>
        <w:spacing w:before="140" w:after="80" w:line="288" w:lineRule="auto"/>
      </w:pPr>
      <w:r>
        <w:rPr>
          <w:b/>
          <w:color w:val="244A74"/>
          <w:sz w:val="25"/>
        </w:rPr>
        <w:t xml:space="preserve">1. </w:t>
      </w:r>
      <w:proofErr w:type="spellStart"/>
      <w:r>
        <w:rPr>
          <w:b/>
          <w:color w:val="244A74"/>
          <w:sz w:val="25"/>
        </w:rPr>
        <w:t>MOU原文</w:t>
      </w:r>
      <w:proofErr w:type="spellEnd"/>
    </w:p>
    <w:tbl>
      <w:tblPr>
        <w:tblW w:w="0" w:type="auto"/>
        <w:jc w:val="center"/>
        <w:tblLayout w:type="fixed"/>
        <w:tblLook w:val="04A0" w:firstRow="1" w:lastRow="0" w:firstColumn="1" w:lastColumn="0" w:noHBand="0" w:noVBand="1"/>
      </w:tblPr>
      <w:tblGrid>
        <w:gridCol w:w="8957"/>
      </w:tblGrid>
      <w:tr w:rsidR="002233A8" w14:paraId="521E10DF" w14:textId="77777777">
        <w:trPr>
          <w:jc w:val="center"/>
        </w:trPr>
        <w:tc>
          <w:tcPr>
            <w:tcW w:w="8957" w:type="dxa"/>
            <w:shd w:val="clear" w:color="auto" w:fill="F2F6FA"/>
            <w:tcMar>
              <w:top w:w="150" w:type="dxa"/>
              <w:left w:w="220" w:type="dxa"/>
              <w:bottom w:w="150" w:type="dxa"/>
              <w:right w:w="220" w:type="dxa"/>
            </w:tcMar>
          </w:tcPr>
          <w:p w14:paraId="15329F83" w14:textId="77777777" w:rsidR="002233A8" w:rsidRDefault="00000000">
            <w:pPr>
              <w:spacing w:after="80" w:line="288" w:lineRule="auto"/>
              <w:rPr>
                <w:lang w:eastAsia="zh-CN"/>
              </w:rPr>
            </w:pPr>
            <w:r>
              <w:rPr>
                <w:b/>
                <w:color w:val="5B6B7A"/>
                <w:sz w:val="19"/>
                <w:lang w:eastAsia="zh-CN"/>
              </w:rPr>
              <w:t xml:space="preserve">MOU原文  </w:t>
            </w:r>
            <w:r>
              <w:rPr>
                <w:color w:val="2E4053"/>
                <w:sz w:val="20"/>
                <w:lang w:eastAsia="zh-CN"/>
              </w:rPr>
              <w:t>基模后训练：由甲方进行基础模型研发迭代并提供后训练基础设施。甲方商业化基模不开源，以服务化形式（License/买断/云服务等，具体模式另行商定）授权，支持乙方采购并围绕具体交付场景进行模型后训练；乙方后训练平台自用，不对外开放。</w:t>
            </w:r>
          </w:p>
        </w:tc>
      </w:tr>
    </w:tbl>
    <w:p w14:paraId="667A2243" w14:textId="77777777" w:rsidR="002233A8" w:rsidRDefault="00000000">
      <w:pPr>
        <w:keepNext/>
        <w:spacing w:before="140" w:after="80" w:line="288" w:lineRule="auto"/>
        <w:rPr>
          <w:lang w:eastAsia="zh-CN"/>
        </w:rPr>
      </w:pPr>
      <w:r>
        <w:rPr>
          <w:b/>
          <w:color w:val="244A74"/>
          <w:sz w:val="25"/>
          <w:lang w:eastAsia="zh-CN"/>
        </w:rPr>
        <w:t>2. 解读后的整体思路</w:t>
      </w:r>
    </w:p>
    <w:p w14:paraId="768149B7" w14:textId="77777777" w:rsidR="002233A8" w:rsidRDefault="00000000">
      <w:pPr>
        <w:spacing w:after="100" w:line="348" w:lineRule="auto"/>
        <w:rPr>
          <w:lang w:eastAsia="zh-CN"/>
        </w:rPr>
      </w:pPr>
      <w:r>
        <w:rPr>
          <w:color w:val="222222"/>
          <w:sz w:val="20"/>
          <w:lang w:eastAsia="zh-CN"/>
        </w:rPr>
        <w:t>本专项的核心是把“模型能力使用”与“模型所有权”彻底分开。甲方持续研发商业化基础模型及后训练基础设施；乙方采购模型授权、后训练基础设施、云服务以及必要的专项后训练技术服务，并围绕具体场景与甲方共同开展后训练、评测和迭代。乙方得到的是约定范围内的能力使用权，不当然取得甲方商业化基模的核心权重、核心源码或底层知识产权。</w:t>
      </w:r>
    </w:p>
    <w:p w14:paraId="58F5E877" w14:textId="77777777" w:rsidR="002233A8" w:rsidRDefault="00000000">
      <w:pPr>
        <w:keepNext/>
        <w:spacing w:before="140" w:after="80" w:line="288" w:lineRule="auto"/>
      </w:pPr>
      <w:r>
        <w:rPr>
          <w:b/>
          <w:color w:val="244A74"/>
          <w:sz w:val="25"/>
        </w:rPr>
        <w:t xml:space="preserve">3. </w:t>
      </w:r>
      <w:proofErr w:type="spellStart"/>
      <w:r>
        <w:rPr>
          <w:b/>
          <w:color w:val="244A74"/>
          <w:sz w:val="25"/>
        </w:rPr>
        <w:t>主要讨论重点</w:t>
      </w:r>
      <w:proofErr w:type="spellEnd"/>
    </w:p>
    <w:p w14:paraId="6CE40827" w14:textId="77777777" w:rsidR="002233A8" w:rsidRDefault="00000000">
      <w:pPr>
        <w:pStyle w:val="a0"/>
        <w:spacing w:after="40" w:line="324" w:lineRule="auto"/>
        <w:rPr>
          <w:lang w:eastAsia="zh-CN"/>
        </w:rPr>
      </w:pPr>
      <w:r>
        <w:rPr>
          <w:color w:val="2B2B2B"/>
          <w:lang w:eastAsia="zh-CN"/>
        </w:rPr>
        <w:t>商业化基模不开源；乙方原则上取得使用权，不取得模型所有权、核心权重和核心源码。</w:t>
      </w:r>
    </w:p>
    <w:p w14:paraId="0319A1BB" w14:textId="77777777" w:rsidR="002233A8" w:rsidRDefault="00000000">
      <w:pPr>
        <w:pStyle w:val="a0"/>
        <w:spacing w:after="40" w:line="324" w:lineRule="auto"/>
        <w:rPr>
          <w:lang w:eastAsia="zh-CN"/>
        </w:rPr>
      </w:pPr>
      <w:r>
        <w:rPr>
          <w:color w:val="2B2B2B"/>
          <w:lang w:eastAsia="zh-CN"/>
        </w:rPr>
        <w:t>后训练基础设施可以采用托管平台、专用环境或私有化部署；部署形态不当然改变甲方底层平台和软件的权利归属。</w:t>
      </w:r>
    </w:p>
    <w:p w14:paraId="095E233B" w14:textId="77777777" w:rsidR="002233A8" w:rsidRDefault="00000000">
      <w:pPr>
        <w:pStyle w:val="a0"/>
        <w:spacing w:after="40" w:line="324" w:lineRule="auto"/>
        <w:rPr>
          <w:lang w:eastAsia="zh-CN"/>
        </w:rPr>
      </w:pPr>
      <w:r>
        <w:rPr>
          <w:color w:val="2B2B2B"/>
          <w:lang w:eastAsia="zh-CN"/>
        </w:rPr>
        <w:t>乙方“自用”目前收紧为乙方签约主体内部使用；若扩展至长虹集团内其他主体，需另行取得甲方授权。</w:t>
      </w:r>
    </w:p>
    <w:p w14:paraId="7B7A4CEC" w14:textId="77777777" w:rsidR="002233A8" w:rsidRDefault="00000000">
      <w:pPr>
        <w:pStyle w:val="a0"/>
        <w:spacing w:after="40" w:line="324" w:lineRule="auto"/>
        <w:rPr>
          <w:lang w:eastAsia="zh-CN"/>
        </w:rPr>
      </w:pPr>
      <w:r>
        <w:rPr>
          <w:color w:val="2B2B2B"/>
          <w:lang w:eastAsia="zh-CN"/>
        </w:rPr>
        <w:t>联合后训练：甲方侧重基础模型、训练框架、核心算法和基础设施；乙方提供场景、任务、数据和工程配合。</w:t>
      </w:r>
    </w:p>
    <w:p w14:paraId="1DE5FD4D" w14:textId="77777777" w:rsidR="002233A8" w:rsidRDefault="00000000">
      <w:pPr>
        <w:pStyle w:val="a0"/>
        <w:spacing w:after="40" w:line="324" w:lineRule="auto"/>
        <w:rPr>
          <w:lang w:eastAsia="zh-CN"/>
        </w:rPr>
      </w:pPr>
      <w:r>
        <w:rPr>
          <w:color w:val="2B2B2B"/>
          <w:lang w:eastAsia="zh-CN"/>
        </w:rPr>
        <w:t>基础能力交付与专项后训练效果分开验收，避免将某个场景最终性能直接等同于模型/基础设施基础交付义务。</w:t>
      </w:r>
    </w:p>
    <w:p w14:paraId="1B333C2E" w14:textId="77777777" w:rsidR="002233A8" w:rsidRDefault="00000000">
      <w:pPr>
        <w:pStyle w:val="a0"/>
        <w:spacing w:after="40" w:line="324" w:lineRule="auto"/>
        <w:rPr>
          <w:lang w:eastAsia="zh-CN"/>
        </w:rPr>
      </w:pPr>
      <w:r>
        <w:rPr>
          <w:color w:val="2B2B2B"/>
          <w:lang w:eastAsia="zh-CN"/>
        </w:rPr>
        <w:t>私有化部署时，新增实例、迁移到其他主体或新的部署环境需另行确认。</w:t>
      </w:r>
    </w:p>
    <w:p w14:paraId="179875F3" w14:textId="77777777" w:rsidR="002233A8" w:rsidRDefault="00000000">
      <w:pPr>
        <w:pStyle w:val="a0"/>
        <w:spacing w:after="40" w:line="324" w:lineRule="auto"/>
        <w:rPr>
          <w:lang w:eastAsia="zh-CN"/>
        </w:rPr>
      </w:pPr>
      <w:r>
        <w:rPr>
          <w:color w:val="2B2B2B"/>
          <w:lang w:eastAsia="zh-CN"/>
        </w:rPr>
        <w:t>需要限制反向工程、破解、未经授权复制和脱离约定接口的独立二次开发。</w:t>
      </w:r>
    </w:p>
    <w:p w14:paraId="4EF19875" w14:textId="77777777" w:rsidR="002233A8" w:rsidRDefault="00000000">
      <w:pPr>
        <w:pStyle w:val="a0"/>
        <w:spacing w:after="40" w:line="324" w:lineRule="auto"/>
        <w:rPr>
          <w:lang w:eastAsia="zh-CN"/>
        </w:rPr>
      </w:pPr>
      <w:r>
        <w:rPr>
          <w:color w:val="2B2B2B"/>
          <w:lang w:eastAsia="zh-CN"/>
        </w:rPr>
        <w:t>“License/买断/云服务”中，“买断”当前暂按后训练基础设施相关商业模式理解，但具体是软件长期使用权、私有部署权还是包含硬件资产，仍未最终确认。</w:t>
      </w:r>
    </w:p>
    <w:p w14:paraId="2572AEA7" w14:textId="77777777" w:rsidR="002233A8" w:rsidRDefault="00000000">
      <w:pPr>
        <w:pStyle w:val="a0"/>
        <w:spacing w:after="40" w:line="324" w:lineRule="auto"/>
        <w:rPr>
          <w:lang w:eastAsia="zh-CN"/>
        </w:rPr>
      </w:pPr>
      <w:r>
        <w:rPr>
          <w:color w:val="2B2B2B"/>
          <w:lang w:eastAsia="zh-CN"/>
        </w:rPr>
        <w:t>专项模型适配、训练、调优、评测等可独立形成技术服务收入，不默认包含在基础授权费中。</w:t>
      </w:r>
    </w:p>
    <w:p w14:paraId="3BA2F098" w14:textId="77777777" w:rsidR="002233A8" w:rsidRDefault="00000000">
      <w:pPr>
        <w:pStyle w:val="a0"/>
        <w:spacing w:after="40" w:line="324" w:lineRule="auto"/>
        <w:rPr>
          <w:lang w:eastAsia="zh-CN"/>
        </w:rPr>
      </w:pPr>
      <w:r>
        <w:rPr>
          <w:color w:val="2B2B2B"/>
          <w:lang w:eastAsia="zh-CN"/>
        </w:rPr>
        <w:t>通用模型改进原则上归甲方；真正共同投入形成的专项后训练/场景适配成果按具体任务文件另行确认。</w:t>
      </w:r>
    </w:p>
    <w:p w14:paraId="74F4CC56" w14:textId="77777777" w:rsidR="002233A8" w:rsidRDefault="00000000">
      <w:pPr>
        <w:pStyle w:val="a0"/>
        <w:spacing w:after="40" w:line="324" w:lineRule="auto"/>
        <w:rPr>
          <w:lang w:eastAsia="zh-CN"/>
        </w:rPr>
      </w:pPr>
      <w:r>
        <w:rPr>
          <w:color w:val="2B2B2B"/>
          <w:lang w:eastAsia="zh-CN"/>
        </w:rPr>
        <w:t>数据进入后训练不改变其原有权利状态，继续依据第一份数据协议和具体项目文件。</w:t>
      </w:r>
    </w:p>
    <w:p w14:paraId="6E4FE644" w14:textId="77777777" w:rsidR="002233A8" w:rsidRDefault="00000000">
      <w:pPr>
        <w:pStyle w:val="a0"/>
        <w:spacing w:after="40" w:line="324" w:lineRule="auto"/>
        <w:rPr>
          <w:lang w:eastAsia="zh-CN"/>
        </w:rPr>
      </w:pPr>
      <w:r>
        <w:rPr>
          <w:color w:val="2B2B2B"/>
          <w:lang w:eastAsia="zh-CN"/>
        </w:rPr>
        <w:t>主协议终止不影响已经生效的授权和已购买服务周期，但升级、新功能、新服务不自动永久附随。</w:t>
      </w:r>
    </w:p>
    <w:p w14:paraId="0A41B59E" w14:textId="77777777" w:rsidR="002233A8" w:rsidRDefault="00000000">
      <w:pPr>
        <w:pStyle w:val="a0"/>
        <w:spacing w:after="40" w:line="324" w:lineRule="auto"/>
      </w:pPr>
      <w:r>
        <w:rPr>
          <w:color w:val="2B2B2B"/>
        </w:rPr>
        <w:t>协议期限已讨论为2年。</w:t>
      </w:r>
    </w:p>
    <w:p w14:paraId="523480A0" w14:textId="77777777" w:rsidR="002233A8" w:rsidRDefault="00000000">
      <w:pPr>
        <w:keepNext/>
        <w:pBdr>
          <w:left w:val="single" w:sz="20" w:space="6" w:color="5B9BD5"/>
        </w:pBdr>
        <w:spacing w:before="200" w:after="140" w:line="288" w:lineRule="auto"/>
        <w:rPr>
          <w:lang w:eastAsia="zh-CN"/>
        </w:rPr>
      </w:pPr>
      <w:r>
        <w:rPr>
          <w:b/>
          <w:color w:val="17365D"/>
          <w:sz w:val="34"/>
          <w:lang w:eastAsia="zh-CN"/>
        </w:rPr>
        <w:lastRenderedPageBreak/>
        <w:t>四、《应用场景联合开发与商业化专项合作协议》</w:t>
      </w:r>
    </w:p>
    <w:p w14:paraId="433760B4" w14:textId="77777777" w:rsidR="002233A8" w:rsidRDefault="00000000">
      <w:pPr>
        <w:keepNext/>
        <w:spacing w:after="140" w:line="240" w:lineRule="auto"/>
        <w:rPr>
          <w:lang w:eastAsia="zh-CN"/>
        </w:rPr>
      </w:pPr>
      <w:r>
        <w:rPr>
          <w:b/>
          <w:color w:val="5B9BD5"/>
          <w:lang w:eastAsia="zh-CN"/>
        </w:rPr>
        <w:t>场景验证、项目交付与商业复制版</w:t>
      </w:r>
    </w:p>
    <w:p w14:paraId="3E85A66B" w14:textId="77777777" w:rsidR="002233A8" w:rsidRDefault="00000000">
      <w:pPr>
        <w:keepNext/>
        <w:spacing w:before="140" w:after="80" w:line="288" w:lineRule="auto"/>
      </w:pPr>
      <w:r>
        <w:rPr>
          <w:b/>
          <w:color w:val="244A74"/>
          <w:sz w:val="25"/>
        </w:rPr>
        <w:t xml:space="preserve">1. </w:t>
      </w:r>
      <w:proofErr w:type="spellStart"/>
      <w:r>
        <w:rPr>
          <w:b/>
          <w:color w:val="244A74"/>
          <w:sz w:val="25"/>
        </w:rPr>
        <w:t>MOU原文</w:t>
      </w:r>
      <w:proofErr w:type="spellEnd"/>
    </w:p>
    <w:tbl>
      <w:tblPr>
        <w:tblW w:w="0" w:type="auto"/>
        <w:jc w:val="center"/>
        <w:tblLayout w:type="fixed"/>
        <w:tblLook w:val="04A0" w:firstRow="1" w:lastRow="0" w:firstColumn="1" w:lastColumn="0" w:noHBand="0" w:noVBand="1"/>
      </w:tblPr>
      <w:tblGrid>
        <w:gridCol w:w="8957"/>
      </w:tblGrid>
      <w:tr w:rsidR="002233A8" w14:paraId="591D19E5" w14:textId="77777777">
        <w:trPr>
          <w:jc w:val="center"/>
        </w:trPr>
        <w:tc>
          <w:tcPr>
            <w:tcW w:w="8957" w:type="dxa"/>
            <w:shd w:val="clear" w:color="auto" w:fill="F2F6FA"/>
            <w:tcMar>
              <w:top w:w="150" w:type="dxa"/>
              <w:left w:w="220" w:type="dxa"/>
              <w:bottom w:w="150" w:type="dxa"/>
              <w:right w:w="220" w:type="dxa"/>
            </w:tcMar>
          </w:tcPr>
          <w:p w14:paraId="284E2639" w14:textId="77777777" w:rsidR="002233A8" w:rsidRDefault="00000000">
            <w:pPr>
              <w:spacing w:after="80" w:line="288" w:lineRule="auto"/>
              <w:rPr>
                <w:lang w:eastAsia="zh-CN"/>
              </w:rPr>
            </w:pPr>
            <w:r>
              <w:rPr>
                <w:b/>
                <w:color w:val="5B6B7A"/>
                <w:sz w:val="19"/>
                <w:lang w:eastAsia="zh-CN"/>
              </w:rPr>
              <w:t xml:space="preserve">MOU原文  </w:t>
            </w:r>
            <w:r>
              <w:rPr>
                <w:color w:val="2E4053"/>
                <w:sz w:val="20"/>
                <w:lang w:eastAsia="zh-CN"/>
              </w:rPr>
              <w:t>应用场景：双方在文旅景区、现制餐饮、商业酒店、生物医药、检验检测、康养等关键场景联合打造最佳实践案例。甲方提供模型及手眼智能增量部件产品与训练部署基础设施，乙方提供系统集成、定制开发及配套自动化设备并投入研发共建，以乙方为支点进入四川及西部地区的具身智能市场，获取政府产业政策支持与场景资源。</w:t>
            </w:r>
          </w:p>
        </w:tc>
      </w:tr>
    </w:tbl>
    <w:p w14:paraId="4C774114" w14:textId="77777777" w:rsidR="002233A8" w:rsidRDefault="00000000">
      <w:pPr>
        <w:keepNext/>
        <w:spacing w:before="140" w:after="80" w:line="288" w:lineRule="auto"/>
        <w:rPr>
          <w:lang w:eastAsia="zh-CN"/>
        </w:rPr>
      </w:pPr>
      <w:r>
        <w:rPr>
          <w:b/>
          <w:color w:val="244A74"/>
          <w:sz w:val="25"/>
          <w:lang w:eastAsia="zh-CN"/>
        </w:rPr>
        <w:t>2. 解读后的整体思路</w:t>
      </w:r>
    </w:p>
    <w:p w14:paraId="160882C5" w14:textId="77777777" w:rsidR="002233A8" w:rsidRDefault="00000000">
      <w:pPr>
        <w:spacing w:after="100" w:line="348" w:lineRule="auto"/>
        <w:rPr>
          <w:lang w:eastAsia="zh-CN"/>
        </w:rPr>
      </w:pPr>
      <w:r>
        <w:rPr>
          <w:color w:val="222222"/>
          <w:sz w:val="20"/>
          <w:lang w:eastAsia="zh-CN"/>
        </w:rPr>
        <w:t>这份协议解决的是前面数据、模型、硬件能力如何组合成真正的客户项目。整体链路被定义为“机会发现—场景评估—场景验证—正式商业项目—交付验收—持续服务—最佳实践复制”。MOU列举的六类场景被理解为重点方向而不是封闭清单。协议本身不重复建立模型、数据和机器人硬件权利体系，而是通过引用其他专项协议实现协同。</w:t>
      </w:r>
    </w:p>
    <w:p w14:paraId="5F8D859F" w14:textId="77777777" w:rsidR="002233A8" w:rsidRDefault="00000000">
      <w:pPr>
        <w:keepNext/>
        <w:spacing w:before="140" w:after="80" w:line="288" w:lineRule="auto"/>
      </w:pPr>
      <w:r>
        <w:rPr>
          <w:b/>
          <w:color w:val="244A74"/>
          <w:sz w:val="25"/>
        </w:rPr>
        <w:t xml:space="preserve">3. </w:t>
      </w:r>
      <w:proofErr w:type="spellStart"/>
      <w:r>
        <w:rPr>
          <w:b/>
          <w:color w:val="244A74"/>
          <w:sz w:val="25"/>
        </w:rPr>
        <w:t>主要讨论重点</w:t>
      </w:r>
      <w:proofErr w:type="spellEnd"/>
    </w:p>
    <w:p w14:paraId="534C1E98" w14:textId="77777777" w:rsidR="002233A8" w:rsidRDefault="00000000">
      <w:pPr>
        <w:pStyle w:val="a0"/>
        <w:spacing w:after="40" w:line="324" w:lineRule="auto"/>
        <w:rPr>
          <w:lang w:eastAsia="zh-CN"/>
        </w:rPr>
      </w:pPr>
      <w:r>
        <w:rPr>
          <w:color w:val="2B2B2B"/>
          <w:lang w:eastAsia="zh-CN"/>
        </w:rPr>
        <w:t>双方均可提出客户和场景机会；是否进入联合验证或正式项目需共同评估。</w:t>
      </w:r>
    </w:p>
    <w:p w14:paraId="2A3E9466" w14:textId="77777777" w:rsidR="002233A8" w:rsidRDefault="00000000">
      <w:pPr>
        <w:pStyle w:val="a0"/>
        <w:spacing w:after="40" w:line="324" w:lineRule="auto"/>
        <w:rPr>
          <w:lang w:eastAsia="zh-CN"/>
        </w:rPr>
      </w:pPr>
      <w:r>
        <w:rPr>
          <w:color w:val="2B2B2B"/>
          <w:lang w:eastAsia="zh-CN"/>
        </w:rPr>
        <w:t>验证阶段原则上各自承担自身常规技术、人员和研发投入；新增第三方采购、专项设备、检测认证等较大费用应在发生前确认。</w:t>
      </w:r>
    </w:p>
    <w:p w14:paraId="3DCFC51A" w14:textId="77777777" w:rsidR="002233A8" w:rsidRDefault="00000000">
      <w:pPr>
        <w:pStyle w:val="a0"/>
        <w:spacing w:after="40" w:line="324" w:lineRule="auto"/>
        <w:rPr>
          <w:lang w:eastAsia="zh-CN"/>
        </w:rPr>
      </w:pPr>
      <w:r>
        <w:rPr>
          <w:color w:val="2B2B2B"/>
          <w:lang w:eastAsia="zh-CN"/>
        </w:rPr>
        <w:t>验证失败属于正常技术/商业风险，原则上各自承担投入；双方已明确继续推进后发生单方退出并造成不可合理消化的专项净损失，再协商。</w:t>
      </w:r>
    </w:p>
    <w:p w14:paraId="66C94B30" w14:textId="77777777" w:rsidR="002233A8" w:rsidRDefault="00000000">
      <w:pPr>
        <w:pStyle w:val="a0"/>
        <w:spacing w:after="40" w:line="324" w:lineRule="auto"/>
        <w:rPr>
          <w:lang w:eastAsia="zh-CN"/>
        </w:rPr>
      </w:pPr>
      <w:r>
        <w:rPr>
          <w:color w:val="2B2B2B"/>
          <w:lang w:eastAsia="zh-CN"/>
        </w:rPr>
        <w:t>验证成功后双方原则上优先继续共同商业化，但不构成绝对排他。</w:t>
      </w:r>
    </w:p>
    <w:p w14:paraId="53565AFC" w14:textId="77777777" w:rsidR="002233A8" w:rsidRDefault="00000000">
      <w:pPr>
        <w:pStyle w:val="a0"/>
        <w:spacing w:after="40" w:line="324" w:lineRule="auto"/>
        <w:rPr>
          <w:lang w:eastAsia="zh-CN"/>
        </w:rPr>
      </w:pPr>
      <w:r>
        <w:rPr>
          <w:color w:val="2B2B2B"/>
          <w:lang w:eastAsia="zh-CN"/>
        </w:rPr>
        <w:t>正式项目不预设固定牵头方和外部签约主体，可由甲方、乙方、联合投标或其他方式承接。</w:t>
      </w:r>
    </w:p>
    <w:p w14:paraId="32ED5AA0" w14:textId="77777777" w:rsidR="002233A8" w:rsidRDefault="00000000">
      <w:pPr>
        <w:pStyle w:val="a0"/>
        <w:spacing w:after="40" w:line="324" w:lineRule="auto"/>
        <w:rPr>
          <w:lang w:eastAsia="zh-CN"/>
        </w:rPr>
      </w:pPr>
      <w:r>
        <w:rPr>
          <w:color w:val="2B2B2B"/>
          <w:lang w:eastAsia="zh-CN"/>
        </w:rPr>
        <w:t>项目牵头方负责客户、计划、商务和整体验收协调，但不因此承担另一方自身产品和技术的专业交付责任。</w:t>
      </w:r>
    </w:p>
    <w:p w14:paraId="56BA873D" w14:textId="77777777" w:rsidR="002233A8" w:rsidRDefault="00000000">
      <w:pPr>
        <w:pStyle w:val="a0"/>
        <w:spacing w:after="40" w:line="324" w:lineRule="auto"/>
        <w:rPr>
          <w:lang w:eastAsia="zh-CN"/>
        </w:rPr>
      </w:pPr>
      <w:r>
        <w:rPr>
          <w:color w:val="2B2B2B"/>
          <w:lang w:eastAsia="zh-CN"/>
        </w:rPr>
        <w:t>不预设固定项目分润比例：先识别双方产品、技术、系统和服务的内部结算，再根据项目剩余收益空间确定是否另行分配。</w:t>
      </w:r>
    </w:p>
    <w:p w14:paraId="4CE30434" w14:textId="77777777" w:rsidR="002233A8" w:rsidRDefault="00000000">
      <w:pPr>
        <w:pStyle w:val="a0"/>
        <w:spacing w:after="40" w:line="324" w:lineRule="auto"/>
        <w:rPr>
          <w:lang w:eastAsia="zh-CN"/>
        </w:rPr>
      </w:pPr>
      <w:r>
        <w:rPr>
          <w:color w:val="2B2B2B"/>
          <w:lang w:eastAsia="zh-CN"/>
        </w:rPr>
        <w:t>客户延期付款/坏账风险不在主协议一刀切，建议每个商业项目单独约定客户付款条件、内部结算节点和坏账处理。</w:t>
      </w:r>
    </w:p>
    <w:p w14:paraId="3C251EF3" w14:textId="77777777" w:rsidR="002233A8" w:rsidRDefault="00000000">
      <w:pPr>
        <w:pStyle w:val="a0"/>
        <w:spacing w:after="40" w:line="324" w:lineRule="auto"/>
        <w:rPr>
          <w:lang w:eastAsia="zh-CN"/>
        </w:rPr>
      </w:pPr>
      <w:r>
        <w:rPr>
          <w:color w:val="2B2B2B"/>
          <w:lang w:eastAsia="zh-CN"/>
        </w:rPr>
        <w:t>采用“客户整体项目验收+双方内部专业交付确认”的两层验收机制。</w:t>
      </w:r>
    </w:p>
    <w:p w14:paraId="772124DE" w14:textId="77777777" w:rsidR="002233A8" w:rsidRDefault="00000000">
      <w:pPr>
        <w:pStyle w:val="a0"/>
        <w:spacing w:after="40" w:line="324" w:lineRule="auto"/>
        <w:rPr>
          <w:lang w:eastAsia="zh-CN"/>
        </w:rPr>
      </w:pPr>
      <w:r>
        <w:rPr>
          <w:color w:val="2B2B2B"/>
          <w:lang w:eastAsia="zh-CN"/>
        </w:rPr>
        <w:t>安全与合规按实际控制范围划分；食品、医疗、康养等特殊行业由具体项目进一步确认。</w:t>
      </w:r>
    </w:p>
    <w:p w14:paraId="4D905B9F" w14:textId="77777777" w:rsidR="002233A8" w:rsidRDefault="00000000">
      <w:pPr>
        <w:pStyle w:val="a0"/>
        <w:spacing w:after="40" w:line="324" w:lineRule="auto"/>
        <w:rPr>
          <w:lang w:eastAsia="zh-CN"/>
        </w:rPr>
      </w:pPr>
      <w:r>
        <w:rPr>
          <w:color w:val="2B2B2B"/>
          <w:lang w:eastAsia="zh-CN"/>
        </w:rPr>
        <w:t>四川及西部为重点协同市场，乙方积极协调政府、产业和场景资源，但不构成区域独家，也不保证审批、补贴或项目最终落地。</w:t>
      </w:r>
    </w:p>
    <w:p w14:paraId="3617D015" w14:textId="77777777" w:rsidR="002233A8" w:rsidRDefault="00000000">
      <w:pPr>
        <w:pStyle w:val="a0"/>
        <w:spacing w:after="40" w:line="324" w:lineRule="auto"/>
        <w:rPr>
          <w:lang w:eastAsia="zh-CN"/>
        </w:rPr>
      </w:pPr>
      <w:r>
        <w:rPr>
          <w:color w:val="2B2B2B"/>
          <w:lang w:eastAsia="zh-CN"/>
        </w:rPr>
        <w:t>成功案例可以标准化并复制，但不改变双方背景知识产权和各自独立成果归属。</w:t>
      </w:r>
    </w:p>
    <w:p w14:paraId="4A968FFE" w14:textId="77777777" w:rsidR="002233A8" w:rsidRDefault="00000000">
      <w:pPr>
        <w:pStyle w:val="a0"/>
        <w:spacing w:after="40" w:line="324" w:lineRule="auto"/>
        <w:rPr>
          <w:lang w:eastAsia="zh-CN"/>
        </w:rPr>
      </w:pPr>
      <w:r>
        <w:rPr>
          <w:color w:val="2B2B2B"/>
          <w:lang w:eastAsia="zh-CN"/>
        </w:rPr>
        <w:t>客户保护只针对正在共同推进的具体项目，不形成永久客户归属或广泛竞业限制。</w:t>
      </w:r>
    </w:p>
    <w:p w14:paraId="0D1EDF5D" w14:textId="77777777" w:rsidR="002233A8" w:rsidRDefault="00000000">
      <w:pPr>
        <w:pStyle w:val="a0"/>
        <w:spacing w:after="40" w:line="324" w:lineRule="auto"/>
        <w:rPr>
          <w:lang w:eastAsia="zh-CN"/>
        </w:rPr>
      </w:pPr>
      <w:r>
        <w:rPr>
          <w:color w:val="2B2B2B"/>
          <w:lang w:eastAsia="zh-CN"/>
        </w:rPr>
        <w:t>协议期限2年；提前终止3个月通知；已经启动的项目原则上按原文件继续。</w:t>
      </w:r>
    </w:p>
    <w:p w14:paraId="72799B50" w14:textId="5B171CD8" w:rsidR="002233A8" w:rsidRPr="00B975BF" w:rsidRDefault="00000000">
      <w:pPr>
        <w:keepNext/>
        <w:pBdr>
          <w:left w:val="single" w:sz="20" w:space="6" w:color="5B9BD5"/>
        </w:pBdr>
        <w:spacing w:before="200" w:after="140" w:line="288" w:lineRule="auto"/>
        <w:rPr>
          <w:rFonts w:ascii="宋体" w:eastAsia="宋体" w:hAnsi="宋体" w:cs="宋体" w:hint="eastAsia"/>
          <w:lang w:eastAsia="zh-CN"/>
        </w:rPr>
      </w:pPr>
      <w:r>
        <w:rPr>
          <w:b/>
          <w:color w:val="17365D"/>
          <w:sz w:val="34"/>
          <w:lang w:eastAsia="zh-CN"/>
        </w:rPr>
        <w:lastRenderedPageBreak/>
        <w:t>五、《硬件研发及产品合作专项协议》版本</w:t>
      </w:r>
      <w:r w:rsidR="00B975BF">
        <w:rPr>
          <w:rFonts w:ascii="宋体" w:eastAsia="宋体" w:hAnsi="宋体" w:cs="宋体" w:hint="eastAsia"/>
          <w:b/>
          <w:color w:val="17365D"/>
          <w:sz w:val="34"/>
          <w:lang w:eastAsia="zh-CN"/>
        </w:rPr>
        <w:t>（代工模式）</w:t>
      </w:r>
    </w:p>
    <w:p w14:paraId="3E4835F0" w14:textId="77777777" w:rsidR="002233A8" w:rsidRDefault="00000000">
      <w:pPr>
        <w:keepNext/>
        <w:spacing w:after="140" w:line="240" w:lineRule="auto"/>
        <w:rPr>
          <w:lang w:eastAsia="zh-CN"/>
        </w:rPr>
      </w:pPr>
      <w:r>
        <w:rPr>
          <w:b/>
          <w:color w:val="5B9BD5"/>
          <w:lang w:eastAsia="zh-CN"/>
        </w:rPr>
        <w:t>甲方品牌主导的定制研发制造版</w:t>
      </w:r>
    </w:p>
    <w:p w14:paraId="734A04FC" w14:textId="77777777" w:rsidR="002233A8" w:rsidRDefault="00000000">
      <w:pPr>
        <w:keepNext/>
        <w:spacing w:before="140" w:after="80" w:line="288" w:lineRule="auto"/>
      </w:pPr>
      <w:r>
        <w:rPr>
          <w:b/>
          <w:color w:val="244A74"/>
          <w:sz w:val="25"/>
        </w:rPr>
        <w:t xml:space="preserve">1. </w:t>
      </w:r>
      <w:proofErr w:type="spellStart"/>
      <w:r>
        <w:rPr>
          <w:b/>
          <w:color w:val="244A74"/>
          <w:sz w:val="25"/>
        </w:rPr>
        <w:t>MOU原文</w:t>
      </w:r>
      <w:proofErr w:type="spellEnd"/>
    </w:p>
    <w:tbl>
      <w:tblPr>
        <w:tblW w:w="0" w:type="auto"/>
        <w:jc w:val="center"/>
        <w:tblLayout w:type="fixed"/>
        <w:tblLook w:val="04A0" w:firstRow="1" w:lastRow="0" w:firstColumn="1" w:lastColumn="0" w:noHBand="0" w:noVBand="1"/>
      </w:tblPr>
      <w:tblGrid>
        <w:gridCol w:w="8957"/>
      </w:tblGrid>
      <w:tr w:rsidR="002233A8" w14:paraId="2CA8E665" w14:textId="77777777">
        <w:trPr>
          <w:jc w:val="center"/>
        </w:trPr>
        <w:tc>
          <w:tcPr>
            <w:tcW w:w="8957" w:type="dxa"/>
            <w:shd w:val="clear" w:color="auto" w:fill="F2F6FA"/>
            <w:tcMar>
              <w:top w:w="150" w:type="dxa"/>
              <w:left w:w="220" w:type="dxa"/>
              <w:bottom w:w="150" w:type="dxa"/>
              <w:right w:w="220" w:type="dxa"/>
            </w:tcMar>
          </w:tcPr>
          <w:p w14:paraId="79AE3EB7" w14:textId="77777777" w:rsidR="002233A8" w:rsidRDefault="00000000">
            <w:pPr>
              <w:spacing w:after="80" w:line="288" w:lineRule="auto"/>
              <w:rPr>
                <w:lang w:eastAsia="zh-CN"/>
              </w:rPr>
            </w:pPr>
            <w:r>
              <w:rPr>
                <w:b/>
                <w:color w:val="5B6B7A"/>
                <w:sz w:val="19"/>
                <w:lang w:eastAsia="zh-CN"/>
              </w:rPr>
              <w:t xml:space="preserve">MOU原文  </w:t>
            </w:r>
            <w:r>
              <w:rPr>
                <w:color w:val="2E4053"/>
                <w:sz w:val="20"/>
                <w:lang w:eastAsia="zh-CN"/>
              </w:rPr>
              <w:t>硬件合作：甲方提供机器人本体与灵巧手、相关零部件的定制需求及商业化订单，乙方支持按成本定制轮式双臂机器人及高自由度灵巧手，推进双方研发持续迭代，并根据输入需求及时间节点研判落地节奏。</w:t>
            </w:r>
          </w:p>
        </w:tc>
      </w:tr>
    </w:tbl>
    <w:p w14:paraId="669B8A87" w14:textId="77777777" w:rsidR="002233A8" w:rsidRDefault="00000000">
      <w:pPr>
        <w:keepNext/>
        <w:spacing w:before="140" w:after="80" w:line="288" w:lineRule="auto"/>
        <w:rPr>
          <w:lang w:eastAsia="zh-CN"/>
        </w:rPr>
      </w:pPr>
      <w:r>
        <w:rPr>
          <w:b/>
          <w:color w:val="244A74"/>
          <w:sz w:val="25"/>
          <w:lang w:eastAsia="zh-CN"/>
        </w:rPr>
        <w:t>2. 解读后的整体思路</w:t>
      </w:r>
    </w:p>
    <w:p w14:paraId="781E5513" w14:textId="77777777" w:rsidR="002233A8" w:rsidRDefault="00000000">
      <w:pPr>
        <w:spacing w:after="100" w:line="348" w:lineRule="auto"/>
        <w:rPr>
          <w:lang w:eastAsia="zh-CN"/>
        </w:rPr>
      </w:pPr>
      <w:r>
        <w:rPr>
          <w:color w:val="222222"/>
          <w:sz w:val="20"/>
          <w:lang w:eastAsia="zh-CN"/>
        </w:rPr>
        <w:t>版本一将MOU中的硬件合作进一步解释为类似新能源汽车产业中的“品牌方/产品定义方+定制研发制造方”关系。甲方负责产品定义、产品/工业设计、功能需求、智能能力、品牌建设、市场定位和对外销售；乙方负责硬件研发、工程化、样机、制造、质量、成本控制和持续供应。最终产品原则上以甲方为对外主品牌，乙方可在产品铭牌、说明书、包装等适当位置体现研发制造方或技术合作方标识。</w:t>
      </w:r>
    </w:p>
    <w:p w14:paraId="3EB2B9A8" w14:textId="77777777" w:rsidR="002233A8" w:rsidRDefault="00000000">
      <w:pPr>
        <w:keepNext/>
        <w:spacing w:before="140" w:after="80" w:line="288" w:lineRule="auto"/>
      </w:pPr>
      <w:r>
        <w:rPr>
          <w:b/>
          <w:color w:val="244A74"/>
          <w:sz w:val="25"/>
        </w:rPr>
        <w:t xml:space="preserve">3. </w:t>
      </w:r>
      <w:proofErr w:type="spellStart"/>
      <w:r>
        <w:rPr>
          <w:b/>
          <w:color w:val="244A74"/>
          <w:sz w:val="25"/>
        </w:rPr>
        <w:t>主要讨论重点</w:t>
      </w:r>
      <w:proofErr w:type="spellEnd"/>
    </w:p>
    <w:p w14:paraId="69893054" w14:textId="77777777" w:rsidR="002233A8" w:rsidRDefault="00000000">
      <w:pPr>
        <w:pStyle w:val="a0"/>
        <w:spacing w:after="40" w:line="324" w:lineRule="auto"/>
        <w:rPr>
          <w:lang w:eastAsia="zh-CN"/>
        </w:rPr>
      </w:pPr>
      <w:r>
        <w:rPr>
          <w:color w:val="2B2B2B"/>
          <w:lang w:eastAsia="zh-CN"/>
        </w:rPr>
        <w:t>甲方主导产品定位、功能、工业设计、品牌和市场要求；乙方负责工程实现和制造可行性。需求以双方确认的版本作为研发和验收边界。</w:t>
      </w:r>
    </w:p>
    <w:p w14:paraId="4F0FFF99" w14:textId="77777777" w:rsidR="002233A8" w:rsidRDefault="00000000">
      <w:pPr>
        <w:pStyle w:val="a0"/>
        <w:spacing w:after="40" w:line="324" w:lineRule="auto"/>
        <w:rPr>
          <w:lang w:eastAsia="zh-CN"/>
        </w:rPr>
      </w:pPr>
      <w:r>
        <w:rPr>
          <w:color w:val="2B2B2B"/>
          <w:lang w:eastAsia="zh-CN"/>
        </w:rPr>
        <w:t>乙方原则上承担前期硬件研发和工程化投入，通过后续制造供货收益回收；甲方不另行支付常规专项研发费。</w:t>
      </w:r>
    </w:p>
    <w:p w14:paraId="33CD7ECD" w14:textId="77777777" w:rsidR="002233A8" w:rsidRDefault="00000000">
      <w:pPr>
        <w:pStyle w:val="a0"/>
        <w:spacing w:after="40" w:line="324" w:lineRule="auto"/>
        <w:rPr>
          <w:lang w:eastAsia="zh-CN"/>
        </w:rPr>
      </w:pPr>
      <w:r>
        <w:rPr>
          <w:color w:val="2B2B2B"/>
          <w:lang w:eastAsia="zh-CN"/>
        </w:rPr>
        <w:t>甲方同时不承诺最低采购量，因此“乙方承担研发投入+甲方无最低采购+乙方对专项产品第三方销售受限制”是最重要的利益平衡组合。</w:t>
      </w:r>
    </w:p>
    <w:p w14:paraId="6D865FBA" w14:textId="77777777" w:rsidR="002233A8" w:rsidRDefault="00000000">
      <w:pPr>
        <w:pStyle w:val="a0"/>
        <w:spacing w:after="40" w:line="324" w:lineRule="auto"/>
        <w:rPr>
          <w:lang w:eastAsia="zh-CN"/>
        </w:rPr>
      </w:pPr>
      <w:r>
        <w:rPr>
          <w:color w:val="2B2B2B"/>
          <w:lang w:eastAsia="zh-CN"/>
        </w:rPr>
        <w:t>商业化定型后，与甲方模型/软件适配及核心性能有关的关键硬件、控制器、接口和传感架构进入冻结，乙方不能单方变更；普通制造和降本优化由乙方自行管理。</w:t>
      </w:r>
    </w:p>
    <w:p w14:paraId="571359EE" w14:textId="77777777" w:rsidR="002233A8" w:rsidRDefault="00000000">
      <w:pPr>
        <w:pStyle w:val="a0"/>
        <w:spacing w:after="40" w:line="324" w:lineRule="auto"/>
        <w:rPr>
          <w:lang w:eastAsia="zh-CN"/>
        </w:rPr>
      </w:pPr>
      <w:r>
        <w:rPr>
          <w:color w:val="2B2B2B"/>
          <w:lang w:eastAsia="zh-CN"/>
        </w:rPr>
        <w:t>“按成本定制”解释为“成本导向+合理研发制造收益+持续降本”，不是要求乙方零利润供货。</w:t>
      </w:r>
    </w:p>
    <w:p w14:paraId="1C6DE6F0" w14:textId="77777777" w:rsidR="002233A8" w:rsidRDefault="00000000">
      <w:pPr>
        <w:pStyle w:val="a0"/>
        <w:spacing w:after="40" w:line="324" w:lineRule="auto"/>
        <w:rPr>
          <w:lang w:eastAsia="zh-CN"/>
        </w:rPr>
      </w:pPr>
      <w:r>
        <w:rPr>
          <w:color w:val="2B2B2B"/>
          <w:lang w:eastAsia="zh-CN"/>
        </w:rPr>
        <w:t>甲方可了解影响价格的主要成本结构，但不介入乙方供应商合同、工资、通用供应链和内部生产组织。</w:t>
      </w:r>
    </w:p>
    <w:p w14:paraId="3F41591C" w14:textId="77777777" w:rsidR="002233A8" w:rsidRDefault="00000000">
      <w:pPr>
        <w:pStyle w:val="a0"/>
        <w:spacing w:after="40" w:line="324" w:lineRule="auto"/>
        <w:rPr>
          <w:lang w:eastAsia="zh-CN"/>
        </w:rPr>
      </w:pPr>
      <w:r>
        <w:rPr>
          <w:color w:val="2B2B2B"/>
          <w:lang w:eastAsia="zh-CN"/>
        </w:rPr>
        <w:t>乙方是主要/优先制造和供应方，但不是绝对独家。</w:t>
      </w:r>
    </w:p>
    <w:p w14:paraId="49044B6E" w14:textId="77777777" w:rsidR="002233A8" w:rsidRDefault="00000000">
      <w:pPr>
        <w:pStyle w:val="a0"/>
        <w:spacing w:after="40" w:line="324" w:lineRule="auto"/>
        <w:rPr>
          <w:lang w:eastAsia="zh-CN"/>
        </w:rPr>
      </w:pPr>
      <w:r>
        <w:rPr>
          <w:color w:val="2B2B2B"/>
          <w:lang w:eastAsia="zh-CN"/>
        </w:rPr>
        <w:t>乙方长期不能合理供货时，甲方可取得维持该专项产品继续生产所必要的专用资料并启用替代制造，但不取得乙方通用制造工艺和底层平台技术。</w:t>
      </w:r>
    </w:p>
    <w:p w14:paraId="44CEA702" w14:textId="77777777" w:rsidR="002233A8" w:rsidRDefault="00000000">
      <w:pPr>
        <w:pStyle w:val="a0"/>
        <w:spacing w:after="40" w:line="324" w:lineRule="auto"/>
        <w:rPr>
          <w:lang w:eastAsia="zh-CN"/>
        </w:rPr>
      </w:pPr>
      <w:r>
        <w:rPr>
          <w:color w:val="2B2B2B"/>
          <w:lang w:eastAsia="zh-CN"/>
        </w:rPr>
        <w:t>甲方主导产品名称、对外型号、品牌、渠道、终端价格和客户商务条件；乙方线索原则上进入甲方销售体系，特殊政府/集团/投标项目可另议。</w:t>
      </w:r>
    </w:p>
    <w:p w14:paraId="46E9CEB8" w14:textId="77777777" w:rsidR="002233A8" w:rsidRDefault="00000000">
      <w:pPr>
        <w:pStyle w:val="a0"/>
        <w:spacing w:after="40" w:line="324" w:lineRule="auto"/>
        <w:rPr>
          <w:lang w:eastAsia="zh-CN"/>
        </w:rPr>
      </w:pPr>
      <w:r>
        <w:rPr>
          <w:color w:val="2B2B2B"/>
          <w:lang w:eastAsia="zh-CN"/>
        </w:rPr>
        <w:t>乙方不得直接复制、换牌或以第三方品牌销售甲方专项产品，但不限制其利用通用技术开发明显不同产品。</w:t>
      </w:r>
    </w:p>
    <w:p w14:paraId="12AC3E44" w14:textId="77777777" w:rsidR="002233A8" w:rsidRDefault="00000000">
      <w:pPr>
        <w:pStyle w:val="a0"/>
        <w:spacing w:after="40" w:line="324" w:lineRule="auto"/>
        <w:rPr>
          <w:lang w:eastAsia="zh-CN"/>
        </w:rPr>
      </w:pPr>
      <w:r>
        <w:rPr>
          <w:color w:val="2B2B2B"/>
          <w:lang w:eastAsia="zh-CN"/>
        </w:rPr>
        <w:t>知识产权所有权与产品商业化权分开：底层硬件技术可归乙方，但甲方需要具备以自身品牌持续采购、集成和销售专项产品的充分商业权利。</w:t>
      </w:r>
    </w:p>
    <w:p w14:paraId="74DD6CE0" w14:textId="77777777" w:rsidR="002233A8" w:rsidRDefault="00000000">
      <w:pPr>
        <w:pStyle w:val="a0"/>
        <w:spacing w:after="40" w:line="324" w:lineRule="auto"/>
        <w:rPr>
          <w:lang w:eastAsia="zh-CN"/>
        </w:rPr>
      </w:pPr>
      <w:r>
        <w:rPr>
          <w:color w:val="2B2B2B"/>
          <w:lang w:eastAsia="zh-CN"/>
        </w:rPr>
        <w:t>硬件独立验收，不与最终场景整体项目验收绑定；基础硬件质保原则上12个月。</w:t>
      </w:r>
    </w:p>
    <w:p w14:paraId="6DA6B3B9" w14:textId="77777777" w:rsidR="002233A8" w:rsidRDefault="00000000">
      <w:pPr>
        <w:pStyle w:val="a0"/>
        <w:spacing w:after="40" w:line="324" w:lineRule="auto"/>
        <w:rPr>
          <w:lang w:eastAsia="zh-CN"/>
        </w:rPr>
      </w:pPr>
      <w:r>
        <w:rPr>
          <w:color w:val="2B2B2B"/>
          <w:lang w:eastAsia="zh-CN"/>
        </w:rPr>
        <w:t>甲方作为客户统一商务和售后入口，乙方提供硬件二线支持；批量问题和召回成本按软硬件实际原因分担。</w:t>
      </w:r>
    </w:p>
    <w:p w14:paraId="2F49C535" w14:textId="77777777" w:rsidR="002233A8" w:rsidRDefault="00000000">
      <w:pPr>
        <w:pStyle w:val="a0"/>
        <w:spacing w:after="40" w:line="324" w:lineRule="auto"/>
      </w:pPr>
      <w:r>
        <w:rPr>
          <w:color w:val="2B2B2B"/>
        </w:rPr>
        <w:t>协议期限3年。</w:t>
      </w:r>
    </w:p>
    <w:p w14:paraId="2D16CB3E" w14:textId="789E471D" w:rsidR="002233A8" w:rsidRPr="00B975BF" w:rsidRDefault="00000000">
      <w:pPr>
        <w:keepNext/>
        <w:pBdr>
          <w:left w:val="single" w:sz="20" w:space="6" w:color="5B9BD5"/>
        </w:pBdr>
        <w:spacing w:before="200" w:after="140" w:line="288" w:lineRule="auto"/>
        <w:rPr>
          <w:rFonts w:ascii="宋体" w:eastAsia="宋体" w:hAnsi="宋体" w:cs="宋体" w:hint="eastAsia"/>
          <w:lang w:eastAsia="zh-CN"/>
        </w:rPr>
      </w:pPr>
      <w:r>
        <w:rPr>
          <w:b/>
          <w:color w:val="17365D"/>
          <w:sz w:val="34"/>
          <w:lang w:eastAsia="zh-CN"/>
        </w:rPr>
        <w:lastRenderedPageBreak/>
        <w:t>六、《硬件研发及产品合作专项协议》版本</w:t>
      </w:r>
      <w:r w:rsidR="00B975BF">
        <w:rPr>
          <w:rFonts w:ascii="宋体" w:eastAsia="宋体" w:hAnsi="宋体" w:cs="宋体" w:hint="eastAsia"/>
          <w:b/>
          <w:color w:val="17365D"/>
          <w:sz w:val="34"/>
          <w:lang w:eastAsia="zh-CN"/>
        </w:rPr>
        <w:t>（双销售）</w:t>
      </w:r>
    </w:p>
    <w:p w14:paraId="5E7FC397" w14:textId="77777777" w:rsidR="002233A8" w:rsidRDefault="00000000">
      <w:pPr>
        <w:keepNext/>
        <w:spacing w:after="140" w:line="240" w:lineRule="auto"/>
        <w:rPr>
          <w:lang w:eastAsia="zh-CN"/>
        </w:rPr>
      </w:pPr>
      <w:r>
        <w:rPr>
          <w:b/>
          <w:color w:val="5B9BD5"/>
          <w:lang w:eastAsia="zh-CN"/>
        </w:rPr>
        <w:t>联合产品、双销售与单机智能能力授权版</w:t>
      </w:r>
    </w:p>
    <w:p w14:paraId="667F6F4A" w14:textId="77777777" w:rsidR="002233A8" w:rsidRDefault="00000000">
      <w:pPr>
        <w:keepNext/>
        <w:spacing w:before="140" w:after="80" w:line="288" w:lineRule="auto"/>
      </w:pPr>
      <w:r>
        <w:rPr>
          <w:b/>
          <w:color w:val="244A74"/>
          <w:sz w:val="25"/>
        </w:rPr>
        <w:t xml:space="preserve">1. </w:t>
      </w:r>
      <w:proofErr w:type="spellStart"/>
      <w:r>
        <w:rPr>
          <w:b/>
          <w:color w:val="244A74"/>
          <w:sz w:val="25"/>
        </w:rPr>
        <w:t>MOU原文</w:t>
      </w:r>
      <w:proofErr w:type="spellEnd"/>
    </w:p>
    <w:tbl>
      <w:tblPr>
        <w:tblW w:w="0" w:type="auto"/>
        <w:jc w:val="center"/>
        <w:tblLayout w:type="fixed"/>
        <w:tblLook w:val="04A0" w:firstRow="1" w:lastRow="0" w:firstColumn="1" w:lastColumn="0" w:noHBand="0" w:noVBand="1"/>
      </w:tblPr>
      <w:tblGrid>
        <w:gridCol w:w="8957"/>
      </w:tblGrid>
      <w:tr w:rsidR="002233A8" w14:paraId="638F7E71" w14:textId="77777777">
        <w:trPr>
          <w:jc w:val="center"/>
        </w:trPr>
        <w:tc>
          <w:tcPr>
            <w:tcW w:w="8957" w:type="dxa"/>
            <w:shd w:val="clear" w:color="auto" w:fill="F2F6FA"/>
            <w:tcMar>
              <w:top w:w="150" w:type="dxa"/>
              <w:left w:w="220" w:type="dxa"/>
              <w:bottom w:w="150" w:type="dxa"/>
              <w:right w:w="220" w:type="dxa"/>
            </w:tcMar>
          </w:tcPr>
          <w:p w14:paraId="41DD5841" w14:textId="77777777" w:rsidR="002233A8" w:rsidRDefault="00000000">
            <w:pPr>
              <w:spacing w:after="80" w:line="288" w:lineRule="auto"/>
              <w:rPr>
                <w:lang w:eastAsia="zh-CN"/>
              </w:rPr>
            </w:pPr>
            <w:r>
              <w:rPr>
                <w:b/>
                <w:color w:val="5B6B7A"/>
                <w:sz w:val="19"/>
                <w:lang w:eastAsia="zh-CN"/>
              </w:rPr>
              <w:t xml:space="preserve">MOU原文  </w:t>
            </w:r>
            <w:r>
              <w:rPr>
                <w:color w:val="2E4053"/>
                <w:sz w:val="20"/>
                <w:lang w:eastAsia="zh-CN"/>
              </w:rPr>
              <w:t>硬件合作：甲方提供机器人本体与灵巧手、相关零部件的定制需求及商业化订单，乙方支持按成本定制轮式双臂机器人及高自由度灵巧手，推进双方研发持续迭代，并根据输入需求及时间节点研判落地节奏。</w:t>
            </w:r>
          </w:p>
        </w:tc>
      </w:tr>
    </w:tbl>
    <w:p w14:paraId="12F2A42C" w14:textId="77777777" w:rsidR="002233A8" w:rsidRDefault="00000000">
      <w:pPr>
        <w:keepNext/>
        <w:spacing w:before="140" w:after="80" w:line="288" w:lineRule="auto"/>
        <w:rPr>
          <w:lang w:eastAsia="zh-CN"/>
        </w:rPr>
      </w:pPr>
      <w:r>
        <w:rPr>
          <w:b/>
          <w:color w:val="244A74"/>
          <w:sz w:val="25"/>
          <w:lang w:eastAsia="zh-CN"/>
        </w:rPr>
        <w:t>2. 解读后的整体思路</w:t>
      </w:r>
    </w:p>
    <w:p w14:paraId="0190EDC7" w14:textId="77777777" w:rsidR="002233A8" w:rsidRDefault="00000000">
      <w:pPr>
        <w:spacing w:after="100" w:line="348" w:lineRule="auto"/>
        <w:rPr>
          <w:lang w:eastAsia="zh-CN"/>
        </w:rPr>
      </w:pPr>
      <w:r>
        <w:rPr>
          <w:color w:val="222222"/>
          <w:sz w:val="20"/>
          <w:lang w:eastAsia="zh-CN"/>
        </w:rPr>
        <w:t>版本二与版本一并列，是另一套商业路线：甲方负责产品定义、工业设计、模型、算法、软件和智能能力；乙方负责硬件研发制造；双方共同定义联合产品品牌，并且双方均可对外销售。甲方销售时向乙方采购硬件；乙方销售时向甲方采购对应的“单机智能能力授权”，每台设备通过唯一序列号完成激活。License保护甲方智能能力价值，优先制造权和独立销售权保护乙方硬件研发制造价值。</w:t>
      </w:r>
    </w:p>
    <w:p w14:paraId="2FFE8AD7" w14:textId="77777777" w:rsidR="002233A8" w:rsidRDefault="00000000">
      <w:pPr>
        <w:keepNext/>
        <w:spacing w:before="140" w:after="80" w:line="288" w:lineRule="auto"/>
      </w:pPr>
      <w:r>
        <w:rPr>
          <w:b/>
          <w:color w:val="244A74"/>
          <w:sz w:val="25"/>
        </w:rPr>
        <w:t xml:space="preserve">3. </w:t>
      </w:r>
      <w:proofErr w:type="spellStart"/>
      <w:r>
        <w:rPr>
          <w:b/>
          <w:color w:val="244A74"/>
          <w:sz w:val="25"/>
        </w:rPr>
        <w:t>主要讨论重点</w:t>
      </w:r>
      <w:proofErr w:type="spellEnd"/>
    </w:p>
    <w:p w14:paraId="53211FA4" w14:textId="77777777" w:rsidR="002233A8" w:rsidRDefault="00000000">
      <w:pPr>
        <w:pStyle w:val="a0"/>
        <w:spacing w:after="40" w:line="324" w:lineRule="auto"/>
        <w:rPr>
          <w:lang w:eastAsia="zh-CN"/>
        </w:rPr>
      </w:pPr>
      <w:r>
        <w:rPr>
          <w:color w:val="2B2B2B"/>
          <w:lang w:eastAsia="zh-CN"/>
        </w:rPr>
        <w:t>单机智能能力授权采用“一机一授权/一机一激活”机制，与唯一设备序列号绑定。</w:t>
      </w:r>
    </w:p>
    <w:p w14:paraId="38C7AB23" w14:textId="77777777" w:rsidR="002233A8" w:rsidRDefault="00000000">
      <w:pPr>
        <w:pStyle w:val="a0"/>
        <w:spacing w:after="40" w:line="324" w:lineRule="auto"/>
        <w:rPr>
          <w:lang w:eastAsia="zh-CN"/>
        </w:rPr>
      </w:pPr>
      <w:r>
        <w:rPr>
          <w:color w:val="2B2B2B"/>
          <w:lang w:eastAsia="zh-CN"/>
        </w:rPr>
        <w:t>基础智能能力原则上一次激活、长期有效；新模型、高级功能、行业能力包、云服务和持续升级可作为新增收费能力。</w:t>
      </w:r>
    </w:p>
    <w:p w14:paraId="5EFD23B2" w14:textId="77777777" w:rsidR="002233A8" w:rsidRDefault="00000000">
      <w:pPr>
        <w:pStyle w:val="a0"/>
        <w:spacing w:after="40" w:line="324" w:lineRule="auto"/>
      </w:pPr>
      <w:proofErr w:type="spellStart"/>
      <w:r>
        <w:rPr>
          <w:color w:val="2B2B2B"/>
        </w:rPr>
        <w:t>乙方销售时应在对外交付</w:t>
      </w:r>
      <w:proofErr w:type="spellEnd"/>
      <w:r>
        <w:rPr>
          <w:color w:val="2B2B2B"/>
        </w:rPr>
        <w:t>/</w:t>
      </w:r>
      <w:proofErr w:type="spellStart"/>
      <w:r>
        <w:rPr>
          <w:color w:val="2B2B2B"/>
        </w:rPr>
        <w:t>启用前取得License；甲方自身销售无需向自己支付License，而是向乙方采购硬件</w:t>
      </w:r>
      <w:proofErr w:type="spellEnd"/>
      <w:r>
        <w:rPr>
          <w:color w:val="2B2B2B"/>
        </w:rPr>
        <w:t>。</w:t>
      </w:r>
    </w:p>
    <w:p w14:paraId="304F5688" w14:textId="77777777" w:rsidR="002233A8" w:rsidRDefault="00000000">
      <w:pPr>
        <w:pStyle w:val="a0"/>
        <w:spacing w:after="40" w:line="324" w:lineRule="auto"/>
        <w:rPr>
          <w:lang w:eastAsia="zh-CN"/>
        </w:rPr>
      </w:pPr>
      <w:r>
        <w:rPr>
          <w:color w:val="2B2B2B"/>
          <w:lang w:eastAsia="zh-CN"/>
        </w:rPr>
        <w:t>在乙方满足付款/授信、设备信息等授权条件后，甲方不得无合理理由拒绝或拖延激活，以平衡甲方技术控制权和乙方正常销售权。</w:t>
      </w:r>
    </w:p>
    <w:p w14:paraId="6EB76456" w14:textId="77777777" w:rsidR="002233A8" w:rsidRDefault="00000000">
      <w:pPr>
        <w:pStyle w:val="a0"/>
        <w:spacing w:after="40" w:line="324" w:lineRule="auto"/>
        <w:rPr>
          <w:lang w:eastAsia="zh-CN"/>
        </w:rPr>
      </w:pPr>
      <w:r>
        <w:rPr>
          <w:color w:val="2B2B2B"/>
          <w:lang w:eastAsia="zh-CN"/>
        </w:rPr>
        <w:t>建立“标准硬件供货价+标准License价”双向基础价格体系。</w:t>
      </w:r>
    </w:p>
    <w:p w14:paraId="0C913BA5" w14:textId="77777777" w:rsidR="002233A8" w:rsidRDefault="00000000">
      <w:pPr>
        <w:pStyle w:val="a0"/>
        <w:spacing w:after="40" w:line="324" w:lineRule="auto"/>
        <w:rPr>
          <w:lang w:eastAsia="zh-CN"/>
        </w:rPr>
      </w:pPr>
      <w:r>
        <w:rPr>
          <w:color w:val="2B2B2B"/>
          <w:lang w:eastAsia="zh-CN"/>
        </w:rPr>
        <w:t>日常销售拟采用统一终端价格、常规折扣和渠道价格体系，以避免甲乙双方互相低价冲击；该安排已明确列为最高优先级法务/商务审查项。</w:t>
      </w:r>
    </w:p>
    <w:p w14:paraId="3AA9DAEB" w14:textId="77777777" w:rsidR="002233A8" w:rsidRDefault="00000000">
      <w:pPr>
        <w:pStyle w:val="a0"/>
        <w:spacing w:after="40" w:line="324" w:lineRule="auto"/>
        <w:rPr>
          <w:lang w:eastAsia="zh-CN"/>
        </w:rPr>
      </w:pPr>
      <w:r>
        <w:rPr>
          <w:color w:val="2B2B2B"/>
          <w:lang w:eastAsia="zh-CN"/>
        </w:rPr>
        <w:t>客户项目实行报备：同一客户/同一项目原则上由先有效报备并持续推进的一方主导，另一方不进行竞争性报价。</w:t>
      </w:r>
    </w:p>
    <w:p w14:paraId="21404922" w14:textId="77777777" w:rsidR="002233A8" w:rsidRDefault="00000000">
      <w:pPr>
        <w:pStyle w:val="a0"/>
        <w:spacing w:after="40" w:line="324" w:lineRule="auto"/>
        <w:rPr>
          <w:lang w:eastAsia="zh-CN"/>
        </w:rPr>
      </w:pPr>
      <w:r>
        <w:rPr>
          <w:color w:val="2B2B2B"/>
          <w:lang w:eastAsia="zh-CN"/>
        </w:rPr>
        <w:t>普通独立销售不二次分利润：甲方销售支付硬件价后剩余收益归甲方；乙方销售支付License后剩余收益归乙方。</w:t>
      </w:r>
    </w:p>
    <w:p w14:paraId="3A425613" w14:textId="77777777" w:rsidR="002233A8" w:rsidRDefault="00000000">
      <w:pPr>
        <w:pStyle w:val="a0"/>
        <w:spacing w:after="40" w:line="324" w:lineRule="auto"/>
        <w:rPr>
          <w:lang w:eastAsia="zh-CN"/>
        </w:rPr>
      </w:pPr>
      <w:r>
        <w:rPr>
          <w:color w:val="2B2B2B"/>
          <w:lang w:eastAsia="zh-CN"/>
        </w:rPr>
        <w:t>双方履行自身正常软件、License、硬件、质保、故障处理等基础专业责任，不自动构成额外“联合商务贡献”。</w:t>
      </w:r>
    </w:p>
    <w:p w14:paraId="1DECDDA3" w14:textId="77777777" w:rsidR="002233A8" w:rsidRDefault="00000000">
      <w:pPr>
        <w:pStyle w:val="a0"/>
        <w:spacing w:after="40" w:line="324" w:lineRule="auto"/>
        <w:rPr>
          <w:lang w:eastAsia="zh-CN"/>
        </w:rPr>
      </w:pPr>
      <w:r>
        <w:rPr>
          <w:color w:val="2B2B2B"/>
          <w:lang w:eastAsia="zh-CN"/>
        </w:rPr>
        <w:t>重大联合商务项目可事前确认后突破日常价格锚点，对终端价格、硬件内部价、License价、双方专项投入和最终利益安排整体一事一议，不预设固定分成比例。</w:t>
      </w:r>
    </w:p>
    <w:p w14:paraId="22FF7BAD" w14:textId="77777777" w:rsidR="002233A8" w:rsidRDefault="00000000">
      <w:pPr>
        <w:pStyle w:val="a0"/>
        <w:spacing w:after="40" w:line="324" w:lineRule="auto"/>
        <w:rPr>
          <w:lang w:eastAsia="zh-CN"/>
        </w:rPr>
      </w:pPr>
      <w:r>
        <w:rPr>
          <w:color w:val="2B2B2B"/>
          <w:lang w:eastAsia="zh-CN"/>
        </w:rPr>
        <w:t>联合品牌由双方共同定义，但商标/品牌资产持有方式按具体产品确认，不默认共同共有。</w:t>
      </w:r>
    </w:p>
    <w:p w14:paraId="3E385DEF" w14:textId="77777777" w:rsidR="002233A8" w:rsidRDefault="00000000">
      <w:pPr>
        <w:pStyle w:val="a0"/>
        <w:spacing w:after="40" w:line="324" w:lineRule="auto"/>
        <w:rPr>
          <w:lang w:eastAsia="zh-CN"/>
        </w:rPr>
      </w:pPr>
      <w:r>
        <w:rPr>
          <w:color w:val="2B2B2B"/>
          <w:lang w:eastAsia="zh-CN"/>
        </w:rPr>
        <w:t>乙方不得通过删除甲方软件、替换其他智能系统、换牌或轻微改配置的方式绕过License销售实质相同合作产品；同时不限制乙方开发实质不同的其他机器人产品。</w:t>
      </w:r>
    </w:p>
    <w:p w14:paraId="13787B9C" w14:textId="77777777" w:rsidR="002233A8" w:rsidRDefault="00000000">
      <w:pPr>
        <w:pStyle w:val="a0"/>
        <w:spacing w:after="40" w:line="324" w:lineRule="auto"/>
        <w:rPr>
          <w:lang w:eastAsia="zh-CN"/>
        </w:rPr>
      </w:pPr>
      <w:r>
        <w:rPr>
          <w:color w:val="2B2B2B"/>
          <w:lang w:eastAsia="zh-CN"/>
        </w:rPr>
        <w:t>乙方为合作产品主要/优先制造方，但不是绝对独家；长期不能合理供应时可以启动替代制造。</w:t>
      </w:r>
    </w:p>
    <w:p w14:paraId="102AC4B9" w14:textId="77777777" w:rsidR="002233A8" w:rsidRDefault="00000000">
      <w:pPr>
        <w:pStyle w:val="a0"/>
        <w:spacing w:after="40" w:line="324" w:lineRule="auto"/>
        <w:rPr>
          <w:lang w:eastAsia="zh-CN"/>
        </w:rPr>
      </w:pPr>
      <w:r>
        <w:rPr>
          <w:color w:val="2B2B2B"/>
          <w:lang w:eastAsia="zh-CN"/>
        </w:rPr>
        <w:lastRenderedPageBreak/>
        <w:t>知识产权按来源拆分；“联合产品/共同品牌”不意味着底层技术全部共同共有；终端客户购买硬件不意味着取得甲方模型和软件所有权，只取得License使用权。</w:t>
      </w:r>
    </w:p>
    <w:p w14:paraId="53C9B7C3" w14:textId="77777777" w:rsidR="002233A8" w:rsidRDefault="00000000">
      <w:pPr>
        <w:pStyle w:val="a0"/>
        <w:spacing w:after="40" w:line="324" w:lineRule="auto"/>
        <w:rPr>
          <w:lang w:eastAsia="zh-CN"/>
        </w:rPr>
      </w:pPr>
      <w:r>
        <w:rPr>
          <w:color w:val="2B2B2B"/>
          <w:lang w:eastAsia="zh-CN"/>
        </w:rPr>
        <w:t>谁完成终端销售，谁原则上作为对应客户的一线商务和售后入口；另一方按软硬件专业分工提供二线支持。</w:t>
      </w:r>
    </w:p>
    <w:p w14:paraId="7C9B8369" w14:textId="77777777" w:rsidR="002233A8" w:rsidRDefault="00000000">
      <w:pPr>
        <w:pStyle w:val="a0"/>
        <w:spacing w:after="40" w:line="324" w:lineRule="auto"/>
        <w:rPr>
          <w:lang w:eastAsia="zh-CN"/>
        </w:rPr>
      </w:pPr>
      <w:r>
        <w:rPr>
          <w:color w:val="2B2B2B"/>
          <w:lang w:eastAsia="zh-CN"/>
        </w:rPr>
        <w:t>合作终止后“存量继续、新增原则停止”：已激活基础License继续有效，原则上不再新增联合品牌产品和新License，库存/在制品/已实质推进项目可设置过渡期。</w:t>
      </w:r>
    </w:p>
    <w:p w14:paraId="750D4F99" w14:textId="77777777" w:rsidR="002233A8" w:rsidRDefault="00000000">
      <w:pPr>
        <w:pStyle w:val="a0"/>
        <w:spacing w:after="40" w:line="324" w:lineRule="auto"/>
        <w:rPr>
          <w:lang w:eastAsia="zh-CN"/>
        </w:rPr>
      </w:pPr>
      <w:r>
        <w:rPr>
          <w:color w:val="2B2B2B"/>
          <w:lang w:eastAsia="zh-CN"/>
        </w:rPr>
        <w:t>采用四层文件体系：专项协议—联合产品项目确认书—价格及授权规则确认表—日常销售/重大联合商务项目文件。</w:t>
      </w:r>
    </w:p>
    <w:p w14:paraId="1AB3958C" w14:textId="77777777" w:rsidR="002233A8" w:rsidRDefault="00000000">
      <w:pPr>
        <w:pStyle w:val="a0"/>
        <w:spacing w:after="40" w:line="324" w:lineRule="auto"/>
      </w:pPr>
      <w:r>
        <w:rPr>
          <w:color w:val="2B2B2B"/>
        </w:rPr>
        <w:t>协议期限3年。</w:t>
      </w:r>
    </w:p>
    <w:p w14:paraId="1E27042C" w14:textId="77777777" w:rsidR="002E0B5F" w:rsidRDefault="002E0B5F">
      <w:pPr>
        <w:rPr>
          <w:lang w:eastAsia="zh-CN"/>
        </w:rPr>
      </w:pPr>
    </w:p>
    <w:sectPr w:rsidR="002E0B5F" w:rsidSect="00034616">
      <w:headerReference w:type="default" r:id="rId8"/>
      <w:footerReference w:type="default" r:id="rId9"/>
      <w:pgSz w:w="12240" w:h="15840"/>
      <w:pgMar w:top="1020" w:right="1304" w:bottom="1020" w:left="13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666462" w14:textId="77777777" w:rsidR="002E0B5F" w:rsidRDefault="002E0B5F">
      <w:pPr>
        <w:spacing w:after="0" w:line="240" w:lineRule="auto"/>
      </w:pPr>
      <w:r>
        <w:separator/>
      </w:r>
    </w:p>
  </w:endnote>
  <w:endnote w:type="continuationSeparator" w:id="0">
    <w:p w14:paraId="73619F0B" w14:textId="77777777" w:rsidR="002E0B5F" w:rsidRDefault="002E0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C06C7" w14:textId="72940108" w:rsidR="002233A8" w:rsidRDefault="002233A8">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63DA00" w14:textId="77777777" w:rsidR="002E0B5F" w:rsidRDefault="002E0B5F">
      <w:pPr>
        <w:spacing w:after="0" w:line="240" w:lineRule="auto"/>
      </w:pPr>
      <w:r>
        <w:separator/>
      </w:r>
    </w:p>
  </w:footnote>
  <w:footnote w:type="continuationSeparator" w:id="0">
    <w:p w14:paraId="300627FD" w14:textId="77777777" w:rsidR="002E0B5F" w:rsidRDefault="002E0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64039" w14:textId="6A6D7317" w:rsidR="002233A8" w:rsidRDefault="002233A8">
    <w:pPr>
      <w:pStyle w:val="a5"/>
      <w:jc w:val="righ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9283322">
    <w:abstractNumId w:val="8"/>
  </w:num>
  <w:num w:numId="2" w16cid:durableId="1944610236">
    <w:abstractNumId w:val="6"/>
  </w:num>
  <w:num w:numId="3" w16cid:durableId="1487240813">
    <w:abstractNumId w:val="5"/>
  </w:num>
  <w:num w:numId="4" w16cid:durableId="980227456">
    <w:abstractNumId w:val="4"/>
  </w:num>
  <w:num w:numId="5" w16cid:durableId="1887913912">
    <w:abstractNumId w:val="7"/>
  </w:num>
  <w:num w:numId="6" w16cid:durableId="1157841622">
    <w:abstractNumId w:val="3"/>
  </w:num>
  <w:num w:numId="7" w16cid:durableId="516044036">
    <w:abstractNumId w:val="2"/>
  </w:num>
  <w:num w:numId="8" w16cid:durableId="37244606">
    <w:abstractNumId w:val="1"/>
  </w:num>
  <w:num w:numId="9" w16cid:durableId="48833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810"/>
    <w:rsid w:val="0015074B"/>
    <w:rsid w:val="001963ED"/>
    <w:rsid w:val="002233A8"/>
    <w:rsid w:val="0029639D"/>
    <w:rsid w:val="002E0B5F"/>
    <w:rsid w:val="00326F90"/>
    <w:rsid w:val="00AA1D8D"/>
    <w:rsid w:val="00B47730"/>
    <w:rsid w:val="00B975BF"/>
    <w:rsid w:val="00CB0664"/>
    <w:rsid w:val="00DD36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E6493"/>
  <w14:defaultImageDpi w14:val="300"/>
  <w15:docId w15:val="{794544FE-F808-A546-BF36-6BD24BB2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0"/>
    </w:rPr>
  </w:style>
  <w:style w:type="paragraph" w:styleId="20">
    <w:name w:val="List Bullet 2"/>
    <w:basedOn w:val="a1"/>
    <w:uiPriority w:val="99"/>
    <w:unhideWhenUsed/>
    <w:rsid w:val="00326F90"/>
    <w:pPr>
      <w:numPr>
        <w:numId w:val="2"/>
      </w:numPr>
      <w:contextualSpacing/>
    </w:pPr>
    <w:rPr>
      <w:sz w:val="20"/>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 邹</cp:lastModifiedBy>
  <cp:revision>4</cp:revision>
  <dcterms:created xsi:type="dcterms:W3CDTF">2013-12-23T23:15:00Z</dcterms:created>
  <dcterms:modified xsi:type="dcterms:W3CDTF">2026-08-30T09:14:00Z</dcterms:modified>
  <cp:category/>
</cp:coreProperties>
</file>