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320" w:after="160"/>
      </w:pPr>
      <w:r>
        <w:rPr>
          <w:rFonts w:ascii="微软雅黑" w:hAnsi="微软雅黑" w:eastAsia="微软雅黑"/>
          <w:b/>
          <w:bCs/>
          <w:color w:val="1F4E79"/>
          <w:sz w:val="30"/>
          <w:szCs w:val="30"/>
        </w:rPr>
        <w:t>修订说明</w:t>
      </w:r>
    </w:p>
    <w:p>
      <w:pPr>
        <w:spacing w:after="120"/>
      </w:pPr>
      <w:r>
        <w:rPr>
          <w:rFonts w:ascii="微软雅黑" w:hAnsi="微软雅黑" w:eastAsia="微软雅黑"/>
          <w:sz w:val="21"/>
          <w:szCs w:val="21"/>
        </w:rPr>
        <w:t>主要改动之处如下：</w:t>
      </w:r>
    </w:p>
    <w:p>
      <w:pPr>
        <w:pStyle w:val="3"/>
        <w:spacing w:before="240" w:after="120"/>
      </w:pPr>
      <w:r>
        <w:rPr>
          <w:rFonts w:ascii="微软雅黑" w:hAnsi="微软雅黑" w:eastAsia="微软雅黑"/>
          <w:b/>
          <w:bCs/>
          <w:color w:val="2E74B5"/>
          <w:sz w:val="25"/>
          <w:szCs w:val="25"/>
        </w:rPr>
        <w:t>一、主体与文本修正</w:t>
      </w:r>
    </w:p>
    <w:p>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明确乙方主体：原稿乙方为【】空占位，本版明确为“长虹集团旗下具身智能/机器人业务主体（具体签约主体名称以签约时确认为准）”。</w:t>
      </w:r>
    </w:p>
    <w:p>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修正签署页甲乙方错位：原稿签署页误将乙方写为“睦灵科技（杭州）有限公司”，本版已改为甲方=睦灵科技（杭州）有限公司、乙方=长虹集团旗下主体。</w:t>
      </w:r>
    </w:p>
    <w:p>
      <w:pPr>
        <w:pStyle w:val="3"/>
        <w:spacing w:before="240" w:after="120"/>
      </w:pPr>
      <w:r>
        <w:rPr>
          <w:rFonts w:ascii="微软雅黑" w:hAnsi="微软雅黑" w:eastAsia="微软雅黑"/>
          <w:b/>
          <w:bCs/>
          <w:color w:val="2E74B5"/>
          <w:sz w:val="25"/>
          <w:szCs w:val="25"/>
        </w:rPr>
        <w:t>二、合作背景</w:t>
      </w:r>
    </w:p>
    <w:p>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原稿乙方描述为“【乙方名称】，是一家【乙方主营业务】公司”占位，本版补充乙方产业基础与资源（四川省级具身智能训练场、真实运营场景、硬件制造、系统集成与政府产业资源）。</w:t>
      </w:r>
    </w:p>
    <w:p>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补充双方2026年8月18日会晤共识及“双向甲乙方关系”合作定位。</w:t>
      </w:r>
    </w:p>
    <w:p>
      <w:pPr>
        <w:pStyle w:val="3"/>
        <w:spacing w:before="240" w:after="120"/>
      </w:pPr>
      <w:r>
        <w:rPr>
          <w:rFonts w:ascii="微软雅黑" w:hAnsi="微软雅黑" w:eastAsia="微软雅黑"/>
          <w:b/>
          <w:bCs/>
          <w:color w:val="2E74B5"/>
          <w:sz w:val="25"/>
          <w:szCs w:val="25"/>
        </w:rPr>
        <w:t>三、合作原则</w:t>
      </w:r>
    </w:p>
    <w:p>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新增“双向甲乙方关系”原则：甲方作为评测与数据采集服务的采购方、乙方作为服务提供方；同时乙方经甲方渠道采购</w:t>
      </w:r>
      <w:r>
        <w:rPr>
          <w:rFonts w:hint="eastAsia"/>
          <w:b w:val="0"/>
          <w:bCs w:val="0"/>
          <w:sz w:val="21"/>
          <w:szCs w:val="21"/>
          <w:lang w:eastAsia="zh-CN"/>
        </w:rPr>
        <w:t>机器人整机本体、零部件和模型集成服务</w:t>
      </w:r>
      <w:r>
        <w:rPr>
          <w:rFonts w:ascii="微软雅黑" w:hAnsi="微软雅黑" w:eastAsia="微软雅黑"/>
          <w:b w:val="0"/>
          <w:bCs w:val="0"/>
          <w:sz w:val="21"/>
          <w:szCs w:val="21"/>
        </w:rPr>
        <w:t>。双方各取所需、每笔合作均有明确对价与产出。</w:t>
      </w:r>
    </w:p>
    <w:p>
      <w:pPr>
        <w:pStyle w:val="3"/>
        <w:spacing w:before="240" w:after="120"/>
      </w:pPr>
      <w:r>
        <w:rPr>
          <w:rFonts w:ascii="微软雅黑" w:hAnsi="微软雅黑" w:eastAsia="微软雅黑"/>
          <w:b/>
          <w:bCs/>
          <w:color w:val="2E74B5"/>
          <w:sz w:val="25"/>
          <w:szCs w:val="25"/>
        </w:rPr>
        <w:t>四、合作内容</w:t>
      </w:r>
    </w:p>
    <w:p>
      <w:pPr>
        <w:spacing w:after="60" w:line="320" w:lineRule="auto"/>
        <w:ind w:left="400" w:hanging="300"/>
      </w:pPr>
      <w:r>
        <w:rPr>
          <w:rFonts w:ascii="微软雅黑" w:hAnsi="微软雅黑" w:eastAsia="微软雅黑"/>
          <w:b/>
          <w:bCs/>
          <w:color w:val="2E74B5"/>
          <w:sz w:val="21"/>
          <w:szCs w:val="21"/>
        </w:rPr>
        <w:t xml:space="preserve">6. </w:t>
      </w:r>
      <w:r>
        <w:rPr>
          <w:rFonts w:ascii="微软雅黑" w:hAnsi="微软雅黑" w:eastAsia="微软雅黑"/>
          <w:b w:val="0"/>
          <w:bCs w:val="0"/>
          <w:sz w:val="21"/>
          <w:szCs w:val="21"/>
        </w:rPr>
        <w:t>a) 训练场评测与数据采集：原稿为概括表述，本版明确出资采购关系（甲方采购评测与数据采集服务，乙方提供场地、人员与执行），新增联合开源数据集建设（开源范围与使用规范另行书面确认）、西部机房部署与端云交互评测探索、机器人硬件托管安排。</w:t>
      </w:r>
    </w:p>
    <w:p>
      <w:pPr>
        <w:spacing w:after="60" w:line="320" w:lineRule="auto"/>
        <w:ind w:left="400" w:hanging="300"/>
      </w:pPr>
      <w:r>
        <w:rPr>
          <w:rFonts w:ascii="微软雅黑" w:hAnsi="微软雅黑" w:eastAsia="微软雅黑"/>
          <w:b/>
          <w:bCs/>
          <w:color w:val="2E74B5"/>
          <w:sz w:val="21"/>
          <w:szCs w:val="21"/>
        </w:rPr>
        <w:t xml:space="preserve">7. </w:t>
      </w:r>
      <w:r>
        <w:rPr>
          <w:rFonts w:ascii="微软雅黑" w:hAnsi="微软雅黑" w:eastAsia="微软雅黑"/>
          <w:b w:val="0"/>
          <w:bCs w:val="0"/>
          <w:sz w:val="21"/>
          <w:szCs w:val="21"/>
        </w:rPr>
        <w:t>b) 无本体数采装置：合作方向不变，表述微调。</w:t>
      </w:r>
    </w:p>
    <w:p>
      <w:pPr>
        <w:spacing w:after="60" w:line="320" w:lineRule="auto"/>
        <w:ind w:left="400" w:hanging="300"/>
      </w:pPr>
      <w:r>
        <w:rPr>
          <w:rFonts w:ascii="微软雅黑" w:hAnsi="微软雅黑" w:eastAsia="微软雅黑"/>
          <w:b/>
          <w:bCs/>
          <w:color w:val="2E74B5"/>
          <w:sz w:val="21"/>
          <w:szCs w:val="21"/>
        </w:rPr>
        <w:t xml:space="preserve">8. </w:t>
      </w:r>
      <w:r>
        <w:rPr>
          <w:rFonts w:ascii="微软雅黑" w:hAnsi="微软雅黑" w:eastAsia="微软雅黑"/>
          <w:b w:val="0"/>
          <w:bCs w:val="0"/>
          <w:sz w:val="21"/>
          <w:szCs w:val="21"/>
        </w:rPr>
        <w:t>c) 基模后训练：补充甲方商业化基模不开源、以服务化形式（License/买断/云服务）授权，乙方后训练平台自用。</w:t>
      </w:r>
    </w:p>
    <w:p>
      <w:pPr>
        <w:spacing w:after="60" w:line="320" w:lineRule="auto"/>
        <w:ind w:left="400" w:hanging="300"/>
      </w:pPr>
      <w:r>
        <w:rPr>
          <w:rFonts w:ascii="微软雅黑" w:hAnsi="微软雅黑" w:eastAsia="微软雅黑"/>
          <w:b/>
          <w:bCs/>
          <w:color w:val="2E74B5"/>
          <w:sz w:val="21"/>
          <w:szCs w:val="21"/>
        </w:rPr>
        <w:t xml:space="preserve">9. </w:t>
      </w:r>
      <w:r>
        <w:rPr>
          <w:rFonts w:ascii="微软雅黑" w:hAnsi="微软雅黑" w:eastAsia="微软雅黑"/>
          <w:b w:val="0"/>
          <w:bCs w:val="0"/>
          <w:sz w:val="21"/>
          <w:szCs w:val="21"/>
        </w:rPr>
        <w:t>d) 应用场景：合作方向不变，表述微调。</w:t>
      </w:r>
    </w:p>
    <w:p>
      <w:pPr>
        <w:spacing w:after="60" w:line="320" w:lineRule="auto"/>
        <w:ind w:left="400" w:hanging="300"/>
      </w:pPr>
      <w:r>
        <w:rPr>
          <w:rFonts w:ascii="微软雅黑" w:hAnsi="微软雅黑" w:eastAsia="微软雅黑"/>
          <w:b/>
          <w:bCs/>
          <w:color w:val="2E74B5"/>
          <w:sz w:val="21"/>
          <w:szCs w:val="21"/>
        </w:rPr>
        <w:t xml:space="preserve">10. </w:t>
      </w:r>
      <w:r>
        <w:rPr>
          <w:rFonts w:ascii="微软雅黑" w:hAnsi="微软雅黑" w:eastAsia="微软雅黑"/>
          <w:b w:val="0"/>
          <w:bCs w:val="0"/>
          <w:sz w:val="21"/>
          <w:szCs w:val="21"/>
        </w:rPr>
        <w:t>e) 硬件合作：合作方向不变，表述微调。</w:t>
      </w:r>
    </w:p>
    <w:p>
      <w:pPr>
        <w:spacing w:after="60" w:line="320" w:lineRule="auto"/>
        <w:ind w:left="400" w:hanging="300"/>
      </w:pPr>
      <w:r>
        <w:rPr>
          <w:rFonts w:ascii="微软雅黑" w:hAnsi="微软雅黑" w:eastAsia="微软雅黑"/>
          <w:b/>
          <w:bCs/>
          <w:color w:val="2E74B5"/>
          <w:sz w:val="21"/>
          <w:szCs w:val="21"/>
        </w:rPr>
        <w:t xml:space="preserve">11. </w:t>
      </w:r>
      <w:r>
        <w:rPr>
          <w:rFonts w:ascii="微软雅黑" w:hAnsi="微软雅黑" w:eastAsia="微软雅黑"/>
          <w:b w:val="0"/>
          <w:bCs w:val="0"/>
          <w:sz w:val="21"/>
          <w:szCs w:val="21"/>
        </w:rPr>
        <w:t>f) 投融资合作：合作方向不变，明确探讨产业方战略投资与地方产业基金对接。</w:t>
      </w:r>
    </w:p>
    <w:p>
      <w:pPr>
        <w:spacing w:after="60" w:line="320" w:lineRule="auto"/>
        <w:ind w:left="400" w:hanging="300"/>
      </w:pPr>
      <w:r>
        <w:rPr>
          <w:rFonts w:ascii="微软雅黑" w:hAnsi="微软雅黑" w:eastAsia="微软雅黑"/>
          <w:b/>
          <w:bCs/>
          <w:color w:val="2E74B5"/>
          <w:sz w:val="21"/>
          <w:szCs w:val="21"/>
        </w:rPr>
        <w:t xml:space="preserve">12. </w:t>
      </w:r>
      <w:r>
        <w:rPr>
          <w:rFonts w:ascii="微软雅黑" w:hAnsi="微软雅黑" w:eastAsia="微软雅黑"/>
          <w:b w:val="0"/>
          <w:bCs w:val="0"/>
          <w:sz w:val="21"/>
          <w:szCs w:val="21"/>
        </w:rPr>
        <w:t>原稿第2、3条“【补充本次合同中甲方/乙方方的义务】”占位，本版合并为“双方具体义务与交付物由双方根据合作进展另行协商明确”。</w:t>
      </w:r>
    </w:p>
    <w:p>
      <w:pPr>
        <w:pStyle w:val="3"/>
        <w:spacing w:before="240" w:after="120"/>
      </w:pPr>
      <w:r>
        <w:rPr>
          <w:rFonts w:ascii="微软雅黑" w:hAnsi="微软雅黑" w:eastAsia="微软雅黑"/>
          <w:b/>
          <w:bCs/>
          <w:color w:val="2E74B5"/>
          <w:sz w:val="25"/>
          <w:szCs w:val="25"/>
        </w:rPr>
        <w:t>五、合作机制</w:t>
      </w:r>
    </w:p>
    <w:p>
      <w:pPr>
        <w:spacing w:after="60" w:line="320" w:lineRule="auto"/>
        <w:ind w:left="400" w:hanging="300"/>
      </w:pPr>
      <w:r>
        <w:rPr>
          <w:rFonts w:ascii="微软雅黑" w:hAnsi="微软雅黑" w:eastAsia="微软雅黑"/>
          <w:b/>
          <w:bCs/>
          <w:color w:val="2E74B5"/>
          <w:sz w:val="21"/>
          <w:szCs w:val="21"/>
        </w:rPr>
        <w:t xml:space="preserve">13. </w:t>
      </w:r>
      <w:r>
        <w:rPr>
          <w:rFonts w:ascii="微软雅黑" w:hAnsi="微软雅黑" w:eastAsia="微软雅黑"/>
          <w:b w:val="0"/>
          <w:bCs w:val="0"/>
          <w:sz w:val="21"/>
          <w:szCs w:val="21"/>
        </w:rPr>
        <w:t>补充联合项目组“事项落实到人、明确各专项负责人”，日常联络“甲方指定统一商务对接入口、负责分发各专项负责人”。</w:t>
      </w:r>
    </w:p>
    <w:p>
      <w:pPr>
        <w:pStyle w:val="3"/>
        <w:spacing w:before="240" w:after="120"/>
      </w:pPr>
      <w:r>
        <w:rPr>
          <w:rFonts w:ascii="微软雅黑" w:hAnsi="微软雅黑" w:eastAsia="微软雅黑"/>
          <w:b/>
          <w:bCs/>
          <w:color w:val="2E74B5"/>
          <w:sz w:val="25"/>
          <w:szCs w:val="25"/>
        </w:rPr>
        <w:t>六、保密约定及其它</w:t>
      </w:r>
    </w:p>
    <w:p>
      <w:pPr>
        <w:spacing w:after="60" w:line="320" w:lineRule="auto"/>
        <w:ind w:left="400" w:hanging="300"/>
      </w:pPr>
      <w:r>
        <w:rPr>
          <w:rFonts w:ascii="微软雅黑" w:hAnsi="微软雅黑" w:eastAsia="微软雅黑"/>
          <w:b/>
          <w:bCs/>
          <w:color w:val="2E74B5"/>
          <w:sz w:val="21"/>
          <w:szCs w:val="21"/>
        </w:rPr>
        <w:t xml:space="preserve">14. </w:t>
      </w:r>
      <w:r>
        <w:rPr>
          <w:rFonts w:ascii="微软雅黑" w:hAnsi="微软雅黑" w:eastAsia="微软雅黑"/>
          <w:b w:val="0"/>
          <w:bCs w:val="0"/>
          <w:sz w:val="21"/>
          <w:szCs w:val="21"/>
        </w:rPr>
        <w:t>原稿第1条冗长列举精简为概括性表述，其余保密条款保留。</w:t>
      </w:r>
    </w:p>
    <w:p>
      <w:pPr>
        <w:pStyle w:val="3"/>
        <w:spacing w:before="240" w:after="120"/>
      </w:pPr>
      <w:r>
        <w:rPr>
          <w:rFonts w:ascii="微软雅黑" w:hAnsi="微软雅黑" w:eastAsia="微软雅黑"/>
          <w:b/>
          <w:bCs/>
          <w:color w:val="2E74B5"/>
          <w:sz w:val="25"/>
          <w:szCs w:val="25"/>
        </w:rPr>
        <w:t>七、知识产权</w:t>
      </w:r>
    </w:p>
    <w:p>
      <w:pPr>
        <w:spacing w:after="60" w:line="320" w:lineRule="auto"/>
        <w:ind w:left="400" w:hanging="300"/>
      </w:pPr>
      <w:r>
        <w:rPr>
          <w:rFonts w:ascii="微软雅黑" w:hAnsi="微软雅黑" w:eastAsia="微软雅黑"/>
          <w:b/>
          <w:bCs/>
          <w:color w:val="2E74B5"/>
          <w:sz w:val="21"/>
          <w:szCs w:val="21"/>
        </w:rPr>
        <w:t xml:space="preserve">15. </w:t>
      </w:r>
      <w:r>
        <w:rPr>
          <w:rFonts w:ascii="微软雅黑" w:hAnsi="微软雅黑" w:eastAsia="微软雅黑"/>
          <w:b w:val="0"/>
          <w:bCs w:val="0"/>
          <w:sz w:val="21"/>
          <w:szCs w:val="21"/>
        </w:rPr>
        <w:t>原稿“联合开发(1)(2)”细化条款合并为原则性约定（知识产权归属与商业收益分配以具体项目合作协议为准）。</w:t>
      </w:r>
    </w:p>
    <w:p>
      <w:pPr>
        <w:spacing w:after="60" w:line="320" w:lineRule="auto"/>
        <w:ind w:left="400" w:hanging="300"/>
      </w:pPr>
      <w:r>
        <w:rPr>
          <w:rFonts w:ascii="微软雅黑" w:hAnsi="微软雅黑" w:eastAsia="微软雅黑"/>
          <w:b/>
          <w:bCs/>
          <w:color w:val="2E74B5"/>
          <w:sz w:val="21"/>
          <w:szCs w:val="21"/>
        </w:rPr>
        <w:t xml:space="preserve">16. </w:t>
      </w:r>
      <w:r>
        <w:rPr>
          <w:rFonts w:ascii="微软雅黑" w:hAnsi="微软雅黑" w:eastAsia="微软雅黑"/>
          <w:b w:val="0"/>
          <w:bCs w:val="0"/>
          <w:sz w:val="21"/>
          <w:szCs w:val="21"/>
        </w:rPr>
        <w:t>新增“开源数据与开源模型”条款：联合开源范围与使用规范另行书面确认，商业化基模不参与开源、以服务化形式授权使用。</w:t>
      </w:r>
    </w:p>
    <w:p>
      <w:pPr>
        <w:spacing w:after="60" w:line="320" w:lineRule="auto"/>
        <w:ind w:left="400" w:hanging="300"/>
      </w:pPr>
      <w:r>
        <w:rPr>
          <w:rFonts w:ascii="微软雅黑" w:hAnsi="微软雅黑" w:eastAsia="微软雅黑"/>
          <w:b/>
          <w:bCs/>
          <w:color w:val="2E74B5"/>
          <w:sz w:val="21"/>
          <w:szCs w:val="21"/>
        </w:rPr>
        <w:t xml:space="preserve">17. </w:t>
      </w:r>
      <w:r>
        <w:rPr>
          <w:rFonts w:ascii="微软雅黑" w:hAnsi="微软雅黑" w:eastAsia="微软雅黑"/>
          <w:b w:val="0"/>
          <w:bCs w:val="0"/>
          <w:sz w:val="21"/>
          <w:szCs w:val="21"/>
        </w:rPr>
        <w:t>新增“联合采集的数据”条款：甲方拥有用于模型训练和算法迭代的完整使用权，商业化权益分配以具体项目协议为准。</w:t>
      </w:r>
    </w:p>
    <w:p>
      <w:pPr>
        <w:pStyle w:val="3"/>
        <w:spacing w:before="240" w:after="120"/>
      </w:pPr>
      <w:r>
        <w:rPr>
          <w:rFonts w:ascii="微软雅黑" w:hAnsi="微软雅黑" w:eastAsia="微软雅黑"/>
          <w:b/>
          <w:bCs/>
          <w:color w:val="2E74B5"/>
          <w:sz w:val="25"/>
          <w:szCs w:val="25"/>
        </w:rPr>
        <w:t>八、文档定位</w:t>
      </w:r>
    </w:p>
    <w:p>
      <w:pPr>
        <w:spacing w:after="60" w:line="320" w:lineRule="auto"/>
        <w:ind w:left="400" w:hanging="300"/>
      </w:pPr>
      <w:r>
        <w:rPr>
          <w:rFonts w:ascii="微软雅黑" w:hAnsi="微软雅黑" w:eastAsia="微软雅黑"/>
          <w:b/>
          <w:bCs/>
          <w:color w:val="2E74B5"/>
          <w:sz w:val="21"/>
          <w:szCs w:val="21"/>
        </w:rPr>
        <w:t xml:space="preserve">18. </w:t>
      </w:r>
      <w:r>
        <w:rPr>
          <w:rFonts w:ascii="微软雅黑" w:hAnsi="微软雅黑" w:eastAsia="微软雅黑"/>
          <w:b w:val="0"/>
          <w:bCs w:val="0"/>
          <w:sz w:val="21"/>
          <w:szCs w:val="21"/>
        </w:rPr>
        <w:t>本版按合作意向框架深度精简，删除具体业务指标、金额与时间节点，原稿中的占位业务细节不再展开；具体方案、指标与商务条件由双方“一事一议”另行签订详细协议。</w:t>
      </w:r>
    </w:p>
    <w:p>
      <w:pPr>
        <w:spacing w:after="60"/>
      </w:pPr>
    </w:p>
    <w:p>
      <w:pPr>
        <w:rPr>
          <w:rFonts w:ascii="微软雅黑" w:hAnsi="微软雅黑" w:eastAsia="微软雅黑"/>
          <w:b/>
          <w:bCs/>
          <w:color w:val="1F4E79"/>
          <w:sz w:val="30"/>
          <w:szCs w:val="30"/>
        </w:rPr>
      </w:pPr>
      <w:r>
        <w:rPr>
          <w:rFonts w:ascii="微软雅黑" w:hAnsi="微软雅黑" w:eastAsia="微软雅黑"/>
          <w:b/>
          <w:bCs/>
          <w:color w:val="1F4E79"/>
          <w:sz w:val="30"/>
          <w:szCs w:val="30"/>
        </w:rPr>
        <w:br w:type="page"/>
      </w:r>
    </w:p>
    <w:p>
      <w:pPr>
        <w:pStyle w:val="2"/>
        <w:spacing w:before="320" w:after="160"/>
        <w:jc w:val="center"/>
      </w:pPr>
      <w:r>
        <w:rPr>
          <w:rFonts w:ascii="微软雅黑" w:hAnsi="微软雅黑" w:eastAsia="微软雅黑"/>
          <w:b/>
          <w:bCs/>
          <w:color w:val="1F4E79"/>
          <w:sz w:val="30"/>
          <w:szCs w:val="30"/>
        </w:rPr>
        <w:t>战略合作框架协议</w:t>
      </w:r>
    </w:p>
    <w:p>
      <w:pPr>
        <w:spacing w:after="60" w:line="320" w:lineRule="auto"/>
      </w:pPr>
      <w:r>
        <w:rPr>
          <w:rFonts w:ascii="微软雅黑" w:hAnsi="微软雅黑" w:eastAsia="微软雅黑"/>
          <w:sz w:val="21"/>
          <w:szCs w:val="21"/>
        </w:rPr>
        <w:t>合同编号：【】</w:t>
      </w:r>
    </w:p>
    <w:p>
      <w:pPr>
        <w:spacing w:after="60" w:line="320" w:lineRule="auto"/>
      </w:pPr>
      <w:r>
        <w:rPr>
          <w:rFonts w:ascii="微软雅黑" w:hAnsi="微软雅黑" w:eastAsia="微软雅黑"/>
          <w:sz w:val="21"/>
          <w:szCs w:val="21"/>
        </w:rPr>
        <w:t>签约时间：【】</w:t>
      </w:r>
    </w:p>
    <w:p>
      <w:pPr>
        <w:spacing w:after="120" w:line="320" w:lineRule="auto"/>
      </w:pPr>
      <w:r>
        <w:rPr>
          <w:rFonts w:ascii="微软雅黑" w:hAnsi="微软雅黑" w:eastAsia="微软雅黑"/>
          <w:sz w:val="21"/>
          <w:szCs w:val="21"/>
        </w:rPr>
        <w:t>签约地点：【】</w:t>
      </w:r>
    </w:p>
    <w:p>
      <w:pPr>
        <w:spacing w:after="60" w:line="320" w:lineRule="auto"/>
      </w:pPr>
      <w:r>
        <w:rPr>
          <w:rFonts w:ascii="微软雅黑" w:hAnsi="微软雅黑" w:eastAsia="微软雅黑"/>
          <w:b/>
          <w:bCs/>
          <w:sz w:val="21"/>
          <w:szCs w:val="21"/>
        </w:rPr>
        <w:t>甲方：</w:t>
      </w:r>
      <w:r>
        <w:rPr>
          <w:rFonts w:ascii="微软雅黑" w:hAnsi="微软雅黑" w:eastAsia="微软雅黑"/>
          <w:sz w:val="21"/>
          <w:szCs w:val="21"/>
        </w:rPr>
        <w:t>睦灵科技（杭州）有限公司</w:t>
      </w:r>
    </w:p>
    <w:p>
      <w:pPr>
        <w:spacing w:after="60" w:line="320" w:lineRule="auto"/>
      </w:pPr>
      <w:r>
        <w:rPr>
          <w:rFonts w:ascii="微软雅黑" w:hAnsi="微软雅黑" w:eastAsia="微软雅黑"/>
          <w:b/>
          <w:bCs/>
          <w:sz w:val="21"/>
          <w:szCs w:val="21"/>
        </w:rPr>
        <w:t>地址：</w:t>
      </w:r>
      <w:r>
        <w:rPr>
          <w:rFonts w:ascii="微软雅黑" w:hAnsi="微软雅黑" w:eastAsia="微软雅黑"/>
          <w:sz w:val="21"/>
          <w:szCs w:val="21"/>
        </w:rPr>
        <w:t>浙江省杭州市余杭区良渚街道古墩路1818号尚亿中心3幢二层C区514室</w:t>
      </w:r>
    </w:p>
    <w:p>
      <w:pPr>
        <w:spacing w:after="60" w:line="320" w:lineRule="auto"/>
      </w:pPr>
      <w:r>
        <w:rPr>
          <w:rFonts w:ascii="微软雅黑" w:hAnsi="微软雅黑" w:eastAsia="微软雅黑"/>
          <w:b/>
          <w:bCs/>
          <w:sz w:val="21"/>
          <w:szCs w:val="21"/>
        </w:rPr>
        <w:t>乙方：</w:t>
      </w:r>
      <w:r>
        <w:rPr>
          <w:rFonts w:ascii="微软雅黑" w:hAnsi="微软雅黑" w:eastAsia="微软雅黑"/>
          <w:sz w:val="21"/>
          <w:szCs w:val="21"/>
        </w:rPr>
        <w:t>【长虹集团旗下具身智能/机器人业务主体（具体签约主体名称以签约时确认为准）】</w:t>
      </w:r>
    </w:p>
    <w:p>
      <w:pPr>
        <w:spacing w:after="200" w:line="320" w:lineRule="auto"/>
      </w:pPr>
      <w:r>
        <w:rPr>
          <w:rFonts w:ascii="微软雅黑" w:hAnsi="微软雅黑" w:eastAsia="微软雅黑"/>
          <w:b/>
          <w:bCs/>
          <w:sz w:val="21"/>
          <w:szCs w:val="21"/>
        </w:rPr>
        <w:t>地址：</w:t>
      </w:r>
      <w:r>
        <w:rPr>
          <w:rFonts w:ascii="微软雅黑" w:hAnsi="微软雅黑" w:eastAsia="微软雅黑"/>
          <w:sz w:val="21"/>
          <w:szCs w:val="21"/>
        </w:rPr>
        <w:t>【】</w:t>
      </w:r>
    </w:p>
    <w:p>
      <w:pPr>
        <w:pStyle w:val="2"/>
        <w:spacing w:before="320" w:after="160"/>
      </w:pPr>
      <w:r>
        <w:rPr>
          <w:rFonts w:ascii="微软雅黑" w:hAnsi="微软雅黑" w:eastAsia="微软雅黑"/>
          <w:b/>
          <w:bCs/>
          <w:color w:val="1F4E79"/>
          <w:sz w:val="30"/>
          <w:szCs w:val="30"/>
        </w:rPr>
        <w:t>一、合作背景</w:t>
      </w:r>
    </w:p>
    <w:p>
      <w:pPr>
        <w:spacing w:after="120" w:line="340" w:lineRule="auto"/>
      </w:pPr>
      <w:r>
        <w:rPr>
          <w:rFonts w:ascii="微软雅黑" w:hAnsi="微软雅黑" w:eastAsia="微软雅黑"/>
          <w:sz w:val="21"/>
          <w:szCs w:val="21"/>
        </w:rPr>
        <w:t>甲方睦灵科技（杭州）有限公司（以下简称“甲方”），主营具身智能模型与具身机器人产品的研发和销售，在灵巧操作领域具备跨本体模型大脑与手眼脑协同技术能力。</w:t>
      </w:r>
    </w:p>
    <w:p>
      <w:pPr>
        <w:spacing w:after="120" w:line="340" w:lineRule="auto"/>
      </w:pPr>
      <w:r>
        <w:rPr>
          <w:rFonts w:ascii="微软雅黑" w:hAnsi="微软雅黑" w:eastAsia="微软雅黑"/>
          <w:sz w:val="21"/>
          <w:szCs w:val="21"/>
        </w:rPr>
        <w:t>乙方为长虹集团旗下具身智能/机器人业务主体（以下简称“乙方”），依托长虹在家电与智能制造领域的产业基础，拥有四川省级具身智能训练场及酒店、文旅、养老等真实运营场景，具备硬件制造、系统集成与政府产业资源。</w:t>
      </w:r>
    </w:p>
    <w:p>
      <w:pPr>
        <w:spacing w:after="120" w:line="340" w:lineRule="auto"/>
      </w:pPr>
      <w:r>
        <w:rPr>
          <w:rFonts w:ascii="微软雅黑" w:hAnsi="微软雅黑" w:eastAsia="微软雅黑"/>
          <w:sz w:val="21"/>
          <w:szCs w:val="21"/>
        </w:rPr>
        <w:t>2026年8月18日，双方团队就战略合作事项进行会晤，就训练场评测与数据采集、无本体数采装置、基模后训练、应用场景、硬件合作、投融资合作等方向达成初步共识，同意按“双向甲乙方关系”建立战略合作。</w:t>
      </w:r>
    </w:p>
    <w:p>
      <w:pPr>
        <w:spacing w:after="120" w:line="340" w:lineRule="auto"/>
      </w:pPr>
      <w:r>
        <w:rPr>
          <w:rFonts w:ascii="微软雅黑" w:hAnsi="微软雅黑" w:eastAsia="微软雅黑"/>
          <w:sz w:val="21"/>
          <w:szCs w:val="21"/>
        </w:rPr>
        <w:t>双方本着平等互利、优势互补的原则，就建立战略合作关系达成如下共识：</w:t>
      </w:r>
    </w:p>
    <w:p>
      <w:pPr>
        <w:pStyle w:val="2"/>
        <w:spacing w:before="320" w:after="160"/>
      </w:pPr>
      <w:r>
        <w:rPr>
          <w:rFonts w:ascii="微软雅黑" w:hAnsi="微软雅黑" w:eastAsia="微软雅黑"/>
          <w:b/>
          <w:bCs/>
          <w:color w:val="1F4E79"/>
          <w:sz w:val="30"/>
          <w:szCs w:val="30"/>
        </w:rPr>
        <w:t>二、合作原则</w:t>
      </w:r>
    </w:p>
    <w:p>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自愿、互信、互利共赢、相互促进、共同发展。</w:t>
      </w:r>
    </w:p>
    <w:p>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双方将对方作为机器人</w:t>
      </w:r>
      <w:r>
        <w:rPr>
          <w:rFonts w:hint="eastAsia"/>
          <w:b w:val="0"/>
          <w:bCs w:val="0"/>
          <w:sz w:val="21"/>
          <w:szCs w:val="21"/>
          <w:lang w:val="en-US" w:eastAsia="zh-CN"/>
        </w:rPr>
        <w:t>及</w:t>
      </w:r>
      <w:r>
        <w:rPr>
          <w:rFonts w:ascii="微软雅黑" w:hAnsi="微软雅黑" w:eastAsia="微软雅黑"/>
          <w:b w:val="0"/>
          <w:bCs w:val="0"/>
          <w:sz w:val="21"/>
          <w:szCs w:val="21"/>
        </w:rPr>
        <w:t>具身智能领域的关键战略合作伙伴，在数据采集、训练、评测、产品</w:t>
      </w:r>
      <w:r>
        <w:rPr>
          <w:rFonts w:hint="eastAsia"/>
          <w:b w:val="0"/>
          <w:bCs w:val="0"/>
          <w:sz w:val="21"/>
          <w:szCs w:val="21"/>
          <w:lang w:eastAsia="zh-CN"/>
        </w:rPr>
        <w:t>、</w:t>
      </w:r>
      <w:r>
        <w:rPr>
          <w:rFonts w:hint="eastAsia"/>
          <w:b w:val="0"/>
          <w:bCs w:val="0"/>
          <w:sz w:val="21"/>
          <w:szCs w:val="21"/>
          <w:lang w:val="en-US" w:eastAsia="zh-CN"/>
        </w:rPr>
        <w:t>场景落地</w:t>
      </w:r>
      <w:r>
        <w:rPr>
          <w:rFonts w:ascii="微软雅黑" w:hAnsi="微软雅黑" w:eastAsia="微软雅黑"/>
          <w:b w:val="0"/>
          <w:bCs w:val="0"/>
          <w:sz w:val="21"/>
          <w:szCs w:val="21"/>
        </w:rPr>
        <w:t>与市场拓展等方面优先合作。</w:t>
      </w:r>
    </w:p>
    <w:p>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highlight w:val="yellow"/>
        </w:rPr>
        <w:t>双方互为甲乙方：甲方作为评测与数据采集服务的采购方，乙方作为服务提供方；同时乙方经甲方渠道采购</w:t>
      </w:r>
      <w:r>
        <w:rPr>
          <w:rFonts w:hint="eastAsia"/>
          <w:b w:val="0"/>
          <w:bCs w:val="0"/>
          <w:sz w:val="21"/>
          <w:szCs w:val="21"/>
          <w:highlight w:val="yellow"/>
          <w:lang w:eastAsia="zh-CN"/>
        </w:rPr>
        <w:t>机器人整机本体、零部件和模型集成服务</w:t>
      </w:r>
      <w:r>
        <w:rPr>
          <w:rFonts w:ascii="微软雅黑" w:hAnsi="微软雅黑" w:eastAsia="微软雅黑"/>
          <w:b w:val="0"/>
          <w:bCs w:val="0"/>
          <w:sz w:val="21"/>
          <w:szCs w:val="21"/>
          <w:highlight w:val="yellow"/>
        </w:rPr>
        <w:t>。双方各取所需，确保每笔合作均有明确对价与产出。</w:t>
      </w:r>
    </w:p>
    <w:p>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本协议为双方合作意向的指导性文件。后续具体合作事项，双方本着“一事一议”原则，另行签订详细合作协议或合同。</w:t>
      </w:r>
    </w:p>
    <w:p>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本协议项下未尽之商业条款，双方协商以书面补充协议方式明确，作为本协议的附件。</w:t>
      </w:r>
    </w:p>
    <w:p>
      <w:pPr>
        <w:pStyle w:val="2"/>
        <w:spacing w:before="320" w:after="160"/>
      </w:pPr>
      <w:r>
        <w:rPr>
          <w:rFonts w:ascii="微软雅黑" w:hAnsi="微软雅黑" w:eastAsia="微软雅黑"/>
          <w:b/>
          <w:bCs/>
          <w:color w:val="1F4E79"/>
          <w:sz w:val="30"/>
          <w:szCs w:val="30"/>
        </w:rPr>
        <w:t>三、合作内容</w:t>
      </w:r>
    </w:p>
    <w:p>
      <w:pPr>
        <w:spacing w:after="100"/>
      </w:pPr>
      <w:r>
        <w:rPr>
          <w:rFonts w:ascii="微软雅黑" w:hAnsi="微软雅黑" w:eastAsia="微软雅黑"/>
          <w:sz w:val="21"/>
          <w:szCs w:val="21"/>
        </w:rPr>
        <w:t>双方同意在以下方向探索并推进合作，具体内容、方案与商务条件由双方另行商定：</w:t>
      </w:r>
    </w:p>
    <w:p>
      <w:pPr>
        <w:spacing w:after="80" w:line="320" w:lineRule="auto"/>
        <w:rPr>
          <w:highlight w:val="yellow"/>
        </w:rPr>
      </w:pPr>
      <w:r>
        <w:rPr>
          <w:rFonts w:ascii="微软雅黑" w:hAnsi="微软雅黑" w:eastAsia="微软雅黑"/>
          <w:b/>
          <w:bCs/>
          <w:color w:val="1F4E79"/>
          <w:sz w:val="21"/>
          <w:szCs w:val="21"/>
        </w:rPr>
        <w:t>1.</w:t>
      </w:r>
      <w:r>
        <w:rPr>
          <w:rFonts w:ascii="微软雅黑" w:hAnsi="微软雅黑" w:eastAsia="微软雅黑"/>
          <w:b/>
          <w:bCs/>
          <w:color w:val="1F4E79"/>
          <w:sz w:val="21"/>
          <w:szCs w:val="21"/>
          <w:highlight w:val="yellow"/>
        </w:rPr>
        <w:t xml:space="preserve"> 训练场评测与数据采集</w:t>
      </w:r>
      <w:r>
        <w:rPr>
          <w:rFonts w:ascii="微软雅黑" w:hAnsi="微软雅黑" w:eastAsia="微软雅黑"/>
          <w:sz w:val="21"/>
          <w:szCs w:val="21"/>
          <w:highlight w:val="yellow"/>
        </w:rPr>
        <w:t>：甲方作为采购方出资采购真机评测、数据采集与预处理服务，乙方利用</w:t>
      </w:r>
      <w:r>
        <w:rPr>
          <w:sz w:val="21"/>
          <w:szCs w:val="21"/>
          <w:highlight w:val="yellow"/>
          <w:woUserID w:val="1"/>
        </w:rPr>
        <w:t>自有</w:t>
      </w:r>
      <w:r>
        <w:rPr>
          <w:rFonts w:ascii="微软雅黑" w:hAnsi="微软雅黑" w:eastAsia="微软雅黑"/>
          <w:sz w:val="21"/>
          <w:szCs w:val="21"/>
          <w:highlight w:val="yellow"/>
        </w:rPr>
        <w:t>四川省级训练场提供场地、人员与执行</w:t>
      </w:r>
      <w:r>
        <w:rPr>
          <w:rFonts w:hint="eastAsia"/>
          <w:sz w:val="21"/>
          <w:szCs w:val="21"/>
          <w:highlight w:val="yellow"/>
          <w:lang w:val="en-US" w:eastAsia="zh-CN"/>
        </w:rPr>
        <w:t>团队</w:t>
      </w:r>
      <w:r>
        <w:rPr>
          <w:rFonts w:ascii="微软雅黑" w:hAnsi="微软雅黑" w:eastAsia="微软雅黑"/>
          <w:sz w:val="21"/>
          <w:szCs w:val="21"/>
          <w:highlight w:val="yellow"/>
        </w:rPr>
        <w:t>，形成商业化订单；双方联合推进开源数据集建设，开源范围与使用规范另行书面确认；</w:t>
      </w:r>
      <w:r>
        <w:rPr>
          <w:sz w:val="21"/>
          <w:szCs w:val="21"/>
          <w:highlight w:val="yellow"/>
          <w:woUserID w:val="1"/>
        </w:rPr>
        <w:t>双方</w:t>
      </w:r>
      <w:r>
        <w:rPr>
          <w:rFonts w:ascii="微软雅黑" w:hAnsi="微软雅黑" w:eastAsia="微软雅黑"/>
          <w:sz w:val="21"/>
          <w:szCs w:val="21"/>
          <w:highlight w:val="yellow"/>
        </w:rPr>
        <w:t>探索西部机房部署与端云交互评测方案；机器人本体</w:t>
      </w:r>
      <w:r>
        <w:rPr>
          <w:rFonts w:hint="eastAsia"/>
          <w:sz w:val="21"/>
          <w:szCs w:val="21"/>
          <w:highlight w:val="yellow"/>
          <w:lang w:val="en-US" w:eastAsia="zh-CN"/>
        </w:rPr>
        <w:t>和零部件、装置</w:t>
      </w:r>
      <w:r>
        <w:rPr>
          <w:rFonts w:ascii="微软雅黑" w:hAnsi="微软雅黑" w:eastAsia="微软雅黑"/>
          <w:sz w:val="21"/>
          <w:szCs w:val="21"/>
          <w:highlight w:val="yellow"/>
        </w:rPr>
        <w:t>由</w:t>
      </w:r>
      <w:r>
        <w:rPr>
          <w:sz w:val="21"/>
          <w:szCs w:val="21"/>
          <w:highlight w:val="yellow"/>
          <w:woUserID w:val="1"/>
        </w:rPr>
        <w:t>乙方</w:t>
      </w:r>
      <w:r>
        <w:rPr>
          <w:rFonts w:ascii="微软雅黑" w:hAnsi="微软雅黑" w:eastAsia="微软雅黑"/>
          <w:sz w:val="21"/>
          <w:szCs w:val="21"/>
          <w:highlight w:val="yellow"/>
        </w:rPr>
        <w:t>按需购置于训练场，</w:t>
      </w:r>
      <w:r>
        <w:rPr>
          <w:sz w:val="21"/>
          <w:szCs w:val="21"/>
          <w:highlight w:val="yellow"/>
          <w:woUserID w:val="1"/>
        </w:rPr>
        <w:t>实现</w:t>
      </w:r>
      <w:bookmarkStart w:id="0" w:name="_GoBack"/>
      <w:bookmarkEnd w:id="0"/>
      <w:r>
        <w:rPr>
          <w:rFonts w:ascii="微软雅黑" w:hAnsi="微软雅黑" w:eastAsia="微软雅黑"/>
          <w:sz w:val="21"/>
          <w:szCs w:val="21"/>
          <w:highlight w:val="yellow"/>
        </w:rPr>
        <w:t>日常运行管理。</w:t>
      </w:r>
    </w:p>
    <w:p>
      <w:pPr>
        <w:spacing w:after="80" w:line="320" w:lineRule="auto"/>
        <w:rPr>
          <w:highlight w:val="yellow"/>
        </w:rPr>
      </w:pPr>
      <w:r>
        <w:rPr>
          <w:rFonts w:ascii="微软雅黑" w:hAnsi="微软雅黑" w:eastAsia="微软雅黑"/>
          <w:b/>
          <w:bCs/>
          <w:color w:val="1F4E79"/>
          <w:sz w:val="21"/>
          <w:szCs w:val="21"/>
          <w:highlight w:val="yellow"/>
        </w:rPr>
        <w:t>2. 无本体数采装置</w:t>
      </w:r>
      <w:r>
        <w:rPr>
          <w:rFonts w:ascii="微软雅黑" w:hAnsi="微软雅黑" w:eastAsia="微软雅黑"/>
          <w:sz w:val="21"/>
          <w:szCs w:val="21"/>
          <w:highlight w:val="yellow"/>
        </w:rPr>
        <w:t>：由甲方定义产品方案，乙方支持产品化与规模化量产，在四川具身训练场开展试点落地，联合推进家庭及多场景操作数据的规模化采集，并拓展后续商机，形成商业化合作分润。</w:t>
      </w:r>
    </w:p>
    <w:p>
      <w:pPr>
        <w:spacing w:after="80" w:line="320" w:lineRule="auto"/>
        <w:rPr>
          <w:highlight w:val="yellow"/>
        </w:rPr>
      </w:pPr>
      <w:r>
        <w:rPr>
          <w:rFonts w:ascii="微软雅黑" w:hAnsi="微软雅黑" w:eastAsia="微软雅黑"/>
          <w:b/>
          <w:bCs/>
          <w:color w:val="1F4E79"/>
          <w:sz w:val="21"/>
          <w:szCs w:val="21"/>
          <w:highlight w:val="yellow"/>
        </w:rPr>
        <w:t>3. 基模后训练</w:t>
      </w:r>
      <w:r>
        <w:rPr>
          <w:rFonts w:ascii="微软雅黑" w:hAnsi="微软雅黑" w:eastAsia="微软雅黑"/>
          <w:sz w:val="21"/>
          <w:szCs w:val="21"/>
          <w:highlight w:val="yellow"/>
        </w:rPr>
        <w:t>：由甲方进行基础模型研发迭代并提供后训练基础设施。甲方商业化基模不开源，以服务化形式（License/买断/云服务等，具体模式另行商定）授权，支持乙方采购并围绕具体交付场景进行模型后训练；乙方后训练平台自用，不对外开放。</w:t>
      </w:r>
    </w:p>
    <w:p>
      <w:pPr>
        <w:spacing w:after="80" w:line="320" w:lineRule="auto"/>
        <w:rPr>
          <w:highlight w:val="yellow"/>
        </w:rPr>
      </w:pPr>
      <w:r>
        <w:rPr>
          <w:rFonts w:ascii="微软雅黑" w:hAnsi="微软雅黑" w:eastAsia="微软雅黑"/>
          <w:b/>
          <w:bCs/>
          <w:color w:val="1F4E79"/>
          <w:sz w:val="21"/>
          <w:szCs w:val="21"/>
        </w:rPr>
        <w:t>4. 应用场景</w:t>
      </w:r>
      <w:r>
        <w:rPr>
          <w:rFonts w:ascii="微软雅黑" w:hAnsi="微软雅黑" w:eastAsia="微软雅黑"/>
          <w:sz w:val="21"/>
          <w:szCs w:val="21"/>
        </w:rPr>
        <w:t>：</w:t>
      </w:r>
      <w:r>
        <w:rPr>
          <w:rFonts w:ascii="微软雅黑" w:hAnsi="微软雅黑" w:eastAsia="微软雅黑"/>
          <w:sz w:val="21"/>
          <w:szCs w:val="21"/>
          <w:highlight w:val="yellow"/>
        </w:rPr>
        <w:t>双方在</w:t>
      </w:r>
      <w:r>
        <w:rPr>
          <w:rFonts w:hint="eastAsia"/>
          <w:sz w:val="21"/>
          <w:szCs w:val="21"/>
          <w:highlight w:val="yellow"/>
          <w:lang w:val="en-US" w:eastAsia="zh-CN"/>
        </w:rPr>
        <w:t>文旅景区、</w:t>
      </w:r>
      <w:r>
        <w:rPr>
          <w:rFonts w:ascii="微软雅黑" w:hAnsi="微软雅黑" w:eastAsia="微软雅黑"/>
          <w:sz w:val="21"/>
          <w:szCs w:val="21"/>
          <w:highlight w:val="yellow"/>
        </w:rPr>
        <w:t>现制餐饮、</w:t>
      </w:r>
      <w:r>
        <w:rPr>
          <w:rFonts w:hint="eastAsia"/>
          <w:sz w:val="21"/>
          <w:szCs w:val="21"/>
          <w:highlight w:val="yellow"/>
          <w:lang w:val="en-US" w:eastAsia="zh-CN"/>
        </w:rPr>
        <w:t>商业酒店、</w:t>
      </w:r>
      <w:r>
        <w:rPr>
          <w:rFonts w:ascii="微软雅黑" w:hAnsi="微软雅黑" w:eastAsia="微软雅黑"/>
          <w:sz w:val="21"/>
          <w:szCs w:val="21"/>
          <w:highlight w:val="yellow"/>
        </w:rPr>
        <w:t>生物医药、</w:t>
      </w:r>
      <w:r>
        <w:rPr>
          <w:rFonts w:hint="eastAsia"/>
          <w:sz w:val="21"/>
          <w:szCs w:val="21"/>
          <w:highlight w:val="yellow"/>
          <w:lang w:val="en-US" w:eastAsia="zh-CN"/>
        </w:rPr>
        <w:t>检验检测、</w:t>
      </w:r>
      <w:r>
        <w:rPr>
          <w:rFonts w:ascii="微软雅黑" w:hAnsi="微软雅黑" w:eastAsia="微软雅黑"/>
          <w:sz w:val="21"/>
          <w:szCs w:val="21"/>
          <w:highlight w:val="yellow"/>
        </w:rPr>
        <w:t>康养等关键场景联合打造最佳实践案例。甲方提供模型及手眼智能增量部件产品与训练部署基础设施，乙方提供系统集成、定制开发及配套自动化设备并投入研发共建，以乙方为支点进入四川及西部地区的具身智能市场，获取政府产业政策支持与场景资源。</w:t>
      </w:r>
    </w:p>
    <w:p>
      <w:pPr>
        <w:spacing w:after="80" w:line="320" w:lineRule="auto"/>
        <w:rPr>
          <w:highlight w:val="yellow"/>
        </w:rPr>
      </w:pPr>
      <w:r>
        <w:rPr>
          <w:rFonts w:ascii="微软雅黑" w:hAnsi="微软雅黑" w:eastAsia="微软雅黑"/>
          <w:b/>
          <w:bCs/>
          <w:color w:val="1F4E79"/>
          <w:sz w:val="21"/>
          <w:szCs w:val="21"/>
        </w:rPr>
        <w:t>5. 硬件合作</w:t>
      </w:r>
      <w:r>
        <w:rPr>
          <w:rFonts w:ascii="微软雅黑" w:hAnsi="微软雅黑" w:eastAsia="微软雅黑"/>
          <w:sz w:val="21"/>
          <w:szCs w:val="21"/>
        </w:rPr>
        <w:t>：</w:t>
      </w:r>
      <w:r>
        <w:rPr>
          <w:rFonts w:ascii="微软雅黑" w:hAnsi="微软雅黑" w:eastAsia="微软雅黑"/>
          <w:sz w:val="21"/>
          <w:szCs w:val="21"/>
          <w:highlight w:val="yellow"/>
        </w:rPr>
        <w:t>甲方提供机器人</w:t>
      </w:r>
      <w:r>
        <w:rPr>
          <w:rFonts w:hint="eastAsia"/>
          <w:sz w:val="21"/>
          <w:szCs w:val="21"/>
          <w:highlight w:val="yellow"/>
          <w:lang w:val="en-US" w:eastAsia="zh-CN"/>
        </w:rPr>
        <w:t>本体</w:t>
      </w:r>
      <w:r>
        <w:rPr>
          <w:rFonts w:ascii="微软雅黑" w:hAnsi="微软雅黑" w:eastAsia="微软雅黑"/>
          <w:sz w:val="21"/>
          <w:szCs w:val="21"/>
          <w:highlight w:val="yellow"/>
        </w:rPr>
        <w:t>与灵巧手</w:t>
      </w:r>
      <w:r>
        <w:rPr>
          <w:rFonts w:hint="eastAsia"/>
          <w:sz w:val="21"/>
          <w:szCs w:val="21"/>
          <w:highlight w:val="yellow"/>
          <w:lang w:eastAsia="zh-CN"/>
        </w:rPr>
        <w:t>、</w:t>
      </w:r>
      <w:r>
        <w:rPr>
          <w:rFonts w:hint="eastAsia"/>
          <w:sz w:val="21"/>
          <w:szCs w:val="21"/>
          <w:highlight w:val="yellow"/>
          <w:lang w:val="en-US" w:eastAsia="zh-CN"/>
        </w:rPr>
        <w:t>相关零部件</w:t>
      </w:r>
      <w:r>
        <w:rPr>
          <w:rFonts w:ascii="微软雅黑" w:hAnsi="微软雅黑" w:eastAsia="微软雅黑"/>
          <w:sz w:val="21"/>
          <w:szCs w:val="21"/>
          <w:highlight w:val="yellow"/>
        </w:rPr>
        <w:t>的定制需求及商业化订单，乙方支持按成本定制轮式双臂机器人及高自由度灵巧手，推进双方研发持续迭代，并根据输入需求及时间节点研判落地节奏。</w:t>
      </w:r>
    </w:p>
    <w:p>
      <w:pPr>
        <w:spacing w:after="80" w:line="320" w:lineRule="auto"/>
      </w:pPr>
      <w:r>
        <w:rPr>
          <w:rFonts w:ascii="微软雅黑" w:hAnsi="微软雅黑" w:eastAsia="微软雅黑"/>
          <w:b/>
          <w:bCs/>
          <w:color w:val="1F4E79"/>
          <w:sz w:val="21"/>
          <w:szCs w:val="21"/>
          <w:highlight w:val="yellow"/>
        </w:rPr>
        <w:t>6. 投融资合作</w:t>
      </w:r>
      <w:r>
        <w:rPr>
          <w:rFonts w:ascii="微软雅黑" w:hAnsi="微软雅黑" w:eastAsia="微软雅黑"/>
          <w:sz w:val="21"/>
          <w:szCs w:val="21"/>
          <w:highlight w:val="yellow"/>
        </w:rPr>
        <w:t>：根据双方实际需求，探讨股权合作与战略绑定，探讨</w:t>
      </w:r>
      <w:r>
        <w:rPr>
          <w:rFonts w:hint="eastAsia"/>
          <w:sz w:val="21"/>
          <w:szCs w:val="21"/>
          <w:highlight w:val="yellow"/>
          <w:lang w:val="en-US" w:eastAsia="zh-CN"/>
        </w:rPr>
        <w:t>与乙方相关的</w:t>
      </w:r>
      <w:r>
        <w:rPr>
          <w:rFonts w:ascii="微软雅黑" w:hAnsi="微软雅黑" w:eastAsia="微软雅黑"/>
          <w:sz w:val="21"/>
          <w:szCs w:val="21"/>
          <w:highlight w:val="yellow"/>
        </w:rPr>
        <w:t>产业方</w:t>
      </w:r>
      <w:r>
        <w:rPr>
          <w:rFonts w:hint="eastAsia"/>
          <w:sz w:val="21"/>
          <w:szCs w:val="21"/>
          <w:highlight w:val="yellow"/>
          <w:lang w:val="en-US" w:eastAsia="zh-CN"/>
        </w:rPr>
        <w:t>和投资方</w:t>
      </w:r>
      <w:r>
        <w:rPr>
          <w:rFonts w:ascii="微软雅黑" w:hAnsi="微软雅黑" w:eastAsia="微软雅黑"/>
          <w:sz w:val="21"/>
          <w:szCs w:val="21"/>
          <w:highlight w:val="yellow"/>
        </w:rPr>
        <w:t>作为战略投资者参与甲方融资，并为后续对接地方产业基金创造条件。</w:t>
      </w:r>
    </w:p>
    <w:p>
      <w:pPr>
        <w:spacing w:after="80" w:line="320" w:lineRule="auto"/>
      </w:pPr>
      <w:r>
        <w:rPr>
          <w:rFonts w:ascii="微软雅黑" w:hAnsi="微软雅黑" w:eastAsia="微软雅黑"/>
          <w:b/>
          <w:bCs/>
          <w:color w:val="1F4E79"/>
          <w:sz w:val="21"/>
          <w:szCs w:val="21"/>
        </w:rPr>
        <w:t>7. 其他领域</w:t>
      </w:r>
      <w:r>
        <w:rPr>
          <w:rFonts w:ascii="微软雅黑" w:hAnsi="微软雅黑" w:eastAsia="微软雅黑"/>
          <w:sz w:val="21"/>
          <w:szCs w:val="21"/>
        </w:rPr>
        <w:t>：依据双方合作情况需要后续补充的领域，可以以补充协议方式明确。</w:t>
      </w:r>
    </w:p>
    <w:p>
      <w:pPr>
        <w:spacing w:after="80" w:line="320" w:lineRule="auto"/>
      </w:pPr>
      <w:r>
        <w:rPr>
          <w:rFonts w:ascii="微软雅黑" w:hAnsi="微软雅黑" w:eastAsia="微软雅黑"/>
          <w:b/>
          <w:bCs/>
          <w:color w:val="1F4E79"/>
          <w:sz w:val="21"/>
          <w:szCs w:val="21"/>
        </w:rPr>
        <w:t xml:space="preserve">8. </w:t>
      </w:r>
      <w:r>
        <w:rPr>
          <w:rFonts w:ascii="微软雅黑" w:hAnsi="微软雅黑" w:eastAsia="微软雅黑"/>
          <w:sz w:val="21"/>
          <w:szCs w:val="21"/>
        </w:rPr>
        <w:t>双方各自在合作方向内的具体义务与交付物，由双方根据合作进展另行协商明确。</w:t>
      </w:r>
    </w:p>
    <w:p>
      <w:pPr>
        <w:spacing w:after="80" w:line="320" w:lineRule="auto"/>
      </w:pPr>
      <w:r>
        <w:rPr>
          <w:rFonts w:ascii="微软雅黑" w:hAnsi="微软雅黑" w:eastAsia="微软雅黑"/>
          <w:b/>
          <w:bCs/>
          <w:color w:val="1F4E79"/>
          <w:sz w:val="21"/>
          <w:szCs w:val="21"/>
        </w:rPr>
        <w:t xml:space="preserve">9. </w:t>
      </w:r>
      <w:r>
        <w:rPr>
          <w:rFonts w:ascii="微软雅黑" w:hAnsi="微软雅黑" w:eastAsia="微软雅黑"/>
          <w:sz w:val="21"/>
          <w:szCs w:val="21"/>
        </w:rPr>
        <w:t>甲方有意主导具身智能大脑及手眼脑增量部件领域的相关标准与体系建立，乙方将积极配合甲方的工作。</w:t>
      </w:r>
    </w:p>
    <w:p>
      <w:pPr>
        <w:spacing w:after="80" w:line="320" w:lineRule="auto"/>
      </w:pPr>
      <w:r>
        <w:rPr>
          <w:rFonts w:ascii="微软雅黑" w:hAnsi="微软雅黑" w:eastAsia="微软雅黑"/>
          <w:b/>
          <w:bCs/>
          <w:color w:val="1F4E79"/>
          <w:sz w:val="21"/>
          <w:szCs w:val="21"/>
        </w:rPr>
        <w:t xml:space="preserve">10. </w:t>
      </w:r>
      <w:r>
        <w:rPr>
          <w:rFonts w:ascii="微软雅黑" w:hAnsi="微软雅黑" w:eastAsia="微软雅黑"/>
          <w:sz w:val="21"/>
          <w:szCs w:val="21"/>
        </w:rPr>
        <w:t>商标使用许可：双方在推广中需要使用对方商标标识的，必须事先取得对方的书面商标授权书或商标许可协议，明确商标使用的类别、时间、范围及使用方式等。无书面商标授权书或商标许可协议，则视为违约。</w:t>
      </w:r>
    </w:p>
    <w:p>
      <w:pPr>
        <w:pStyle w:val="2"/>
        <w:spacing w:before="320" w:after="160"/>
      </w:pPr>
      <w:r>
        <w:rPr>
          <w:rFonts w:ascii="微软雅黑" w:hAnsi="微软雅黑" w:eastAsia="微软雅黑"/>
          <w:b/>
          <w:bCs/>
          <w:color w:val="1F4E79"/>
          <w:sz w:val="30"/>
          <w:szCs w:val="30"/>
        </w:rPr>
        <w:t>四、合作机制</w:t>
      </w:r>
    </w:p>
    <w:p>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高层会晤机制：双方建立高层会晤机制，定期召开专题会议，研究商讨重大合作事宜，协调解决有关问题。</w:t>
      </w:r>
    </w:p>
    <w:p>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项目组建机制：双方联合组建项目组研究团队，就合作内容进行分工协作、密切配合，促进知识和资源共享；联合项目组事项落实到人，明确各专项负责人。</w:t>
      </w:r>
    </w:p>
    <w:p>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日常联络协调机制：双方建立日常联络协调机制，确定相关部门或单位作为日常联络机构；甲方指定统一商务对接入口，负责分发各专项负责人。</w:t>
      </w:r>
    </w:p>
    <w:p>
      <w:pPr>
        <w:pStyle w:val="2"/>
        <w:spacing w:before="320" w:after="160"/>
      </w:pPr>
      <w:r>
        <w:rPr>
          <w:rFonts w:ascii="微软雅黑" w:hAnsi="微软雅黑" w:eastAsia="微软雅黑"/>
          <w:b/>
          <w:bCs/>
          <w:color w:val="1F4E79"/>
          <w:sz w:val="30"/>
          <w:szCs w:val="30"/>
        </w:rPr>
        <w:t>五、保密约定及其它</w:t>
      </w:r>
    </w:p>
    <w:p>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双方对其从对方获取的保密信息（包括技术、经营、财务、商务等性质的数据，以及口头或书面格式的文件、材料、图样等）负有保密义务。</w:t>
      </w:r>
    </w:p>
    <w:p>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所有涉及对方商业秘密的信息应严格保密，未经对方事先书面同意，不得向第三方透露。</w:t>
      </w:r>
    </w:p>
    <w:p>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双方在合作过程中涉及的对方技术、商业信息、资料应被视为对方的商业秘密，不得自己使用或泄露给任何第三方，否则应承担给对方造成的经济损失。</w:t>
      </w:r>
    </w:p>
    <w:p>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在各类媒体上的信息发布，凡涉及本协议内容（包括文字和图片）均须经双方确认后方可对外发布。</w:t>
      </w:r>
    </w:p>
    <w:p>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以上保密义务在本协议终止后持续有效，直至保密信息非因信息获取方违约而公开之日止，或自本协议终止之日起五年止（以较早发生的时间为准）。</w:t>
      </w:r>
    </w:p>
    <w:p>
      <w:pPr>
        <w:spacing w:after="60" w:line="320" w:lineRule="auto"/>
        <w:ind w:left="400" w:hanging="300"/>
      </w:pPr>
      <w:r>
        <w:rPr>
          <w:rFonts w:ascii="微软雅黑" w:hAnsi="微软雅黑" w:eastAsia="微软雅黑"/>
          <w:b/>
          <w:bCs/>
          <w:color w:val="2E74B5"/>
          <w:sz w:val="21"/>
          <w:szCs w:val="21"/>
        </w:rPr>
        <w:t xml:space="preserve">6. </w:t>
      </w:r>
      <w:r>
        <w:rPr>
          <w:rFonts w:ascii="微软雅黑" w:hAnsi="微软雅黑" w:eastAsia="微软雅黑"/>
          <w:b w:val="0"/>
          <w:bCs w:val="0"/>
          <w:sz w:val="21"/>
          <w:szCs w:val="21"/>
        </w:rPr>
        <w:t>本条款不因协议的变更、修改、解除而失效。</w:t>
      </w:r>
    </w:p>
    <w:p>
      <w:pPr>
        <w:pStyle w:val="2"/>
        <w:spacing w:before="320" w:after="160"/>
      </w:pPr>
      <w:r>
        <w:rPr>
          <w:rFonts w:ascii="微软雅黑" w:hAnsi="微软雅黑" w:eastAsia="微软雅黑"/>
          <w:b/>
          <w:bCs/>
          <w:color w:val="1F4E79"/>
          <w:sz w:val="30"/>
          <w:szCs w:val="30"/>
        </w:rPr>
        <w:t>六、知识产权</w:t>
      </w:r>
    </w:p>
    <w:p>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本协议的履行不影响双方原本拥有的背景知识产权的归属，其仍然归原权利人所有。合作过程中，双方应相互尊重彼此的背景知识产权。</w:t>
      </w:r>
    </w:p>
    <w:p>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双方各自在本协议项下自行开发的产品和技术的所有权和知识产权，归各自所有；对方如需使用，需另行签署合约。</w:t>
      </w:r>
    </w:p>
    <w:p>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双方联合开发的项目或一方委托另一方开发的项目，其知识产权归属与商业收益分配，由双方另行签署具体的项目合作协议予以约定。</w:t>
      </w:r>
    </w:p>
    <w:p>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开源数据与开源模型：双方联合开源的数据集及baseline模型，其开源许可范围与使用规范由双方另行书面确认；商业化基模不参与开源，以服务化形式授权使用。</w:t>
      </w:r>
    </w:p>
    <w:p>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联合采集的数据：双方联合采集的操作数据，甲方拥有用于模型训练和算法迭代的完整使用权，商业化权益分配以具体项目协议为准。</w:t>
      </w:r>
    </w:p>
    <w:p>
      <w:pPr>
        <w:pStyle w:val="2"/>
        <w:spacing w:before="320" w:after="160"/>
      </w:pPr>
      <w:r>
        <w:rPr>
          <w:rFonts w:ascii="微软雅黑" w:hAnsi="微软雅黑" w:eastAsia="微软雅黑"/>
          <w:b/>
          <w:bCs/>
          <w:color w:val="1F4E79"/>
          <w:sz w:val="30"/>
          <w:szCs w:val="30"/>
        </w:rPr>
        <w:t>七、争议解决</w:t>
      </w:r>
    </w:p>
    <w:p>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本协议及其相关附约或附件如有未尽事宜，应依中华人民共和国法律、法规解释或补充。</w:t>
      </w:r>
    </w:p>
    <w:p>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双方约定，与本协议有关的任何纠纷，双方应先行协商解决；无法协商达成一致的，任何一方有权向被告所在地的法院提起诉讼。</w:t>
      </w:r>
    </w:p>
    <w:p>
      <w:pPr>
        <w:pStyle w:val="2"/>
        <w:spacing w:before="320" w:after="160"/>
      </w:pPr>
      <w:r>
        <w:rPr>
          <w:rFonts w:ascii="微软雅黑" w:hAnsi="微软雅黑" w:eastAsia="微软雅黑"/>
          <w:b/>
          <w:bCs/>
          <w:color w:val="1F4E79"/>
          <w:sz w:val="30"/>
          <w:szCs w:val="30"/>
        </w:rPr>
        <w:t>八、其它</w:t>
      </w:r>
    </w:p>
    <w:p>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本协议有效期为【】年，自【】起至【】止。</w:t>
      </w:r>
    </w:p>
    <w:p>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本协议自双方签字并加盖公章之日起生效。</w:t>
      </w:r>
    </w:p>
    <w:p>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本协议期满时，双方应优先考虑与对方续约合作。</w:t>
      </w:r>
    </w:p>
    <w:p>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任何一方如提前终止本协议，需提前三个月书面通知另一方。</w:t>
      </w:r>
    </w:p>
    <w:p>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本协议一式二份，双方各执一份，每份具有同等效力。</w:t>
      </w:r>
    </w:p>
    <w:p>
      <w:pPr>
        <w:spacing w:after="120" w:line="340" w:lineRule="auto"/>
      </w:pPr>
      <w:r>
        <w:rPr>
          <w:rFonts w:ascii="微软雅黑" w:hAnsi="微软雅黑" w:eastAsia="微软雅黑"/>
          <w:color w:val="595959"/>
          <w:sz w:val="21"/>
          <w:szCs w:val="21"/>
        </w:rPr>
        <w:t>（以下无正文）</w:t>
      </w:r>
    </w:p>
    <w:p>
      <w:pPr>
        <w:spacing w:after="120" w:line="340" w:lineRule="auto"/>
      </w:pPr>
      <w:r>
        <w:rPr>
          <w:rFonts w:ascii="微软雅黑" w:hAnsi="微软雅黑" w:eastAsia="微软雅黑"/>
          <w:color w:val="595959"/>
          <w:sz w:val="21"/>
          <w:szCs w:val="21"/>
        </w:rPr>
        <w:t>（本页无正文，为《战略合作框架协议》之签署页）</w:t>
      </w:r>
    </w:p>
    <w:p>
      <w:pPr>
        <w:spacing w:after="120" w:line="340" w:lineRule="auto"/>
      </w:pPr>
    </w:p>
    <w:p>
      <w:pPr>
        <w:spacing w:after="200"/>
      </w:pPr>
      <w:r>
        <w:rPr>
          <w:rFonts w:ascii="微软雅黑" w:hAnsi="微软雅黑" w:eastAsia="微软雅黑"/>
          <w:b/>
          <w:bCs/>
          <w:sz w:val="21"/>
          <w:szCs w:val="21"/>
        </w:rPr>
        <w:t>甲方：</w:t>
      </w:r>
      <w:r>
        <w:rPr>
          <w:rFonts w:ascii="微软雅黑" w:hAnsi="微软雅黑" w:eastAsia="微软雅黑"/>
          <w:sz w:val="21"/>
          <w:szCs w:val="21"/>
        </w:rPr>
        <w:t>睦灵科技（杭州）有限公司（盖章）</w:t>
      </w:r>
    </w:p>
    <w:p>
      <w:pPr>
        <w:spacing w:after="60"/>
      </w:pPr>
      <w:r>
        <w:rPr>
          <w:rFonts w:ascii="微软雅黑" w:hAnsi="微软雅黑" w:eastAsia="微软雅黑"/>
          <w:sz w:val="21"/>
          <w:szCs w:val="21"/>
        </w:rPr>
        <w:t>签字：</w:t>
      </w:r>
    </w:p>
    <w:p>
      <w:pPr>
        <w:spacing w:after="400"/>
      </w:pPr>
      <w:r>
        <w:rPr>
          <w:rFonts w:ascii="微软雅黑" w:hAnsi="微软雅黑" w:eastAsia="微软雅黑"/>
          <w:sz w:val="21"/>
          <w:szCs w:val="21"/>
        </w:rPr>
        <w:t xml:space="preserve">        年         月         日</w:t>
      </w:r>
    </w:p>
    <w:p>
      <w:pPr>
        <w:spacing w:after="200"/>
      </w:pPr>
      <w:r>
        <w:rPr>
          <w:rFonts w:ascii="微软雅黑" w:hAnsi="微软雅黑" w:eastAsia="微软雅黑"/>
          <w:b/>
          <w:bCs/>
          <w:sz w:val="21"/>
          <w:szCs w:val="21"/>
        </w:rPr>
        <w:t>乙方：</w:t>
      </w:r>
      <w:r>
        <w:rPr>
          <w:rFonts w:ascii="微软雅黑" w:hAnsi="微软雅黑" w:eastAsia="微软雅黑"/>
          <w:sz w:val="21"/>
          <w:szCs w:val="21"/>
        </w:rPr>
        <w:t>【长虹集团旗下具身智能/机器人业务主体】（盖章）</w:t>
      </w:r>
    </w:p>
    <w:p>
      <w:pPr>
        <w:spacing w:after="60"/>
      </w:pPr>
      <w:r>
        <w:rPr>
          <w:rFonts w:ascii="微软雅黑" w:hAnsi="微软雅黑" w:eastAsia="微软雅黑"/>
          <w:sz w:val="21"/>
          <w:szCs w:val="21"/>
        </w:rPr>
        <w:t>签字：</w:t>
      </w:r>
    </w:p>
    <w:p>
      <w:pPr>
        <w:spacing w:after="60"/>
      </w:pPr>
      <w:r>
        <w:rPr>
          <w:rFonts w:ascii="微软雅黑" w:hAnsi="微软雅黑" w:eastAsia="微软雅黑"/>
          <w:sz w:val="21"/>
          <w:szCs w:val="21"/>
        </w:rPr>
        <w:t xml:space="preserve">        年         月         日</w:t>
      </w:r>
    </w:p>
    <w:sectPr>
      <w:pgSz w:w="11906" w:h="16838"/>
      <w:pgMar w:top="1200" w:right="1300" w:bottom="12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1C01122"/>
    <w:rsid w:val="5B367380"/>
    <w:rsid w:val="7BF7D56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sz w:val="21"/>
      <w:szCs w:val="21"/>
    </w:rPr>
  </w:style>
  <w:style w:type="paragraph" w:styleId="2">
    <w:name w:val="heading 1"/>
    <w:next w:val="1"/>
    <w:qFormat/>
    <w:uiPriority w:val="0"/>
    <w:rPr>
      <w:rFonts w:ascii="微软雅黑" w:hAnsi="微软雅黑" w:eastAsia="微软雅黑" w:cstheme="minorBidi"/>
      <w:color w:val="2E74B5"/>
      <w:sz w:val="32"/>
      <w:szCs w:val="32"/>
    </w:rPr>
  </w:style>
  <w:style w:type="paragraph" w:styleId="3">
    <w:name w:val="heading 2"/>
    <w:next w:val="1"/>
    <w:qFormat/>
    <w:uiPriority w:val="0"/>
    <w:rPr>
      <w:rFonts w:ascii="微软雅黑" w:hAnsi="微软雅黑" w:eastAsia="微软雅黑" w:cstheme="minorBidi"/>
      <w:color w:val="2E74B5"/>
      <w:sz w:val="26"/>
      <w:szCs w:val="26"/>
    </w:rPr>
  </w:style>
  <w:style w:type="paragraph" w:styleId="4">
    <w:name w:val="heading 3"/>
    <w:next w:val="1"/>
    <w:qFormat/>
    <w:uiPriority w:val="0"/>
    <w:rPr>
      <w:rFonts w:ascii="微软雅黑" w:hAnsi="微软雅黑" w:eastAsia="微软雅黑" w:cstheme="minorBidi"/>
      <w:color w:val="1F4D78"/>
      <w:sz w:val="24"/>
      <w:szCs w:val="24"/>
    </w:rPr>
  </w:style>
  <w:style w:type="paragraph" w:styleId="5">
    <w:name w:val="heading 4"/>
    <w:next w:val="1"/>
    <w:qFormat/>
    <w:uiPriority w:val="0"/>
    <w:rPr>
      <w:rFonts w:ascii="微软雅黑" w:hAnsi="微软雅黑" w:eastAsia="微软雅黑" w:cstheme="minorBidi"/>
      <w:i/>
      <w:iCs/>
      <w:color w:val="2E74B5"/>
      <w:sz w:val="21"/>
      <w:szCs w:val="21"/>
    </w:rPr>
  </w:style>
  <w:style w:type="paragraph" w:styleId="6">
    <w:name w:val="heading 5"/>
    <w:next w:val="1"/>
    <w:qFormat/>
    <w:uiPriority w:val="0"/>
    <w:rPr>
      <w:rFonts w:ascii="微软雅黑" w:hAnsi="微软雅黑" w:eastAsia="微软雅黑" w:cstheme="minorBidi"/>
      <w:color w:val="2E74B5"/>
      <w:sz w:val="21"/>
      <w:szCs w:val="21"/>
    </w:rPr>
  </w:style>
  <w:style w:type="paragraph" w:styleId="7">
    <w:name w:val="heading 6"/>
    <w:next w:val="1"/>
    <w:qFormat/>
    <w:uiPriority w:val="0"/>
    <w:rPr>
      <w:rFonts w:ascii="微软雅黑" w:hAnsi="微软雅黑" w:eastAsia="微软雅黑" w:cstheme="minorBidi"/>
      <w:color w:val="1F4D78"/>
      <w:sz w:val="21"/>
      <w:szCs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theme="minorBidi"/>
      <w:sz w:val="20"/>
      <w:szCs w:val="20"/>
    </w:rPr>
  </w:style>
  <w:style w:type="paragraph" w:styleId="9">
    <w:name w:val="footnote text"/>
    <w:link w:val="17"/>
    <w:semiHidden/>
    <w:unhideWhenUsed/>
    <w:qFormat/>
    <w:uiPriority w:val="99"/>
    <w:pPr>
      <w:spacing w:after="0" w:line="240" w:lineRule="auto"/>
    </w:pPr>
    <w:rPr>
      <w:rFonts w:ascii="微软雅黑" w:hAnsi="微软雅黑" w:eastAsia="微软雅黑" w:cstheme="minorBidi"/>
      <w:sz w:val="20"/>
      <w:szCs w:val="20"/>
    </w:rPr>
  </w:style>
  <w:style w:type="paragraph" w:styleId="10">
    <w:name w:val="Title"/>
    <w:qFormat/>
    <w:uiPriority w:val="0"/>
    <w:rPr>
      <w:rFonts w:ascii="微软雅黑" w:hAnsi="微软雅黑" w:eastAsia="微软雅黑"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theme="minorBidi"/>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3917</Words>
  <Characters>4044</Characters>
  <TotalTime>30</TotalTime>
  <ScaleCrop>false</ScaleCrop>
  <LinksUpToDate>false</LinksUpToDate>
  <CharactersWithSpaces>4158</CharactersWithSpaces>
  <Application>WPS Office WWO_dingtalk_20240221035043-c523bba0e7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2026-08-19T10:35:00Z</dcterms:created>
  <dc:creator>Un-named</dc:creator>
  <cp:lastModifiedBy>Anson</cp:lastModifiedBy>
  <dcterms:modified xsi:type="dcterms:W3CDTF">2026-08-19T11:46:44Z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2052-0.0.0.0</vt:lpwstr>
  </property>
  <property fmtid="{D5CDD505-2E9C-101B-9397-08002B2CF9AE}" pid="4" name="ICV">
    <vt:lpwstr>55B35598BBDF45E5B430503726DD3A15_12</vt:lpwstr>
  </property>
</Properties>
</file>