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85ED34">
      <w:pPr>
        <w:spacing w:before="1600" w:after="0"/>
        <w:jc w:val="center"/>
      </w:pPr>
      <w:r>
        <w:rPr>
          <w:rFonts w:ascii="微软雅黑" w:hAnsi="微软雅黑" w:eastAsia="微软雅黑"/>
          <w:b/>
          <w:bCs/>
          <w:color w:val="1F4E79"/>
          <w:sz w:val="56"/>
          <w:szCs w:val="56"/>
        </w:rPr>
        <w:t>战略合作框架协议</w:t>
      </w:r>
    </w:p>
    <w:p w14:paraId="416A2DB6">
      <w:r>
        <w:br w:type="page"/>
      </w:r>
    </w:p>
    <w:p w14:paraId="612723D8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修订说明</w:t>
      </w:r>
    </w:p>
    <w:p w14:paraId="6949E9DA">
      <w:pPr>
        <w:spacing w:after="120"/>
      </w:pPr>
      <w:r>
        <w:rPr>
          <w:rFonts w:ascii="微软雅黑" w:hAnsi="微软雅黑" w:eastAsia="微软雅黑"/>
          <w:sz w:val="21"/>
          <w:szCs w:val="21"/>
        </w:rPr>
        <w:t>主要调整内容如下：</w:t>
      </w:r>
    </w:p>
    <w:p w14:paraId="2B2BA298">
      <w:pPr>
        <w:pStyle w:val="3"/>
        <w:spacing w:before="240" w:after="120"/>
      </w:pPr>
      <w:r>
        <w:rPr>
          <w:rFonts w:hint="eastAsia"/>
          <w:b/>
          <w:bCs/>
          <w:color w:val="2E74B5"/>
          <w:sz w:val="25"/>
          <w:szCs w:val="25"/>
          <w:lang w:val="en-US" w:eastAsia="zh-CN"/>
        </w:rPr>
        <w:t>一</w:t>
      </w:r>
      <w:r>
        <w:rPr>
          <w:rFonts w:ascii="微软雅黑" w:hAnsi="微软雅黑" w:eastAsia="微软雅黑"/>
          <w:b/>
          <w:bCs/>
          <w:color w:val="2E74B5"/>
          <w:sz w:val="25"/>
          <w:szCs w:val="25"/>
        </w:rPr>
        <w:t>、合作关系</w:t>
      </w:r>
    </w:p>
    <w:p w14:paraId="2CE4349C">
      <w:pPr>
        <w:spacing w:after="60" w:line="320" w:lineRule="auto"/>
        <w:ind w:left="400" w:hanging="300"/>
      </w:pPr>
      <w:r>
        <w:rPr>
          <w:rFonts w:hint="eastAsia"/>
          <w:b/>
          <w:bCs/>
          <w:color w:val="2E74B5"/>
          <w:sz w:val="21"/>
          <w:szCs w:val="21"/>
          <w:lang w:val="en-US" w:eastAsia="zh-CN"/>
        </w:rPr>
        <w:t>1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新增“双向甲乙方关系”表述：甲方作为评测与数据采集服务的采购方，乙方作为服务提供方；同时乙方经甲方渠道采购机器人硬件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或模型集成服务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。双方互为甲乙方、各取所需，确保每笔合作均有明确对价与产出</w:t>
      </w:r>
      <w:r>
        <w:rPr>
          <w:rFonts w:hint="eastAsia"/>
          <w:b w:val="0"/>
          <w:bCs w:val="0"/>
          <w:sz w:val="21"/>
          <w:szCs w:val="21"/>
          <w:lang w:eastAsia="zh-CN"/>
        </w:rPr>
        <w:t>。</w:t>
      </w:r>
      <w:bookmarkStart w:id="0" w:name="_GoBack"/>
      <w:bookmarkEnd w:id="0"/>
      <w:r>
        <w:rPr>
          <w:rFonts w:ascii="微软雅黑" w:hAnsi="微软雅黑" w:eastAsia="微软雅黑"/>
          <w:b w:val="0"/>
          <w:bCs w:val="0"/>
          <w:sz w:val="21"/>
          <w:szCs w:val="21"/>
        </w:rPr>
        <w:t>（会议第2、5条）。</w:t>
      </w:r>
    </w:p>
    <w:p w14:paraId="1D6288C0">
      <w:pPr>
        <w:pStyle w:val="3"/>
        <w:spacing w:before="240" w:after="120"/>
      </w:pPr>
      <w:r>
        <w:rPr>
          <w:rFonts w:ascii="微软雅黑" w:hAnsi="微软雅黑" w:eastAsia="微软雅黑"/>
          <w:b/>
          <w:bCs/>
          <w:color w:val="2E74B5"/>
          <w:sz w:val="25"/>
          <w:szCs w:val="25"/>
        </w:rPr>
        <w:t>三、合作内容逐条调整</w:t>
      </w:r>
    </w:p>
    <w:p w14:paraId="2CF5A285">
      <w:pPr>
        <w:spacing w:after="60" w:line="320" w:lineRule="auto"/>
        <w:ind w:left="400" w:hanging="300"/>
      </w:pPr>
      <w:r>
        <w:rPr>
          <w:rFonts w:hint="eastAsia"/>
          <w:b/>
          <w:bCs/>
          <w:color w:val="2E74B5"/>
          <w:sz w:val="21"/>
          <w:szCs w:val="21"/>
          <w:lang w:val="en-US" w:eastAsia="zh-CN"/>
        </w:rPr>
        <w:t>1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.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a) 训练场合作推进：明确评测与数据采集的甲乙方出资模式与商业化订单；新增开源数据里程碑（1000小时灵巧操作数据集，目标2026年10月开源，同步开源baseline模型action部分，商业化基模不开源）；新增西部机房部署与本地化SDK+端云交互评测方案；新增硬件托管安排（设备托管于训练场，乙方出人力与管理）（会议第2、4、16条）。</w:t>
      </w:r>
    </w:p>
    <w:p w14:paraId="5A19B6BE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5.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b) 无本体数采装置推进：明确三方案路线（纯手机摄像头/手机+外接摄像头/原装置重建，含触觉手套）；新增家庭数据采集宏目标（6个月10万小时、一年100万小时，50元/户空镜筛选+按小时付费两阶段，学生联合培养基地+自有资源池双轨）（会议第6、7条）。</w:t>
      </w:r>
    </w:p>
    <w:p w14:paraId="119C23E4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6.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c) 基模后训练合作推进：明确商业化基模不开源、以加密服务化形式授权（License/买断/云服务三种模式待商定）；补充长虹对带空间感知能力基模的需求；明确乙方后训练平台自用（会议第9条）。</w:t>
      </w:r>
    </w:p>
    <w:p w14:paraId="62ABDB0D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7.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d) 应用场景合作推进：新增太空舱现制餐饮为首个Demo场景（整舱约50万元、目标两年回本、政府渠道+品牌三方联名）；明确场景优先级（家庭&gt;酒店&gt;实验室/检测&gt;工厂产线&gt;康复）；明确康复场景为长周期赛道、先内部研判再推政府；新增无本体数据:真机数据&gt;10:1的数据比例要求（会议第10、11、12、15条）。</w:t>
      </w:r>
    </w:p>
    <w:p w14:paraId="6C59E0AC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8.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e) 硬件合作推进：新增硬件选型三阶段路线（天玑臂+5G灵巧手→加腰部自由度pitch+yaw与升降→加移动底盘）；新增5万元级双臂降本方案（基于OpenArm改进，行星关节、额定4kg、毫米级精度，目标年底出样）；新增灵巧手高中低自由度谱系（22/11自由度）；新增华丰高速连接器与商业航天方向探索（会议第3、13条）。</w:t>
      </w:r>
    </w:p>
    <w:p w14:paraId="501E2A68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9.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f) 投融资合作推进：新增长虹+申万宏源基金战略投资意向；明确甲方第一轮融资基本close、欢迎产业方作为战略投资者（会议第14条）。</w:t>
      </w:r>
    </w:p>
    <w:p w14:paraId="77B7DB0C">
      <w:pPr>
        <w:pStyle w:val="3"/>
        <w:spacing w:before="240" w:after="120"/>
      </w:pPr>
      <w:r>
        <w:rPr>
          <w:rFonts w:ascii="微软雅黑" w:hAnsi="微软雅黑" w:eastAsia="微软雅黑"/>
          <w:b/>
          <w:bCs/>
          <w:color w:val="2E74B5"/>
          <w:sz w:val="25"/>
          <w:szCs w:val="25"/>
        </w:rPr>
        <w:t>四、机制与知识产权</w:t>
      </w:r>
    </w:p>
    <w:p w14:paraId="652CB3C5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10.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合作机制：新增统一商务对接入口与专项负责人分发机制，联合项目组事项落实到人（会议第16条）。</w:t>
      </w:r>
    </w:p>
    <w:p w14:paraId="4B0C9064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知识产权：新增开源数据与开源baseline模型（action部分）的开源范围约定；补充商业化基模不开源、加密服务化授权；补充联合采集数据甲方拥有模型训练完整使用权（会议第4、9条）。</w:t>
      </w:r>
    </w:p>
    <w:p w14:paraId="54081C30">
      <w:pPr>
        <w:spacing w:after="60"/>
      </w:pPr>
    </w:p>
    <w:p w14:paraId="5144D1BF">
      <w:pPr>
        <w:spacing w:after="120" w:line="320" w:lineRule="auto"/>
      </w:pPr>
      <w:r>
        <w:rPr>
          <w:rFonts w:ascii="微软雅黑" w:hAnsi="微软雅黑" w:eastAsia="微软雅黑"/>
          <w:color w:val="595959"/>
          <w:sz w:val="19"/>
          <w:szCs w:val="19"/>
        </w:rPr>
        <w:t>说明：上述带【】的内容仍为待双方确认事项，将在正式签署前的具体项目协议中逐项明确。</w:t>
      </w:r>
    </w:p>
    <w:p w14:paraId="181D2EC6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战略合作框架协议</w:t>
      </w:r>
    </w:p>
    <w:p w14:paraId="71590894">
      <w:pPr>
        <w:spacing w:after="60" w:line="320" w:lineRule="auto"/>
      </w:pPr>
      <w:r>
        <w:rPr>
          <w:rFonts w:ascii="微软雅黑" w:hAnsi="微软雅黑" w:eastAsia="微软雅黑"/>
          <w:sz w:val="21"/>
          <w:szCs w:val="21"/>
        </w:rPr>
        <w:t>合同编号：【】</w:t>
      </w:r>
    </w:p>
    <w:p w14:paraId="102E3976">
      <w:pPr>
        <w:spacing w:after="60" w:line="320" w:lineRule="auto"/>
      </w:pPr>
      <w:r>
        <w:rPr>
          <w:rFonts w:ascii="微软雅黑" w:hAnsi="微软雅黑" w:eastAsia="微软雅黑"/>
          <w:sz w:val="21"/>
          <w:szCs w:val="21"/>
        </w:rPr>
        <w:t>签约时间：【】</w:t>
      </w:r>
    </w:p>
    <w:p w14:paraId="60773DE2">
      <w:pPr>
        <w:spacing w:after="120" w:line="320" w:lineRule="auto"/>
      </w:pPr>
      <w:r>
        <w:rPr>
          <w:rFonts w:ascii="微软雅黑" w:hAnsi="微软雅黑" w:eastAsia="微软雅黑"/>
          <w:sz w:val="21"/>
          <w:szCs w:val="21"/>
        </w:rPr>
        <w:t>签约地点：【】</w:t>
      </w:r>
    </w:p>
    <w:p w14:paraId="12001EF3">
      <w:pPr>
        <w:spacing w:after="60" w:line="32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>甲方：</w:t>
      </w:r>
      <w:r>
        <w:rPr>
          <w:rFonts w:ascii="微软雅黑" w:hAnsi="微软雅黑" w:eastAsia="微软雅黑"/>
          <w:sz w:val="21"/>
          <w:szCs w:val="21"/>
        </w:rPr>
        <w:t>睦灵科技（杭州）有限公司</w:t>
      </w:r>
    </w:p>
    <w:p w14:paraId="15FE06C9">
      <w:pPr>
        <w:spacing w:after="60" w:line="32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>地址：</w:t>
      </w:r>
      <w:r>
        <w:rPr>
          <w:rFonts w:ascii="微软雅黑" w:hAnsi="微软雅黑" w:eastAsia="微软雅黑"/>
          <w:sz w:val="21"/>
          <w:szCs w:val="21"/>
        </w:rPr>
        <w:t>浙江省杭州市余杭区良渚街道古墩路1818号尚亿中心3幢二层C区514室</w:t>
      </w:r>
    </w:p>
    <w:p w14:paraId="6A7BAAB4">
      <w:pPr>
        <w:spacing w:after="60" w:line="32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>乙方：</w:t>
      </w:r>
      <w:r>
        <w:rPr>
          <w:rFonts w:ascii="微软雅黑" w:hAnsi="微软雅黑" w:eastAsia="微软雅黑"/>
          <w:sz w:val="21"/>
          <w:szCs w:val="21"/>
        </w:rPr>
        <w:t>【长虹集团旗下具身智能/机器人业务主体（拟注册“长虹机器人”，具体名称以签约时确认为准）】</w:t>
      </w:r>
    </w:p>
    <w:p w14:paraId="23ED3D5D">
      <w:pPr>
        <w:spacing w:after="200" w:line="320" w:lineRule="auto"/>
      </w:pPr>
      <w:r>
        <w:rPr>
          <w:rFonts w:ascii="微软雅黑" w:hAnsi="微软雅黑" w:eastAsia="微软雅黑"/>
          <w:b/>
          <w:bCs/>
          <w:sz w:val="21"/>
          <w:szCs w:val="21"/>
        </w:rPr>
        <w:t>地址：</w:t>
      </w:r>
      <w:r>
        <w:rPr>
          <w:rFonts w:ascii="微软雅黑" w:hAnsi="微软雅黑" w:eastAsia="微软雅黑"/>
          <w:sz w:val="21"/>
          <w:szCs w:val="21"/>
        </w:rPr>
        <w:t>【】</w:t>
      </w:r>
    </w:p>
    <w:p w14:paraId="0C6B1FE7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一、合作背景</w:t>
      </w:r>
    </w:p>
    <w:p w14:paraId="0E8317FB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睦灵科技（杭州）有限公司（以下简称“甲方”），【其主营业务为具身智能模型与具身机器人产品的研发和销售，构建拥有物理躯体、能够持续与真实环境交互学习的智能系统，在灵巧操作领域具备跨本体模型大脑与手眼脑协同技术能力】。</w:t>
      </w:r>
    </w:p>
    <w:p w14:paraId="512049B5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【长虹集团旗下具身智能/机器人业务主体】（以下简称“乙方”），【依托长虹在家电与智能制造领域的产业基础，拥有四川省级具身智能训练场（三层建筑，含家庭场景样板间与大规模数据采集空间）及酒店、文旅、养老等真实运营场景，具备硬件制造、系统集成与政府产业资源，正推进具身智能/机器人业务独立法人化】。</w:t>
      </w:r>
    </w:p>
    <w:p w14:paraId="5780DE18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双方团队就战略合作事项逐条研讨，就训练场评测与数据采集、无本体数采装置、基模后训练、应用场景、硬件合作、投融资合作等达成共识，同意按“双向甲乙方关系”建立战略合作。</w:t>
      </w:r>
    </w:p>
    <w:p w14:paraId="772E402C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鉴于以上，经双方友好协商，达成如下战略合作共识：</w:t>
      </w:r>
    </w:p>
    <w:p w14:paraId="37619CE5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二、合作原则</w:t>
      </w:r>
    </w:p>
    <w:p w14:paraId="43DC786D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自愿、互信、互利共赢、相互促进、共同发展。</w:t>
      </w:r>
    </w:p>
    <w:p w14:paraId="1341F472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紧密合作，充分发挥双方优势，打造双赢和可持续发展的战略合作伙伴关系。</w:t>
      </w:r>
    </w:p>
    <w:p w14:paraId="088389AC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3.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双方均将对方定位为：各自在“【机器人具身智能技术】”领域的关键战略合作伙伴，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在包括但不限于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数据采集、训练、评测等等多方面，构建全面合作关系。</w:t>
      </w:r>
    </w:p>
    <w:p w14:paraId="4313D8D2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4.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双方互为甲乙方：甲方作为评测与数据采集服务的采购方，乙方作为服务提供方；同时乙方经甲方渠道采购天玑臂等机器人硬件。双方各取所需，确保每笔合作均有明确对价与产出，满足双方财务与政府审计要求。</w:t>
      </w:r>
    </w:p>
    <w:p w14:paraId="5CB8A7E2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5.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本协议为合作框架协议，为双方今后长期合作的指导性文件和基础。之后开展的相关合作，本着一事一议的原则，双方将另行商洽并签定详细的合作协议或合同。</w:t>
      </w:r>
    </w:p>
    <w:p w14:paraId="61D4B868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6.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战略协议与具体合作协议或合同构成不可分割的整体，作为甲乙双方合作的法律文件。本协议项下的合作业务以及相关的商业条款如有不完善的部分，双方将协商另行签署书面补充协议，并作为本协议的附件，是本协议不可分割的一部分。</w:t>
      </w:r>
    </w:p>
    <w:p w14:paraId="28567B92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三、合作内容</w:t>
      </w:r>
    </w:p>
    <w:p w14:paraId="1BD909D5">
      <w:pPr>
        <w:spacing w:after="100"/>
      </w:pPr>
      <w:r>
        <w:rPr>
          <w:rFonts w:ascii="微软雅黑" w:hAnsi="微软雅黑" w:eastAsia="微软雅黑"/>
          <w:sz w:val="21"/>
          <w:szCs w:val="21"/>
        </w:rPr>
        <w:t>1、甲方根据自身品牌、场景及用户优势等，与乙方在以下方面展开合作：</w:t>
      </w:r>
    </w:p>
    <w:p w14:paraId="6204E122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a) 【训练场合作推进】</w:t>
      </w:r>
      <w:r>
        <w:rPr>
          <w:rFonts w:ascii="微软雅黑" w:hAnsi="微软雅黑" w:eastAsia="微软雅黑"/>
          <w:sz w:val="21"/>
          <w:szCs w:val="21"/>
        </w:rPr>
        <w:t>推进真机评测业务孵化，完善工程链路与服务搭建，根据乙方产品方案与测试要求，购置相应通用设备，并开展现场评测与运维业务，形成商业化订单；根据具体模型训练需求，提供数据采集与预处理服务，并交付商业化订单。具体包括：</w:t>
      </w:r>
    </w:p>
    <w:p w14:paraId="1C124D80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评测业务：甲方作为采购方出资采购评测服务，围绕模型大脑评测能力配置设备，由乙方利用四川省级训练场（一楼全身控制/展厅、二楼家庭场景样板间、三楼灵活空间用于大规模采集）提供场地、人员与执行，形成商业化订单；</w:t>
      </w:r>
    </w:p>
    <w:p w14:paraId="4E798267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数据采集与处理：甲方作为数据方出资采购数据采集与预处理服务，乙方按甲方要求执行采集并交付，模型action标注由甲方完成；</w:t>
      </w:r>
    </w:p>
    <w:p w14:paraId="47DD4FD0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3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开源数据里程碑：双方联合完成1000小时灵巧操作数据集（约330人天，5台机器×2个月），目标2026年10月对外开源，同步开源基于该数据集的baseline模型action部分；商业化基模不开源；</w:t>
      </w:r>
    </w:p>
    <w:p w14:paraId="11302F61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4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模型评测部署：双方在西部部署机房以降低网络延迟，采用本地化SDK+端云交互方案，保障评测稳定；</w:t>
      </w:r>
    </w:p>
    <w:p w14:paraId="4661C7E1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5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硬件托管：机器人本体由甲方按需购置并托管于训练场，由乙方提供人员与日常运行管理。</w:t>
      </w:r>
    </w:p>
    <w:p w14:paraId="02BCAF64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b) 【无本体数采装置推进】</w:t>
      </w:r>
      <w:r>
        <w:rPr>
          <w:rFonts w:ascii="微软雅黑" w:hAnsi="微软雅黑" w:eastAsia="微软雅黑"/>
          <w:sz w:val="21"/>
          <w:szCs w:val="21"/>
        </w:rPr>
        <w:t>由甲方定义产品方案，乙方支持产品化与规模化量产，在四川具身训练场开展试点落地，并拓展后续商机，形成商业化合作分润。具体包括：</w:t>
      </w:r>
    </w:p>
    <w:p w14:paraId="0E70B375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数采装置按三方案路线推进：基于纯手机摄像头采集；手机APP+外接摄像头多模态采集（第一阶段优先）；原装置方案重建（第二阶段，含触觉手套装置，持续推进）；</w:t>
      </w:r>
    </w:p>
    <w:p w14:paraId="796D8033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家庭数据采集宏目标：6个月内完成10万小时、一年内完成100万小时操作数据采集；采用两阶段模式——先以约50元/户采集空镜数据筛选家庭，留存用户按小时付费持续采集操作数据；</w:t>
      </w:r>
    </w:p>
    <w:p w14:paraId="7DC1FC57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3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采集力量扩充：采取学生联合培养基地与自有资源池双轨并行。</w:t>
      </w:r>
    </w:p>
    <w:p w14:paraId="5D71B072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c) 【基模后训练合作推进】</w:t>
      </w:r>
      <w:r>
        <w:rPr>
          <w:rFonts w:ascii="微软雅黑" w:hAnsi="微软雅黑" w:eastAsia="微软雅黑"/>
          <w:sz w:val="21"/>
          <w:szCs w:val="21"/>
        </w:rPr>
        <w:t>由甲方进行基础模型研发迭代，并提供后训练基础设施。甲方商业化基模不开源，以加密服务化形式（License/买断/云服务等，具体模式双方另行商定）授权，支持乙方采购并围绕具体交付场景进行模型后训练；甲方基模支持空间感知能力；乙方后训练平台自用，不对外开放。</w:t>
      </w:r>
    </w:p>
    <w:p w14:paraId="1FD6378C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d) 【应用场景合作推进】</w:t>
      </w:r>
      <w:r>
        <w:rPr>
          <w:rFonts w:ascii="微软雅黑" w:hAnsi="微软雅黑" w:eastAsia="微软雅黑"/>
          <w:sz w:val="21"/>
          <w:szCs w:val="21"/>
        </w:rPr>
        <w:t>在包括但不限于现制餐饮、生物医药、康养等关键场景，甲方提供模型及手眼智能增量部件产品，及训练部署基础设施，乙方提供系统集成，定制开发及配套自动化设备，并投入研发共建，在景区、熊猫基地、养老院、产业公司落地，共同打造最佳实践案例，并形成商业化合作分润，以乙方为支点进入四川及西部地区的具身智能市场，重点拓展灵巧操作应用场景，获取政府产业政策支持和场景资源。具体包括：</w:t>
      </w:r>
    </w:p>
    <w:p w14:paraId="19807577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太空舱现制餐饮作为首个Demo场景（现制果汁、烘焙加热等高价值餐饮，整舱方案约50万元、目标两年回本）：先期在训练场搭建Demo（省级展厅窗口效应），乙方负责仓体集成与软件应用开发，甲方提供模型大脑服务与灵巧手选型，联合对接政府渠道与品牌方（如茶百道、霸王茶姬等）三方联名，打造最佳实践案例并形成商业化合作分润；</w:t>
      </w:r>
    </w:p>
    <w:p w14:paraId="55CF4379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场景优先级：家庭（最多样）&gt; 酒店（餐饮+洗衣）&gt; 实验室/检测 &gt; 工厂产线（节拍过快）&gt; 康复（长周期单独推进）；</w:t>
      </w:r>
    </w:p>
    <w:p w14:paraId="2F910441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3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康复场景定位长周期赛道（康复≠养老），先由双方内部研判，再决定是否联合向政府推进；</w:t>
      </w:r>
    </w:p>
    <w:p w14:paraId="641570E5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4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数据比例要求：无本体数据与真机数据的比例大于10:1。</w:t>
      </w:r>
    </w:p>
    <w:p w14:paraId="5A7A6BEE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e) 【硬件合作推进】</w:t>
      </w:r>
      <w:r>
        <w:rPr>
          <w:rFonts w:ascii="微软雅黑" w:hAnsi="微软雅黑" w:eastAsia="微软雅黑"/>
          <w:sz w:val="21"/>
          <w:szCs w:val="21"/>
        </w:rPr>
        <w:t>甲方提供轮式双臂机器人与灵巧手定制需求及商业化订单，乙方支持按BOM成本定制轮式双臂机器人及高自由度灵巧手，推进双方研发持续迭代，根据输入需求及时间节点研判落地节奏。具体包括：</w:t>
      </w:r>
    </w:p>
    <w:p w14:paraId="4555614A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硬件选型三阶段：第一阶段采购天玑臂+5G灵巧手（现成方案，无需定制）；第二阶段增加腰部自由度（pitch+yaw）与升降机构；第三阶段增加移动底盘。乙方训练场现有宇树G1/G1D可先行启用；</w:t>
      </w:r>
    </w:p>
    <w:p w14:paraId="3FBBB126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降本方案：双方推进5万元级双臂方案（基于OpenArm改进，行星关节、额定4kg负载、毫米级精度），目标年底出样，配套主从臂VR遥操与力反馈；</w:t>
      </w:r>
    </w:p>
    <w:p w14:paraId="045736A0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3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灵巧手谱系：高自由度（约22自由度）至低自由度（约11自由度）多档位选型；</w:t>
      </w:r>
    </w:p>
    <w:p w14:paraId="18739079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4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探索华丰高速连接器与商业航天方向的结合应用。</w:t>
      </w:r>
    </w:p>
    <w:p w14:paraId="473178FE">
      <w:pPr>
        <w:spacing w:after="8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>f) 【投融资合作推进】</w:t>
      </w:r>
      <w:r>
        <w:rPr>
          <w:rFonts w:ascii="微软雅黑" w:hAnsi="微软雅黑" w:eastAsia="微软雅黑"/>
          <w:sz w:val="21"/>
          <w:szCs w:val="21"/>
        </w:rPr>
        <w:t>根据甲乙方实际需求，进行投融资活动，推进双方在关键合作伙伴的战略布局，通过探讨甲乙方的股权合作，形成战略绑定。长虹及申万宏源基金有意作为战略投资者参与甲方融资（甲方第一轮融资基本close，欢迎产业方作为战略投资者），并为后续对接成都高新区、四川省政府产业基金创造条件。</w:t>
      </w:r>
    </w:p>
    <w:p w14:paraId="34AA2BE0">
      <w:pPr>
        <w:spacing w:after="120" w:line="320" w:lineRule="auto"/>
      </w:pPr>
      <w:r>
        <w:rPr>
          <w:rFonts w:ascii="微软雅黑" w:hAnsi="微软雅黑" w:eastAsia="微软雅黑"/>
          <w:b/>
          <w:bCs/>
          <w:color w:val="1F4E79"/>
          <w:sz w:val="21"/>
          <w:szCs w:val="21"/>
        </w:rPr>
        <w:t xml:space="preserve">g) </w:t>
      </w:r>
      <w:r>
        <w:rPr>
          <w:rFonts w:ascii="微软雅黑" w:hAnsi="微软雅黑" w:eastAsia="微软雅黑"/>
          <w:sz w:val="21"/>
          <w:szCs w:val="21"/>
        </w:rPr>
        <w:t>其他领域依据双方合作情况需要后续另行补充，增加的合作领域可以以该协议的补充协议方式明确。</w:t>
      </w:r>
    </w:p>
    <w:p w14:paraId="1B2D8C93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2、【补充本次合同中甲方的义务】。</w:t>
      </w:r>
    </w:p>
    <w:p w14:paraId="3FDA1098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3、【补充本次合同中乙方方的义务】。</w:t>
      </w:r>
    </w:p>
    <w:p w14:paraId="692BBEED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4、乙方全力配合甲方上述方面需求，根据甲方的需求和规划，不断完善【具身智能大脑与手眼脑协同产品、后训练平台】的能力和服务，为甲方提供全面的【服务内容】，帮助甲方不断完善其【具体运用领域】产品的具身服务能力、拓展应用场景。</w:t>
      </w:r>
    </w:p>
    <w:p w14:paraId="166551D9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5、甲方有意在行业中主导【具身智能大脑及手眼脑增量部件】领域的具身智能相关标准及体系的建立，乙方将积极配合甲方的上述工作。</w:t>
      </w:r>
    </w:p>
    <w:p w14:paraId="4D099077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6、甲方积极参与乙方在【具体合作领域】领域的建设，可根据双方共识，协助乙方【搭建更多实用化的场景，不断丰富具身数据集】。</w:t>
      </w:r>
    </w:p>
    <w:p w14:paraId="49803A21">
      <w:pPr>
        <w:spacing w:after="120" w:line="340" w:lineRule="auto"/>
      </w:pPr>
      <w:r>
        <w:rPr>
          <w:rFonts w:ascii="微软雅黑" w:hAnsi="微软雅黑" w:eastAsia="微软雅黑"/>
          <w:sz w:val="21"/>
          <w:szCs w:val="21"/>
        </w:rPr>
        <w:t>7、商标使用许可：双方在推广中需要使用对方商标标识的，必须事先取得对方的书面商标授权书或商标许可协议，明确商标使用的类别、时间、范围及使用方式等。具体以对方出具的授权书或商标许可协议为准。无书面商标授权书或商标许可协议，则视为违约。</w:t>
      </w:r>
    </w:p>
    <w:p w14:paraId="190770BC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四、合作机制</w:t>
      </w:r>
    </w:p>
    <w:p w14:paraId="2B51CD6F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高层会晤机制：双方建立高层会晤机制，定期召开专题会议，研究商讨重大合作事宜，协调解决有关问题。</w:t>
      </w:r>
    </w:p>
    <w:p w14:paraId="1F67C9C7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项目组建机制：双方联合组建项目组研究团队，进行交流对接，就合作内容进行分工协作、密切配合，促进知识和资源的共享；联合项目组事项落实到人，明确各专项负责人。</w:t>
      </w:r>
    </w:p>
    <w:p w14:paraId="17169D64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3.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日常联络协调机制：双方建立日常联络协调机制，确定相关部门或单位作为日常联络机构，负责双方之间的日常联络、协调和对接，推动落实具体合作；甲方指定统一商务对接入口，负责分发各专项负责人。</w:t>
      </w:r>
    </w:p>
    <w:p w14:paraId="2795566D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五、保密约定及其它</w:t>
      </w:r>
    </w:p>
    <w:p w14:paraId="4D9C4552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双方对其保密信息包括：信息、技术、经验、以及技术、操作、管理、财务或商业性质的数据，或口头或书面格式的文件、材料、图样、图表、光盘、文章、样品、模型等，一方（信息提供方）向另一方（信息获取方）提供的保密信息（无论是有意的、无意的、或一方同意另一方的代表参观它的厂房、机构所致）。</w:t>
      </w:r>
    </w:p>
    <w:p w14:paraId="0EC5D3A4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所有有关涉及对方商业秘密的信息应严格保密，未经对方事先书面同意，不得向第三方透露。</w:t>
      </w:r>
    </w:p>
    <w:p w14:paraId="3943C16C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3.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甲乙双方在合作过程中涉及的对方技术、商业信息、资料应被视为对方的商业秘密，对方必须给予保密，不得自己使用或泄露给任何第三方，否则应承担给对方公司所造成的经济损失。</w:t>
      </w:r>
    </w:p>
    <w:p w14:paraId="209EEAE3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4.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在各类媒体上的信息发布，凡涉及到本战略伙伴合作协议的内容（包括文字和图片）均须经甲乙双方确认后方可对外发稿。</w:t>
      </w:r>
    </w:p>
    <w:p w14:paraId="3F77E53E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5.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以上几项保密义务在本合同终止后持续有效，直至保密信息非因信息获取方违约而公开之日止，或自本协议终止之日起五年止（以较早发生的时间为准）。</w:t>
      </w:r>
    </w:p>
    <w:p w14:paraId="1AD9DA9A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6.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本条款不因合同变更、修改、接触而失效。</w:t>
      </w:r>
    </w:p>
    <w:p w14:paraId="0A7671B9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六、知识产权</w:t>
      </w:r>
    </w:p>
    <w:p w14:paraId="702C140B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的履行不影响双方原本拥有的背景知识产权的归属，其仍然归原权利人所有。合作过程中，甲乙双方应相互尊重彼此的背景知识产权，未经另一方书面同意，不得使用或侵犯其专利权、商标权、著作权、商业秘密等知识产权。</w:t>
      </w:r>
    </w:p>
    <w:p w14:paraId="1A896A4F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甲方在本框架协议下自行开发的产品和技术的所有权和知识产权，全部归甲方所有，乙方如需要使用，需另行与甲方签署合约。乙方在本框架协议下自行开发的产品和技术的所有权和知识产权，全部归乙方所有，甲方如需要使用，需另行与乙方签署合约。</w:t>
      </w:r>
    </w:p>
    <w:p w14:paraId="05987AD3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3.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在本框架协议下，双方联合开发的项目或甲方委托乙方开发的项目，参考如下原则处理：</w:t>
      </w:r>
    </w:p>
    <w:p w14:paraId="2A18798C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1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联合开发的产品和技术的所有权和知识产权，原则上归双方共有，且在本协议的有效期限内具有排他性，任何一方在应用于第三方或其他商业用途时，需以书面方式告知并获得另一方的书面许可；</w:t>
      </w:r>
    </w:p>
    <w:p w14:paraId="2C34BC84">
      <w:pPr>
        <w:spacing w:after="60" w:line="320" w:lineRule="auto"/>
        <w:ind w:left="640" w:hanging="240"/>
      </w:pPr>
      <w:r>
        <w:rPr>
          <w:rFonts w:ascii="微软雅黑" w:hAnsi="微软雅黑" w:eastAsia="微软雅黑"/>
          <w:sz w:val="21"/>
          <w:szCs w:val="21"/>
        </w:rPr>
        <w:t>（</w:t>
      </w: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>2</w:t>
      </w:r>
      <w:r>
        <w:rPr>
          <w:rFonts w:ascii="微软雅黑" w:hAnsi="微软雅黑" w:eastAsia="微软雅黑"/>
          <w:sz w:val="21"/>
          <w:szCs w:val="21"/>
        </w:rPr>
        <w:t xml:space="preserve">）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甲方委托乙方进行开发的产品和技术的所有权和知识产权，归甲方所有，乙方若需要应用于第三方或其他商业用途时，需以书面方式告知并获得甲方的书面许可。</w:t>
      </w:r>
    </w:p>
    <w:p w14:paraId="60ED71D5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4.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双方共同确认：本协议内关于知识产权的约定为原则上的指导性约定，双方应就具体合作项目另行协商并签署具体的项目合作协议，关于双方背景知识产权的界定、合作项目的研究成果及其形成的知识产权的归属，以及在此基础上改进完成的新技术成果的归属、商业收益分配等，应以具体项目合作协议的约定为准。</w:t>
      </w:r>
    </w:p>
    <w:p w14:paraId="025E2A81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5.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开源数据与开源baseline模型：双方联合开源的1000小时灵巧操作数据集及baseline模型（action部分），其开源许可范围与使用规范由双方另行书面确认；商业化基模不参与开源，以加密服务化形式授权使用。</w:t>
      </w:r>
    </w:p>
    <w:p w14:paraId="73250C6A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6.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联合采集的数据：双方联合采集的操作数据，甲方拥有用于模型训练和算法迭代的完整使用权，商业化权益分配以具体项目协议为准。</w:t>
      </w:r>
    </w:p>
    <w:p w14:paraId="2AFFDA3C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七、争议解决</w:t>
      </w:r>
    </w:p>
    <w:p w14:paraId="0A95B1CF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本合约及其相关附约或附件如有未尽事宜，应依中华人民共和国法律、法规解释或补充。</w:t>
      </w:r>
    </w:p>
    <w:p w14:paraId="372C6DE7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双方约定，本合同有关的任何纠纷，双方应先行协商解决，无法协商达成一致的，任何一方有权向被告所在地的法院提起诉讼。</w:t>
      </w:r>
    </w:p>
    <w:p w14:paraId="3D33717F">
      <w:pPr>
        <w:pStyle w:val="2"/>
        <w:spacing w:before="320" w:after="160"/>
      </w:pPr>
      <w:r>
        <w:rPr>
          <w:rFonts w:ascii="微软雅黑" w:hAnsi="微软雅黑" w:eastAsia="微软雅黑"/>
          <w:b/>
          <w:bCs/>
          <w:color w:val="1F4E79"/>
          <w:sz w:val="30"/>
          <w:szCs w:val="30"/>
        </w:rPr>
        <w:t>八、其它</w:t>
      </w:r>
    </w:p>
    <w:p w14:paraId="3A3944B0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1.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本协议有效期为【】年，自【】起至【】止。</w:t>
      </w:r>
    </w:p>
    <w:p w14:paraId="7E88C97A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2.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本协议自双方签字并加盖公章之日起生效。</w:t>
      </w:r>
    </w:p>
    <w:p w14:paraId="1619C88B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3.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本协议期满时，双方应优先考虑与对方续约合作。</w:t>
      </w:r>
    </w:p>
    <w:p w14:paraId="0F61F5BB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4.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甲乙任何一方如提前终止协议，需提前三个月通知另一方。</w:t>
      </w:r>
    </w:p>
    <w:p w14:paraId="0CAC4873">
      <w:pPr>
        <w:spacing w:after="60" w:line="320" w:lineRule="auto"/>
        <w:ind w:left="400" w:hanging="300"/>
      </w:pPr>
      <w:r>
        <w:rPr>
          <w:rFonts w:ascii="微软雅黑" w:hAnsi="微软雅黑" w:eastAsia="微软雅黑"/>
          <w:b/>
          <w:bCs/>
          <w:color w:val="2E74B5"/>
          <w:sz w:val="21"/>
          <w:szCs w:val="21"/>
        </w:rPr>
        <w:t xml:space="preserve">5. </w:t>
      </w:r>
      <w:r>
        <w:rPr>
          <w:rFonts w:ascii="微软雅黑" w:hAnsi="微软雅黑" w:eastAsia="微软雅黑"/>
          <w:b w:val="0"/>
          <w:bCs w:val="0"/>
          <w:sz w:val="21"/>
          <w:szCs w:val="21"/>
        </w:rPr>
        <w:t>本协议一式二份，双方各执一份，每份具有同等效力。</w:t>
      </w:r>
    </w:p>
    <w:p w14:paraId="10981553">
      <w:pPr>
        <w:spacing w:after="120" w:line="340" w:lineRule="auto"/>
      </w:pPr>
      <w:r>
        <w:rPr>
          <w:rFonts w:ascii="微软雅黑" w:hAnsi="微软雅黑" w:eastAsia="微软雅黑"/>
          <w:color w:val="595959"/>
          <w:sz w:val="21"/>
          <w:szCs w:val="21"/>
        </w:rPr>
        <w:t>（以下无正文）</w:t>
      </w:r>
    </w:p>
    <w:p w14:paraId="228E72E6">
      <w:pPr>
        <w:spacing w:after="120" w:line="340" w:lineRule="auto"/>
      </w:pPr>
      <w:r>
        <w:rPr>
          <w:rFonts w:ascii="微软雅黑" w:hAnsi="微软雅黑" w:eastAsia="微软雅黑"/>
          <w:color w:val="595959"/>
          <w:sz w:val="21"/>
          <w:szCs w:val="21"/>
        </w:rPr>
        <w:t>（本页无正文，为《战略合作框架协议》之签署页）</w:t>
      </w:r>
    </w:p>
    <w:p w14:paraId="308809B2">
      <w:pPr>
        <w:spacing w:after="120" w:line="340" w:lineRule="auto"/>
      </w:pPr>
    </w:p>
    <w:p w14:paraId="5B7B3BD8">
      <w:pPr>
        <w:spacing w:after="200"/>
      </w:pPr>
      <w:r>
        <w:rPr>
          <w:rFonts w:ascii="微软雅黑" w:hAnsi="微软雅黑" w:eastAsia="微软雅黑"/>
          <w:b/>
          <w:bCs/>
          <w:sz w:val="21"/>
          <w:szCs w:val="21"/>
        </w:rPr>
        <w:t>甲方：</w:t>
      </w:r>
      <w:r>
        <w:rPr>
          <w:rFonts w:ascii="微软雅黑" w:hAnsi="微软雅黑" w:eastAsia="微软雅黑"/>
          <w:sz w:val="21"/>
          <w:szCs w:val="21"/>
        </w:rPr>
        <w:t>睦灵科技（杭州）有限公司（盖章）</w:t>
      </w:r>
    </w:p>
    <w:p w14:paraId="13251EB5">
      <w:pPr>
        <w:spacing w:after="60"/>
      </w:pPr>
      <w:r>
        <w:rPr>
          <w:rFonts w:ascii="微软雅黑" w:hAnsi="微软雅黑" w:eastAsia="微软雅黑"/>
          <w:sz w:val="21"/>
          <w:szCs w:val="21"/>
        </w:rPr>
        <w:t>签字：</w:t>
      </w:r>
    </w:p>
    <w:p w14:paraId="413C589B">
      <w:pPr>
        <w:spacing w:after="400"/>
      </w:pPr>
      <w:r>
        <w:rPr>
          <w:rFonts w:ascii="微软雅黑" w:hAnsi="微软雅黑" w:eastAsia="微软雅黑"/>
          <w:sz w:val="21"/>
          <w:szCs w:val="21"/>
        </w:rPr>
        <w:t xml:space="preserve">        年         月         日</w:t>
      </w:r>
    </w:p>
    <w:p w14:paraId="2268ED75">
      <w:pPr>
        <w:spacing w:after="200"/>
      </w:pPr>
      <w:r>
        <w:rPr>
          <w:rFonts w:ascii="微软雅黑" w:hAnsi="微软雅黑" w:eastAsia="微软雅黑"/>
          <w:b/>
          <w:bCs/>
          <w:sz w:val="21"/>
          <w:szCs w:val="21"/>
        </w:rPr>
        <w:t>乙方：</w:t>
      </w:r>
      <w:r>
        <w:rPr>
          <w:rFonts w:ascii="微软雅黑" w:hAnsi="微软雅黑" w:eastAsia="微软雅黑"/>
          <w:sz w:val="21"/>
          <w:szCs w:val="21"/>
        </w:rPr>
        <w:t>【长虹集团旗下具身智能/机器人业务主体】（盖章）</w:t>
      </w:r>
    </w:p>
    <w:p w14:paraId="6417EEDF">
      <w:pPr>
        <w:spacing w:after="60"/>
      </w:pPr>
      <w:r>
        <w:rPr>
          <w:rFonts w:ascii="微软雅黑" w:hAnsi="微软雅黑" w:eastAsia="微软雅黑"/>
          <w:sz w:val="21"/>
          <w:szCs w:val="21"/>
        </w:rPr>
        <w:t>签字：</w:t>
      </w:r>
    </w:p>
    <w:p w14:paraId="4A324E1B">
      <w:pPr>
        <w:spacing w:after="60"/>
      </w:pPr>
      <w:r>
        <w:rPr>
          <w:rFonts w:ascii="微软雅黑" w:hAnsi="微软雅黑" w:eastAsia="微软雅黑"/>
          <w:sz w:val="21"/>
          <w:szCs w:val="21"/>
        </w:rPr>
        <w:t xml:space="preserve">        年         月         日</w:t>
      </w:r>
    </w:p>
    <w:sectPr>
      <w:pgSz w:w="11906" w:h="16838"/>
      <w:pgMar w:top="1200" w:right="1300" w:bottom="12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D22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sz w:val="21"/>
      <w:szCs w:val="21"/>
    </w:rPr>
  </w:style>
  <w:style w:type="paragraph" w:styleId="2">
    <w:name w:val="heading 1"/>
    <w:next w:val="1"/>
    <w:qFormat/>
    <w:uiPriority w:val="0"/>
    <w:rPr>
      <w:rFonts w:ascii="微软雅黑" w:hAnsi="微软雅黑" w:eastAsia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6159</Words>
  <Characters>6444</Characters>
  <TotalTime>12</TotalTime>
  <ScaleCrop>false</ScaleCrop>
  <LinksUpToDate>false</LinksUpToDate>
  <CharactersWithSpaces>6573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2026-08-19T02:10:00Z</dcterms:created>
  <dc:creator>Un-named</dc:creator>
  <cp:lastModifiedBy>Anson</cp:lastModifiedBy>
  <dcterms:modified xsi:type="dcterms:W3CDTF">2026-08-19T02:24:17Z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C60A4F5AD39448DDB8427252A3EB6C51_12</vt:lpwstr>
  </property>
</Properties>
</file>