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5CDDB">
      <w:pPr>
        <w:spacing w:before="240" w:after="40"/>
        <w:jc w:val="left"/>
      </w:pPr>
      <w:r>
        <w:rPr>
          <w:rFonts w:hint="eastAsia"/>
          <w:b/>
          <w:i w:val="0"/>
          <w:color w:val="1F4E79"/>
          <w:sz w:val="30"/>
          <w:u w:val="single"/>
          <w:lang w:val="en-US" w:eastAsia="zh-CN"/>
        </w:rPr>
        <w:t>一</w:t>
      </w:r>
      <w:r>
        <w:rPr>
          <w:rFonts w:ascii="微软雅黑" w:hAnsi="微软雅黑" w:eastAsia="微软雅黑"/>
          <w:b/>
          <w:i w:val="0"/>
          <w:color w:val="1F4E79"/>
          <w:sz w:val="30"/>
          <w:u w:val="single"/>
        </w:rPr>
        <w:t>、协议核心争议解决（训练场/硬件/数据三本合同）</w:t>
      </w:r>
    </w:p>
    <w:p w14:paraId="1B4AAFCE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  <w:highlight w:val="yellow"/>
        </w:rPr>
        <w:t>保底数据量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2.2 条争议：睦灵当前业务高速变化，2.2 条"硬指标保底"难以承诺，最终解决方案为"按阶段时间 + 数据标准动态调整"——即 2.2 条改为"阶段性下订单"，每阶段通过采购单明确数据量与验收标准。</w:t>
      </w:r>
    </w:p>
    <w:p w14:paraId="210FA4BD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3.3 </w:t>
      </w:r>
      <w:r>
        <w:rPr>
          <w:rFonts w:ascii="微软雅黑" w:hAnsi="微软雅黑" w:eastAsia="微软雅黑"/>
          <w:b w:val="0"/>
          <w:i w:val="0"/>
          <w:color w:val="333333"/>
          <w:sz w:val="22"/>
          <w:highlight w:val="yellow"/>
        </w:rPr>
        <w:t>质保金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5% 争议（国资常规要求）：甲方出于国资监管要求需 3%-5% 质保金，睦灵建议"国企常规 3% 即可"，最终确认"3%-5% 区间按国资要求不能低于 3%"，保留商务谈判弹性。</w:t>
      </w:r>
    </w:p>
    <w:p w14:paraId="66BEB927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5.4/5.5 </w:t>
      </w:r>
      <w:r>
        <w:rPr>
          <w:rFonts w:ascii="微软雅黑" w:hAnsi="微软雅黑" w:eastAsia="微软雅黑"/>
          <w:b w:val="0"/>
          <w:i w:val="0"/>
          <w:color w:val="333333"/>
          <w:sz w:val="22"/>
          <w:highlight w:val="yellow"/>
        </w:rPr>
        <w:t>验收标准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争议（"互相倒逼"VS"共同成果"）：长虹方最初条款措辞倾向于"验收不达标即触发赔偿/退订"，睦灵建议"作为双方共同成果分阶段建立"——即验收标准不作为压制工具，而作为双方阶段性确认的产出物。</w:t>
      </w:r>
    </w:p>
    <w:p w14:paraId="5ED4324E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  <w:highlight w:val="yellow"/>
        </w:rPr>
        <w:t>数据归属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 7.2/7.3（"独占"VS"非独占+限竞品"）：数据非独占但限竞品——即数据为长虹资产，睦灵可用作模型训练但仅限具身智能机器人同业 + 投资方公司除外；长虹可作为资产入表用于自己训练。</w:t>
      </w:r>
    </w:p>
    <w:p w14:paraId="57AFD5D6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大合同结构设计（邹宇/Tony 与田明共同梳理）：MOU（战略合作框架）+ 多个业务子合同（训练场数据采购 / 硬件定制 / 后期训练等）+ 附件（每次采购订单作为子合同附件）——形成</w:t>
      </w:r>
      <w:r>
        <w:rPr>
          <w:rFonts w:ascii="微软雅黑" w:hAnsi="微软雅黑" w:eastAsia="微软雅黑"/>
          <w:b w:val="0"/>
          <w:i w:val="0"/>
          <w:color w:val="333333"/>
          <w:sz w:val="22"/>
          <w:highlight w:val="yellow"/>
        </w:rPr>
        <w:t>"框架→业务合同→订单子合同"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三段式架构，每次下订单盖章生效。</w:t>
      </w:r>
    </w:p>
    <w:p w14:paraId="0811217D">
      <w:pPr>
        <w:spacing w:before="240" w:after="40"/>
        <w:jc w:val="left"/>
      </w:pPr>
      <w:r>
        <w:rPr>
          <w:rFonts w:hint="eastAsia"/>
          <w:b/>
          <w:i w:val="0"/>
          <w:color w:val="1F4E79"/>
          <w:sz w:val="30"/>
          <w:u w:val="single"/>
          <w:lang w:val="en-US" w:eastAsia="zh-CN"/>
        </w:rPr>
        <w:t>二</w:t>
      </w:r>
      <w:r>
        <w:rPr>
          <w:rFonts w:ascii="微软雅黑" w:hAnsi="微软雅黑" w:eastAsia="微软雅黑"/>
          <w:b/>
          <w:i w:val="0"/>
          <w:color w:val="1F4E79"/>
          <w:sz w:val="30"/>
          <w:u w:val="single"/>
        </w:rPr>
        <w:t>、商业模式确认</w:t>
      </w:r>
    </w:p>
    <w:p w14:paraId="5E4AD498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代工模式确认（田明建议）：先按"睦灵出装置+长虹出人采"模式跑起来，长虹有优先量产权但需评估周期——即睦灵提供采集装置（硬件设备+采集算法），长虹组织人员（张维等）按要求采集数据，最终数据归长虹资产。</w:t>
      </w:r>
    </w:p>
    <w:p w14:paraId="7C8991F6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商业模式确认（睦灵买长虹 + 长虹买睦灵 = 互相买卖 + 算总账）：①睦灵买：长虹训练场数据 + 长虹硬件本体 + 长虹评测服务；②长虹买：睦灵真机评测 + 素材装置定制；③结算方式：互为买卖、算总账（每月对冲）；④睦灵不参与硬件本体量产设计。</w:t>
      </w:r>
    </w:p>
    <w:p w14:paraId="52D89DBF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硬件盘活逻辑：长虹训练场跑数据，睦灵收过路费（数据归长虹但睦灵按需使用），其他厂商可后续使用（如字节等第三方可作为评测服务客户）；当前西南联交所对张维那两台机器人有盘活需求，需明确"训练场商业化是必然方向"。</w:t>
      </w:r>
    </w:p>
    <w:p w14:paraId="49D68C97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长虹国企合规核心痛点：①训练场买机器人后政府反向考核——"你不卖就是国资流失"；②ODC 供应商约束管理——"必须先把我这个千万级的供应商的所有条条款款绑给他"；③链条化风险——"一旦签了一个条款错了就出现了链条化"；④张</w:t>
      </w:r>
      <w:r>
        <w:rPr>
          <w:rFonts w:hint="eastAsia"/>
          <w:b w:val="0"/>
          <w:i w:val="0"/>
          <w:color w:val="333333"/>
          <w:sz w:val="22"/>
          <w:lang w:val="en-US" w:eastAsia="zh-CN"/>
        </w:rPr>
        <w:t>梅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压力最大（成都国资委派驻负责人）；⑤建议"先拍个大概数+敞口、后面再战略价值报告"。</w:t>
      </w:r>
    </w:p>
    <w:p w14:paraId="67CA0CB8">
      <w:pPr>
        <w:spacing w:after="60" w:line="360" w:lineRule="auto"/>
        <w:ind w:left="420" w:hanging="34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结算流程与合同结构（童哥梳理）：框架协议（最泛/战略）→ 业务合同（基于框架）→ 订单子合同（每月或每季度下订单，可邮件确认或签字盖章）——长虹国资流程"只要有明确框架，下面流程就快"；结算单需双方盖章；考虑用长虹订单系统以简化流程。</w:t>
      </w:r>
    </w:p>
    <w:p w14:paraId="60A3DE4F">
      <w:pPr>
        <w:spacing w:before="240" w:after="40"/>
        <w:jc w:val="left"/>
      </w:pPr>
      <w:r>
        <w:rPr>
          <w:rFonts w:ascii="微软雅黑" w:hAnsi="微软雅黑" w:eastAsia="微软雅黑"/>
          <w:b/>
          <w:i w:val="0"/>
          <w:color w:val="1F4E79"/>
          <w:sz w:val="30"/>
          <w:u w:val="single"/>
        </w:rPr>
        <w:t>Action Items（行动项与责任人）</w:t>
      </w:r>
    </w:p>
    <w:tbl>
      <w:tblPr>
        <w:tblStyle w:val="2"/>
        <w:tblW w:w="94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2050"/>
        <w:gridCol w:w="6612"/>
      </w:tblGrid>
      <w:tr w14:paraId="67C0E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1B71D49A">
            <w:pPr>
              <w:spacing w:line="288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序号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1E77906B">
            <w:pPr>
              <w:spacing w:line="288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责任人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</w:tcPr>
          <w:p w14:paraId="3063DE3D">
            <w:pPr>
              <w:spacing w:line="288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行动项</w:t>
            </w:r>
          </w:p>
        </w:tc>
      </w:tr>
      <w:tr w14:paraId="1F495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A7AE7D4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1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48EA7FD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睦灵-邹宇（Tony）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0CF69D1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本周五前提交训练场协议（2.2/3.3/5.4/5.5）的修订方案：保底数据量按阶段动态定（设备到货+测试后开始计时）、质保金按国资 3%-5% 区间、验收标准作为"双方共同成果"而非"压制工具"。</w:t>
            </w:r>
          </w:p>
        </w:tc>
      </w:tr>
      <w:tr w14:paraId="60A66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309E5C6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2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7AFB628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睦灵-邹宇（Tony）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9B17FD6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硬件协议 3.1（产品项目确认书）：将需求导入+报价流程明确化——超过报价部分由万涛承担，需求不明确则无法评估工作量；3.4（阶段放行指标）按阶梯式一二段拆分；3.5（责任共担）改为"双方各自投入、共担风险"；6.4（整改时间）从 60 天拉长到 90 天。</w:t>
            </w:r>
          </w:p>
        </w:tc>
      </w:tr>
      <w:tr w14:paraId="7FB28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7A1C6F2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3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2BE3E545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睦灵-田明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20AEBF8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本周内对接张维，确认前期可小批量试采的设备清单（机器人型号、数据类型、采集人员配置），走邮件方式确认——前期不签合同，先按长虹内部研发名义干起来。</w:t>
            </w:r>
          </w:p>
        </w:tc>
      </w:tr>
      <w:tr w14:paraId="29A20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9157EE">
            <w:pPr>
              <w:spacing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67DA9487">
            <w:pPr>
              <w:spacing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长虹-</w:t>
            </w:r>
            <w:r>
              <w:rPr>
                <w:rFonts w:hint="eastAsia"/>
                <w:b w:val="0"/>
                <w:i w:val="0"/>
                <w:color w:val="333333"/>
                <w:sz w:val="21"/>
                <w:lang w:val="en-US" w:eastAsia="zh-CN"/>
              </w:rPr>
              <w:t>童哥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176E44F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梳理训练场买机器人的政府反向考核+ODC供应商管理链条化风险，给出"敞口建议"；并明确结算流程：业务合同下订单子合同（邮件/签字/盖章三选一）。</w:t>
            </w:r>
          </w:p>
        </w:tc>
      </w:tr>
      <w:tr w14:paraId="0779F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BF4A4A7">
            <w:pPr>
              <w:spacing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F8E8395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长虹-张维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3630C8C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确认西南联交所对训练场 2 台机器人的盘活需求；在公司法人未成立前，由长虹内部以"内部研发项目"立项，先行试采数据。</w:t>
            </w:r>
          </w:p>
        </w:tc>
      </w:tr>
      <w:tr w14:paraId="3BA66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FC875D">
            <w:pPr>
              <w:spacing w:line="288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57319B7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长虹-万涛（涛哥）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45AC7DBE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对接睦灵邹宇（Tony），明确 3.1 产品项目确认书的需求导入流程；按"收定支"原则，在 90 万合同范围内做硬件定制。</w:t>
            </w:r>
          </w:p>
        </w:tc>
      </w:tr>
      <w:tr w14:paraId="3EE28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16960582">
            <w:pPr>
              <w:spacing w:line="288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BB11539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睦灵-邹宇（Tony）+ 长虹-童哥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5C2924C8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MOU 协议近期一两次定稿后，长虹走集团内部法务审批流程；公司法人 9 月底或 10 月初成立后正式签约。</w:t>
            </w:r>
          </w:p>
        </w:tc>
      </w:tr>
      <w:tr w14:paraId="0BB38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  <w:jc w:val="center"/>
        </w:trPr>
        <w:tc>
          <w:tcPr>
            <w:tcW w:w="74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786E7192">
            <w:pPr>
              <w:spacing w:line="288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25C969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睦灵-Anson</w:t>
            </w:r>
          </w:p>
        </w:tc>
        <w:tc>
          <w:tcPr>
            <w:tcW w:w="66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301AAE47">
            <w:pPr>
              <w:spacing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1"/>
              </w:rPr>
              <w:t>协调"长虹机器人小镇""茶百道/霸王茶姬/"等商业场景推进节奏；为国庆后访问绵阳做行程安排。</w:t>
            </w:r>
          </w:p>
        </w:tc>
      </w:tr>
    </w:tbl>
    <w:p w14:paraId="79D8956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0636C"/>
    <w:rsid w:val="504A149F"/>
    <w:rsid w:val="5710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1699</Words>
  <Characters>1811</Characters>
  <Lines>0</Lines>
  <Paragraphs>0</Paragraphs>
  <TotalTime>223</TotalTime>
  <ScaleCrop>false</ScaleCrop>
  <LinksUpToDate>false</LinksUpToDate>
  <CharactersWithSpaces>1883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2026-09-09T02:52:00Z</dcterms:created>
  <dc:creator>Anson</dc:creator>
  <cp:lastModifiedBy>Anson</cp:lastModifiedBy>
  <dcterms:modified xsi:type="dcterms:W3CDTF">2026-09-09T06:38:38Z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31D62FA879844A2788AC9FD528EAEC00_11</vt:lpwstr>
  </property>
  <property fmtid="{D5CDD505-2E9C-101B-9397-08002B2CF9AE}" pid="4" name="KSOTemplateDocerSaveRecord">
    <vt:lpwstr>eyJoZGlkIjoiMDljYzUzMWQ4OWI0YzBkYjYzMDRhZTY5ZjZkYmFmYTgiLCJ1c2VySWQiOiI0MzU1NzQ3NTQifQ==</vt:lpwstr>
  </property>
</Properties>
</file>