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8F757">
      <w:pPr>
        <w:spacing w:before="120" w:after="80" w:line="312" w:lineRule="auto"/>
        <w:jc w:val="center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RoboX × 长虹 合作谈判一页纸（CFO 会谈版）</w:t>
      </w:r>
    </w:p>
    <w:p w14:paraId="4EBF3493">
      <w:pPr>
        <w:spacing w:before="0" w:after="80" w:line="312" w:lineRule="auto"/>
      </w:pPr>
      <w:r>
        <w:rPr>
          <w:rFonts w:ascii="微软雅黑" w:hAnsi="微软雅黑" w:eastAsia="微软雅黑"/>
          <w:b w:val="0"/>
          <w:i w:val="0"/>
          <w:color w:val="808080"/>
          <w:sz w:val="19"/>
        </w:rPr>
        <w:t>日期：2026-09-07　｜</w:t>
      </w:r>
      <w:bookmarkStart w:id="0" w:name="_GoBack"/>
      <w:bookmarkEnd w:id="0"/>
    </w:p>
    <w:p w14:paraId="5C04A757">
      <w:pPr>
        <w:pBdr>
          <w:bottom w:val="single" w:color="1F4E79" w:sz="6" w:space="1"/>
        </w:pBdr>
        <w:spacing w:before="280" w:after="80" w:line="312" w:lineRule="auto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一、一句话定位与僵局本质</w:t>
      </w:r>
    </w:p>
    <w:p w14:paraId="6E5322A2">
      <w:pPr>
        <w:spacing w:before="160" w:after="160" w:line="336" w:lineRule="auto"/>
      </w:pPr>
      <w:r>
        <w:rPr>
          <w:rFonts w:ascii="微软雅黑" w:hAnsi="微软雅黑" w:eastAsia="微软雅黑"/>
          <w:b/>
          <w:i w:val="0"/>
          <w:color w:val="2E5C8A"/>
          <w:sz w:val="23"/>
        </w:rPr>
        <w:t>把“设备采购 + 数据采集 + 模型服务”从一笔单边采购对赌，重构为“分阶段验证 + 政策对冲 + 收入分成”的三层结构，让国企的合规与不亏损诉求、RoboX 的轻资产与数据/IP 权益同时成立。</w:t>
      </w:r>
    </w:p>
    <w:p w14:paraId="2391A89E">
      <w:pPr>
        <w:spacing w:before="0" w:after="120" w:line="312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僵局本质：长虹怕“设备沉没 + 审计追责”，RoboX 怕“大额兜底 + 数据/IP 被套牢”。解法：把一次性大额对赌拆成分阶段、有条件、可解锁的承诺，并以兜底换对等独占权益。</w:t>
      </w:r>
    </w:p>
    <w:p w14:paraId="72A4F7CE">
      <w:pPr>
        <w:pBdr>
          <w:bottom w:val="single" w:color="1F4E79" w:sz="6" w:space="1"/>
        </w:pBdr>
        <w:spacing w:before="280" w:after="80" w:line="312" w:lineRule="auto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二、给长虹 CFO 的三句话（结构提案）</w:t>
      </w:r>
    </w:p>
    <w:p w14:paraId="2293D310">
      <w:pPr>
        <w:spacing w:before="120" w:after="120" w:line="312" w:lineRule="auto"/>
      </w:pPr>
      <w:r>
        <w:rPr>
          <w:rFonts w:ascii="微软雅黑" w:hAnsi="微软雅黑" w:eastAsia="微软雅黑"/>
          <w:b/>
          <w:i w:val="0"/>
          <w:color w:val="2E5C8A"/>
          <w:sz w:val="23"/>
        </w:rPr>
        <w:t>第 1 句｜分阶段走，每一步可验证、可退出、可申报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041"/>
        <w:gridCol w:w="2948"/>
        <w:gridCol w:w="2494"/>
      </w:tblGrid>
      <w:tr w14:paraId="1881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1"/>
          </w:tcPr>
          <w:p w14:paraId="24A32780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Phase</w:t>
            </w:r>
          </w:p>
        </w:tc>
        <w:tc>
          <w:tcPr>
            <w:tcW w:w="2041" w:type="dxa"/>
            <w:shd w:val="clear" w:color="auto" w:fill="DCE6F1"/>
          </w:tcPr>
          <w:p w14:paraId="0E45CED6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范围</w:t>
            </w:r>
          </w:p>
        </w:tc>
        <w:tc>
          <w:tcPr>
            <w:tcW w:w="2948" w:type="dxa"/>
            <w:shd w:val="clear" w:color="auto" w:fill="DCE6F1"/>
          </w:tcPr>
          <w:p w14:paraId="69538D24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双方投入</w:t>
            </w:r>
          </w:p>
        </w:tc>
        <w:tc>
          <w:tcPr>
            <w:tcW w:w="2494" w:type="dxa"/>
            <w:shd w:val="clear" w:color="auto" w:fill="DCE6F1"/>
          </w:tcPr>
          <w:p w14:paraId="3C8DCFB9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决策门（Gate）</w:t>
            </w:r>
          </w:p>
        </w:tc>
      </w:tr>
      <w:tr w14:paraId="3044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B19E53C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P0（3~6 月）</w:t>
            </w:r>
          </w:p>
        </w:tc>
        <w:tc>
          <w:tcPr>
            <w:tcW w:w="2041" w:type="dxa"/>
          </w:tcPr>
          <w:p w14:paraId="103C58B4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小规模 POC 采集线</w:t>
            </w:r>
          </w:p>
        </w:tc>
        <w:tc>
          <w:tcPr>
            <w:tcW w:w="2948" w:type="dxa"/>
          </w:tcPr>
          <w:p w14:paraId="1BD87E13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长虹出少量设备+产线工时；RoboX 以折扣服务费共担</w:t>
            </w:r>
          </w:p>
        </w:tc>
        <w:tc>
          <w:tcPr>
            <w:tcW w:w="2494" w:type="dxa"/>
          </w:tcPr>
          <w:p w14:paraId="79CEB258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数据质量合格率 [  ]% + 模型量化提升 [  ]%</w:t>
            </w:r>
          </w:p>
        </w:tc>
      </w:tr>
      <w:tr w14:paraId="02484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76EDDB6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P1（放大）</w:t>
            </w:r>
          </w:p>
        </w:tc>
        <w:tc>
          <w:tcPr>
            <w:tcW w:w="2041" w:type="dxa"/>
          </w:tcPr>
          <w:p w14:paraId="128CF52F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正式采集+模型服务</w:t>
            </w:r>
          </w:p>
        </w:tc>
        <w:tc>
          <w:tcPr>
            <w:tcW w:w="2948" w:type="dxa"/>
          </w:tcPr>
          <w:p w14:paraId="1F7E6D59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按 P0 已验证 ROI 立项</w:t>
            </w:r>
          </w:p>
        </w:tc>
        <w:tc>
          <w:tcPr>
            <w:tcW w:w="2494" w:type="dxa"/>
          </w:tcPr>
          <w:p w14:paraId="65D76D7B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达标即放大，未达标低成本退出</w:t>
            </w:r>
          </w:p>
        </w:tc>
      </w:tr>
      <w:tr w14:paraId="0FB7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B267A19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P2（规模化）</w:t>
            </w:r>
          </w:p>
        </w:tc>
        <w:tc>
          <w:tcPr>
            <w:tcW w:w="2041" w:type="dxa"/>
          </w:tcPr>
          <w:p w14:paraId="7ABFF45B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多产线/多品类</w:t>
            </w:r>
          </w:p>
        </w:tc>
        <w:tc>
          <w:tcPr>
            <w:tcW w:w="2948" w:type="dxa"/>
          </w:tcPr>
          <w:p w14:paraId="22B5A550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阶梯扩量，量越大单价越低</w:t>
            </w:r>
          </w:p>
        </w:tc>
        <w:tc>
          <w:tcPr>
            <w:tcW w:w="2494" w:type="dxa"/>
          </w:tcPr>
          <w:p w14:paraId="6A420892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分年解锁</w:t>
            </w:r>
          </w:p>
        </w:tc>
      </w:tr>
    </w:tbl>
    <w:p w14:paraId="7CE4CD6A">
      <w:pPr>
        <w:spacing w:before="0" w:after="40" w:line="312" w:lineRule="auto"/>
      </w:pPr>
    </w:p>
    <w:p w14:paraId="692EEC2A">
      <w:pPr>
        <w:spacing w:before="0" w:after="120" w:line="312" w:lineRule="auto"/>
        <w:ind w:left="170"/>
      </w:pPr>
      <w:r>
        <w:rPr>
          <w:rFonts w:ascii="微软雅黑" w:hAnsi="微软雅黑" w:eastAsia="微软雅黑"/>
          <w:b/>
          <w:i w:val="0"/>
          <w:color w:val="000000"/>
          <w:sz w:val="21"/>
        </w:rPr>
        <w:t>关键设计：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P0 设备选通用可复用型号，提前与设备商签残值回购/转售条款 → 最坏情况下长虹退出损失 ≈ 设备价 × [  ]%（预计 [  ] 万元封顶）。CFO 不必一次批三期资金。</w:t>
      </w:r>
    </w:p>
    <w:p w14:paraId="7CE622DD">
      <w:pPr>
        <w:spacing w:before="160" w:after="120" w:line="312" w:lineRule="auto"/>
      </w:pPr>
      <w:r>
        <w:rPr>
          <w:rFonts w:ascii="微软雅黑" w:hAnsi="微软雅黑" w:eastAsia="微软雅黑"/>
          <w:b/>
          <w:i w:val="0"/>
          <w:color w:val="2E5C8A"/>
          <w:sz w:val="23"/>
        </w:rPr>
        <w:t>第 2 句｜资产风险移出长虹报表（三种结构请 CFO 选合规口径）</w:t>
      </w:r>
    </w:p>
    <w:p w14:paraId="06BCD7E5">
      <w:pPr>
        <w:spacing w:before="0" w:after="120" w:line="312" w:lineRule="auto"/>
        <w:ind w:left="283"/>
      </w:pPr>
      <w:r>
        <w:rPr>
          <w:rFonts w:hint="eastAsia"/>
          <w:b w:val="0"/>
          <w:i w:val="0"/>
          <w:color w:val="000000"/>
          <w:sz w:val="22"/>
          <w:lang w:val="en-US" w:eastAsia="zh-CN"/>
        </w:rPr>
        <w:t>1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. 第三方经营性租赁/融资租赁：设备由租赁方持有，长虹按年付租，账上为运营费用，期满可退可购。</w:t>
      </w:r>
    </w:p>
    <w:p w14:paraId="147C37CF">
      <w:pPr>
        <w:spacing w:before="0" w:after="120" w:line="312" w:lineRule="auto"/>
        <w:ind w:left="283"/>
      </w:pPr>
      <w:r>
        <w:rPr>
          <w:rFonts w:hint="eastAsia"/>
          <w:b w:val="0"/>
          <w:i w:val="0"/>
          <w:color w:val="000000"/>
          <w:sz w:val="22"/>
          <w:lang w:val="en-US" w:eastAsia="zh-CN"/>
        </w:rPr>
        <w:t>2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. 服务费化：设备投入改写为“数据服务费 + 里程碑验收”，不进固定资产审批。</w:t>
      </w:r>
    </w:p>
    <w:p w14:paraId="54003D94">
      <w:pPr>
        <w:spacing w:before="160" w:after="120" w:line="312" w:lineRule="auto"/>
      </w:pPr>
      <w:r>
        <w:rPr>
          <w:rFonts w:ascii="微软雅黑" w:hAnsi="微软雅黑" w:eastAsia="微软雅黑"/>
          <w:b/>
          <w:i w:val="0"/>
          <w:color w:val="2E5C8A"/>
          <w:sz w:val="23"/>
        </w:rPr>
        <w:t>第 3 句｜这笔支出在考核与政策口径里是“政绩”，不是亏损</w:t>
      </w:r>
    </w:p>
    <w:p w14:paraId="031A23AA">
      <w:pPr>
        <w:spacing w:before="0" w:after="120" w:line="312" w:lineRule="auto"/>
        <w:ind w:left="283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• 研发投入视同利润加回（依据见后）→ 项目按“产学研/示范线”立项，财务考核口径不伤利润；</w:t>
      </w:r>
    </w:p>
    <w:p w14:paraId="1848033B">
      <w:pPr>
        <w:spacing w:before="0" w:after="120" w:line="312" w:lineRule="auto"/>
        <w:ind w:left="283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• 数采/灵巧手装备申报首台套 → 保险覆盖“质量缺陷修理更换退货 + 责任风险”，省级保费补贴 70%；</w:t>
      </w:r>
    </w:p>
    <w:p w14:paraId="3C364D67">
      <w:pPr>
        <w:spacing w:before="0" w:after="120" w:line="312" w:lineRule="auto"/>
        <w:ind w:left="283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• 产线数采改造走“智改数转”专项（省级最高 2000 万）；</w:t>
      </w:r>
    </w:p>
    <w:p w14:paraId="079351D0">
      <w:pPr>
        <w:spacing w:before="0" w:after="120" w:line="312" w:lineRule="auto"/>
        <w:ind w:left="283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• 绵阳市级：国/省首台套奖励 50/30 万、智能工厂认定最高 100 万、AI 揭榜挂帅 ≤100 万。</w:t>
      </w:r>
    </w:p>
    <w:p w14:paraId="6639AD5D">
      <w:pPr>
        <w:spacing w:before="0" w:after="120" w:line="312" w:lineRule="auto"/>
        <w:ind w:left="283"/>
      </w:pPr>
      <w:r>
        <w:rPr>
          <w:rFonts w:ascii="微软雅黑" w:hAnsi="微软雅黑" w:eastAsia="微软雅黑"/>
          <w:b w:val="0"/>
          <w:i w:val="0"/>
          <w:color w:val="808080"/>
          <w:sz w:val="19"/>
        </w:rPr>
        <w:t>材料分工：申报书由 RoboX 协助撰写——这是换取对等权益的筹码。</w:t>
      </w:r>
    </w:p>
    <w:p w14:paraId="32BF2416">
      <w:pPr>
        <w:pBdr>
          <w:bottom w:val="single" w:color="1F4E79" w:sz="6" w:space="1"/>
        </w:pBdr>
        <w:spacing w:before="280" w:after="80" w:line="312" w:lineRule="auto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三、财务模型表头（今晚团队填充数据）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1701"/>
        <w:gridCol w:w="3345"/>
      </w:tblGrid>
      <w:tr w14:paraId="213E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  <w:shd w:val="clear" w:color="auto" w:fill="DCE6F1"/>
          </w:tcPr>
          <w:p w14:paraId="2B70B6DF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项目</w:t>
            </w:r>
          </w:p>
        </w:tc>
        <w:tc>
          <w:tcPr>
            <w:tcW w:w="1701" w:type="dxa"/>
            <w:shd w:val="clear" w:color="auto" w:fill="DCE6F1"/>
          </w:tcPr>
          <w:p w14:paraId="6FA19C28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金额（万元）</w:t>
            </w:r>
          </w:p>
        </w:tc>
        <w:tc>
          <w:tcPr>
            <w:tcW w:w="3345" w:type="dxa"/>
            <w:shd w:val="clear" w:color="auto" w:fill="DCE6F1"/>
          </w:tcPr>
          <w:p w14:paraId="126D102B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备注</w:t>
            </w:r>
          </w:p>
        </w:tc>
      </w:tr>
      <w:tr w14:paraId="2CA78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0C7511F3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设备投入（P0/P1/P2 分列）</w:t>
            </w:r>
          </w:p>
        </w:tc>
        <w:tc>
          <w:tcPr>
            <w:tcW w:w="1701" w:type="dxa"/>
          </w:tcPr>
          <w:p w14:paraId="7B4B9652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[  ]</w:t>
            </w:r>
          </w:p>
        </w:tc>
        <w:tc>
          <w:tcPr>
            <w:tcW w:w="3345" w:type="dxa"/>
          </w:tcPr>
          <w:p w14:paraId="43A6C8CB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通用型 + 回购条款</w:t>
            </w:r>
          </w:p>
        </w:tc>
      </w:tr>
      <w:tr w14:paraId="48C8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386C2226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数采 + 运维年成本</w:t>
            </w:r>
          </w:p>
        </w:tc>
        <w:tc>
          <w:tcPr>
            <w:tcW w:w="1701" w:type="dxa"/>
          </w:tcPr>
          <w:p w14:paraId="65D66218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[  ]</w:t>
            </w:r>
          </w:p>
        </w:tc>
        <w:tc>
          <w:tcPr>
            <w:tcW w:w="3345" w:type="dxa"/>
          </w:tcPr>
          <w:p w14:paraId="2FD1288C">
            <w:pPr>
              <w:spacing w:after="40"/>
            </w:pPr>
          </w:p>
        </w:tc>
      </w:tr>
      <w:tr w14:paraId="4C852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2024851F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可回收：首台套保费补贴</w:t>
            </w:r>
          </w:p>
        </w:tc>
        <w:tc>
          <w:tcPr>
            <w:tcW w:w="1701" w:type="dxa"/>
          </w:tcPr>
          <w:p w14:paraId="15335EB7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[  ]</w:t>
            </w:r>
          </w:p>
        </w:tc>
        <w:tc>
          <w:tcPr>
            <w:tcW w:w="3345" w:type="dxa"/>
          </w:tcPr>
          <w:p w14:paraId="11346E43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省级保费 70%；国家配套再 +5%</w:t>
            </w:r>
          </w:p>
        </w:tc>
      </w:tr>
      <w:tr w14:paraId="056DE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3A857C38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可回收：“智改数转”专项</w:t>
            </w:r>
          </w:p>
        </w:tc>
        <w:tc>
          <w:tcPr>
            <w:tcW w:w="1701" w:type="dxa"/>
          </w:tcPr>
          <w:p w14:paraId="6CA8A3CA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[  ]</w:t>
            </w:r>
          </w:p>
        </w:tc>
        <w:tc>
          <w:tcPr>
            <w:tcW w:w="3345" w:type="dxa"/>
          </w:tcPr>
          <w:p w14:paraId="265A2B1E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省级最高 2000 万</w:t>
            </w:r>
          </w:p>
        </w:tc>
      </w:tr>
      <w:tr w14:paraId="35F0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2EE0383A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可回收：市级奖励（首台套/智能工厂/AI 揭榜）</w:t>
            </w:r>
          </w:p>
        </w:tc>
        <w:tc>
          <w:tcPr>
            <w:tcW w:w="1701" w:type="dxa"/>
          </w:tcPr>
          <w:p w14:paraId="331C38D5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[  ]</w:t>
            </w:r>
          </w:p>
        </w:tc>
        <w:tc>
          <w:tcPr>
            <w:tcW w:w="3345" w:type="dxa"/>
          </w:tcPr>
          <w:p w14:paraId="0D5211ED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50 + 100 + 100 万级</w:t>
            </w:r>
          </w:p>
        </w:tc>
      </w:tr>
      <w:tr w14:paraId="0DD78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5BF92522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3 年模型服务/分成收入预测</w:t>
            </w:r>
          </w:p>
        </w:tc>
        <w:tc>
          <w:tcPr>
            <w:tcW w:w="1701" w:type="dxa"/>
          </w:tcPr>
          <w:p w14:paraId="404B44CE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[  ]</w:t>
            </w:r>
          </w:p>
        </w:tc>
        <w:tc>
          <w:tcPr>
            <w:tcW w:w="3345" w:type="dxa"/>
          </w:tcPr>
          <w:p w14:paraId="385679D5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保守/中性/乐观三档</w:t>
            </w:r>
          </w:p>
        </w:tc>
      </w:tr>
      <w:tr w14:paraId="7BA30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460E78A1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长虹净风险敞口（最坏情况）</w:t>
            </w:r>
          </w:p>
        </w:tc>
        <w:tc>
          <w:tcPr>
            <w:tcW w:w="1701" w:type="dxa"/>
          </w:tcPr>
          <w:p w14:paraId="015D5128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[  ]</w:t>
            </w:r>
          </w:p>
        </w:tc>
        <w:tc>
          <w:tcPr>
            <w:tcW w:w="3345" w:type="dxa"/>
          </w:tcPr>
          <w:p w14:paraId="45AC4D4E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供 CFO 过会引用</w:t>
            </w:r>
          </w:p>
        </w:tc>
      </w:tr>
      <w:tr w14:paraId="7CA7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277412E7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投资回收期</w:t>
            </w:r>
          </w:p>
        </w:tc>
        <w:tc>
          <w:tcPr>
            <w:tcW w:w="1701" w:type="dxa"/>
          </w:tcPr>
          <w:p w14:paraId="658B8E72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[  ]</w:t>
            </w:r>
          </w:p>
        </w:tc>
        <w:tc>
          <w:tcPr>
            <w:tcW w:w="3345" w:type="dxa"/>
          </w:tcPr>
          <w:p w14:paraId="00309E30">
            <w:pPr>
              <w:spacing w:after="40"/>
            </w:pPr>
          </w:p>
        </w:tc>
      </w:tr>
    </w:tbl>
    <w:p w14:paraId="67092F6C">
      <w:pPr>
        <w:spacing w:before="0" w:after="40" w:line="312" w:lineRule="auto"/>
      </w:pPr>
    </w:p>
    <w:p w14:paraId="5F1541A7">
      <w:pPr>
        <w:pBdr>
          <w:bottom w:val="single" w:color="1F4E79" w:sz="6" w:space="1"/>
        </w:pBdr>
        <w:spacing w:before="280" w:after="80" w:line="312" w:lineRule="auto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四、兜底条款改写对照（谈判区）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7257"/>
      </w:tblGrid>
      <w:tr w14:paraId="21FF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419480BE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长虹诉求</w:t>
            </w:r>
          </w:p>
        </w:tc>
        <w:tc>
          <w:tcPr>
            <w:tcW w:w="7257" w:type="dxa"/>
            <w:shd w:val="clear" w:color="auto" w:fill="DCE6F1"/>
          </w:tcPr>
          <w:p w14:paraId="5EF08265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RoboX 还价</w:t>
            </w:r>
          </w:p>
        </w:tc>
      </w:tr>
      <w:tr w14:paraId="406F9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4C9B2ED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每年购买 15 万小时</w:t>
            </w:r>
          </w:p>
        </w:tc>
        <w:tc>
          <w:tcPr>
            <w:tcW w:w="7257" w:type="dxa"/>
          </w:tcPr>
          <w:p w14:paraId="6BAA47E3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改“年度最低服务包”，当年未用完滚动至次年（消除“买了用不完=浪费”顾虑）</w:t>
            </w:r>
          </w:p>
        </w:tc>
      </w:tr>
      <w:tr w14:paraId="138F5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BFBCB5F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无条件兜底</w:t>
            </w:r>
          </w:p>
        </w:tc>
        <w:tc>
          <w:tcPr>
            <w:tcW w:w="7257" w:type="dxa"/>
          </w:tcPr>
          <w:p w14:paraId="04857BC6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双向触发：RoboX 未达里程碑 → 承诺暂停/减半；长虹未提供产线工时/场景/标注配合 → 承诺自动顺延</w:t>
            </w:r>
          </w:p>
        </w:tc>
      </w:tr>
      <w:tr w14:paraId="4DD3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0CC186E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一次谈定总量</w:t>
            </w:r>
          </w:p>
        </w:tc>
        <w:tc>
          <w:tcPr>
            <w:tcW w:w="7257" w:type="dxa"/>
          </w:tcPr>
          <w:p w14:paraId="59BAD98F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阶梯式：第 1 年小承诺，后随验证成果放大；量越大单价越低</w:t>
            </w:r>
          </w:p>
        </w:tc>
      </w:tr>
      <w:tr w14:paraId="33F3E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7E5611A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只有义务</w:t>
            </w:r>
          </w:p>
        </w:tc>
        <w:tc>
          <w:tcPr>
            <w:tcW w:w="7257" w:type="dxa"/>
          </w:tcPr>
          <w:p w14:paraId="6DD1F65F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兜底 = 买断对价：场景内排他（2+2 年）+ 数据全球独占训练权 + 其他工厂/品类优先扩展权</w:t>
            </w:r>
          </w:p>
        </w:tc>
      </w:tr>
    </w:tbl>
    <w:p w14:paraId="483D5933">
      <w:pPr>
        <w:spacing w:before="0" w:after="40" w:line="312" w:lineRule="auto"/>
      </w:pPr>
    </w:p>
    <w:p w14:paraId="6A26D0A1">
      <w:pPr>
        <w:spacing w:before="80" w:after="120" w:line="312" w:lineRule="auto"/>
      </w:pPr>
      <w:r>
        <w:rPr>
          <w:rFonts w:ascii="微软雅黑" w:hAnsi="微软雅黑" w:eastAsia="微软雅黑"/>
          <w:b/>
          <w:i w:val="0"/>
          <w:color w:val="2E5C8A"/>
          <w:sz w:val="21"/>
        </w:rPr>
        <w:t>红线（一步不让）：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① 数据独占（无限制训练+跨场景复用）　② 模型 IP 归 RoboX　③ 场景排他　④ 兜底金额上限 + 与长虹付款/配合义务双向挂钩　⑤ 终止时 RoboX 有权按约定价收购设备。</w:t>
      </w:r>
    </w:p>
    <w:p w14:paraId="45DADA53">
      <w:pPr>
        <w:pBdr>
          <w:bottom w:val="single" w:color="1F4E79" w:sz="6" w:space="1"/>
        </w:pBdr>
        <w:spacing w:before="280" w:after="80" w:line="312" w:lineRule="auto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五、政策依据（给 CFO 自核，防“说过头”）</w:t>
      </w:r>
    </w:p>
    <w:p w14:paraId="61A5BD84">
      <w:pPr>
        <w:spacing w:before="80" w:after="120" w:line="312" w:lineRule="auto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5.1 “研发投入视同利润”三级链条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5216"/>
        <w:gridCol w:w="2721"/>
      </w:tblGrid>
      <w:tr w14:paraId="06AA3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CE6F1"/>
          </w:tcPr>
          <w:p w14:paraId="1F3402A9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层级</w:t>
            </w:r>
          </w:p>
        </w:tc>
        <w:tc>
          <w:tcPr>
            <w:tcW w:w="5216" w:type="dxa"/>
            <w:shd w:val="clear" w:color="auto" w:fill="DCE6F1"/>
          </w:tcPr>
          <w:p w14:paraId="0468B1C8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文件</w:t>
            </w:r>
          </w:p>
        </w:tc>
        <w:tc>
          <w:tcPr>
            <w:tcW w:w="2721" w:type="dxa"/>
            <w:shd w:val="clear" w:color="auto" w:fill="DCE6F1"/>
          </w:tcPr>
          <w:p w14:paraId="2C0E8035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要点</w:t>
            </w:r>
          </w:p>
        </w:tc>
      </w:tr>
      <w:tr w14:paraId="54DF0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6A0D7AB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长虹适用</w:t>
            </w:r>
          </w:p>
        </w:tc>
        <w:tc>
          <w:tcPr>
            <w:tcW w:w="5216" w:type="dxa"/>
          </w:tcPr>
          <w:p w14:paraId="1E8BA79A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《绵阳市市属国有企业负责人经营业绩考核办法》（2020-12 印发，官方解读原文：“研发投入视同利润，在计算利润总额时予以加回”）；2026-08 底绵阳市国资委已完成新一轮全面修订</w:t>
            </w:r>
          </w:p>
        </w:tc>
        <w:tc>
          <w:tcPr>
            <w:tcW w:w="2721" w:type="dxa"/>
          </w:tcPr>
          <w:p w14:paraId="14290C4B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当期限引文件，须以最新版为准</w:t>
            </w:r>
          </w:p>
        </w:tc>
      </w:tr>
      <w:tr w14:paraId="64E62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53351F3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省级参照</w:t>
            </w:r>
          </w:p>
        </w:tc>
        <w:tc>
          <w:tcPr>
            <w:tcW w:w="5216" w:type="dxa"/>
          </w:tcPr>
          <w:p w14:paraId="4CC22F2C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《四川省省属国有企业负责人经营业绩考核办法》（2020-01 实施；2025-03 修订为“1+6”体系）</w:t>
            </w:r>
          </w:p>
        </w:tc>
        <w:tc>
          <w:tcPr>
            <w:tcW w:w="2721" w:type="dxa"/>
          </w:tcPr>
          <w:p w14:paraId="07509507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同样写入视同利润</w:t>
            </w:r>
          </w:p>
        </w:tc>
      </w:tr>
      <w:tr w14:paraId="29C24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5EA8C60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央企源头</w:t>
            </w:r>
          </w:p>
        </w:tc>
        <w:tc>
          <w:tcPr>
            <w:tcW w:w="5216" w:type="dxa"/>
          </w:tcPr>
          <w:p w14:paraId="3A1564BD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《中央企业负责人经营业绩考核办法》（国资委令第 40 号）第十六条</w:t>
            </w:r>
          </w:p>
        </w:tc>
        <w:tc>
          <w:tcPr>
            <w:tcW w:w="2721" w:type="dxa"/>
          </w:tcPr>
          <w:p w14:paraId="6D071419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国资监管通行规则，市级系参照执行</w:t>
            </w:r>
          </w:p>
        </w:tc>
      </w:tr>
    </w:tbl>
    <w:p w14:paraId="76A8C277">
      <w:pPr>
        <w:spacing w:before="0" w:after="40" w:line="312" w:lineRule="auto"/>
      </w:pPr>
    </w:p>
    <w:p w14:paraId="004F667F">
      <w:pPr>
        <w:spacing w:before="0" w:after="120" w:line="312" w:lineRule="auto"/>
      </w:pPr>
      <w:r>
        <w:rPr>
          <w:rFonts w:ascii="微软雅黑" w:hAnsi="微软雅黑" w:eastAsia="微软雅黑"/>
          <w:b/>
          <w:i w:val="0"/>
          <w:color w:val="2E5C8A"/>
          <w:sz w:val="21"/>
        </w:rPr>
        <w:t>边界（防被财务当场拆穿）：</w:t>
      </w:r>
      <w:r>
        <w:rPr>
          <w:rFonts w:ascii="微软雅黑" w:hAnsi="微软雅黑" w:eastAsia="微软雅黑"/>
          <w:b w:val="0"/>
          <w:i w:val="0"/>
          <w:color w:val="000000"/>
          <w:sz w:val="21"/>
        </w:rPr>
        <w:t>并非所有设备都能计入研发投入——仅直接用于研发/中试/试验的设备折旧与试验费可计；量产产线设备属固定资产投资。打法：示范/中试线走研发口径（视同利润 + 加计扣除 100%），量产改造线走“智改数转/设备更新”路径。</w:t>
      </w:r>
    </w:p>
    <w:p w14:paraId="7C68D218">
      <w:pPr>
        <w:spacing w:before="160" w:after="120" w:line="312" w:lineRule="auto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5.2 四川省级可申报项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4535"/>
        <w:gridCol w:w="2721"/>
      </w:tblGrid>
      <w:tr w14:paraId="7D83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6318BADA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政策</w:t>
            </w:r>
          </w:p>
        </w:tc>
        <w:tc>
          <w:tcPr>
            <w:tcW w:w="4535" w:type="dxa"/>
            <w:shd w:val="clear" w:color="auto" w:fill="DCE6F1"/>
          </w:tcPr>
          <w:p w14:paraId="7A5E3584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文号/组织</w:t>
            </w:r>
          </w:p>
        </w:tc>
        <w:tc>
          <w:tcPr>
            <w:tcW w:w="2721" w:type="dxa"/>
            <w:shd w:val="clear" w:color="auto" w:fill="DCE6F1"/>
          </w:tcPr>
          <w:p w14:paraId="357CFCCF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额度</w:t>
            </w:r>
          </w:p>
        </w:tc>
      </w:tr>
      <w:tr w14:paraId="75041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262D50B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智改数转 + 设备更新技改</w:t>
            </w:r>
          </w:p>
        </w:tc>
        <w:tc>
          <w:tcPr>
            <w:tcW w:w="4535" w:type="dxa"/>
          </w:tcPr>
          <w:p w14:paraId="2E69D53A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《四川省加快制造业智能化改造数字化转型行动计划（2024—2027）》川办发〔2024〕43 号；年度申报（2026 年度已启动）</w:t>
            </w:r>
          </w:p>
        </w:tc>
        <w:tc>
          <w:tcPr>
            <w:tcW w:w="2721" w:type="dxa"/>
          </w:tcPr>
          <w:p w14:paraId="4B68BC59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省级重点最高 2000 万；技改补 5%–20%</w:t>
            </w:r>
          </w:p>
        </w:tc>
      </w:tr>
      <w:tr w14:paraId="18BC5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F87214A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首台套保险补偿</w:t>
            </w:r>
          </w:p>
        </w:tc>
        <w:tc>
          <w:tcPr>
            <w:tcW w:w="4535" w:type="dxa"/>
          </w:tcPr>
          <w:p w14:paraId="541C5208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国家：工信厅联重装〔2024〕64 号（2026 年度已组织）；省级：川财建〔2020〕427 号 + 川经信装备〔2021〕124 号</w:t>
            </w:r>
          </w:p>
        </w:tc>
        <w:tc>
          <w:tcPr>
            <w:tcW w:w="2721" w:type="dxa"/>
          </w:tcPr>
          <w:p w14:paraId="2EDA5932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创新突破补 ≤30%（国际）/20%（国内），≤1000 万；省级保费补 70% ≤1000 万/年/产品；国家补贴配套 +5% ≤500 万</w:t>
            </w:r>
          </w:p>
        </w:tc>
      </w:tr>
      <w:tr w14:paraId="3D4CA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9D51A54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研发平台/装备攻关</w:t>
            </w:r>
          </w:p>
        </w:tc>
        <w:tc>
          <w:tcPr>
            <w:tcW w:w="4535" w:type="dxa"/>
          </w:tcPr>
          <w:p w14:paraId="4F5E40F8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省政府 2025 年“六方面”支持政策</w:t>
            </w:r>
          </w:p>
        </w:tc>
        <w:tc>
          <w:tcPr>
            <w:tcW w:w="2721" w:type="dxa"/>
          </w:tcPr>
          <w:p w14:paraId="61510392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平台/攻关补 30%；产业基础再造最高 2000 万</w:t>
            </w:r>
          </w:p>
        </w:tc>
      </w:tr>
      <w:tr w14:paraId="1FEAA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E31BA39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“人工智能+”一号创新工程</w:t>
            </w:r>
          </w:p>
        </w:tc>
        <w:tc>
          <w:tcPr>
            <w:tcW w:w="4535" w:type="dxa"/>
          </w:tcPr>
          <w:p w14:paraId="4972EDB7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《四川省加快推进“人工智能+”一号创新工程实施方案》2026-05</w:t>
            </w:r>
          </w:p>
        </w:tc>
        <w:tc>
          <w:tcPr>
            <w:tcW w:w="2721" w:type="dxa"/>
          </w:tcPr>
          <w:p w14:paraId="07794F99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AI+先进制造省级示范，场景开放</w:t>
            </w:r>
          </w:p>
        </w:tc>
      </w:tr>
    </w:tbl>
    <w:p w14:paraId="5B93EB7D">
      <w:pPr>
        <w:spacing w:before="0" w:after="40" w:line="312" w:lineRule="auto"/>
      </w:pPr>
    </w:p>
    <w:p w14:paraId="3E5C04B1">
      <w:pPr>
        <w:spacing w:before="160" w:after="120" w:line="312" w:lineRule="auto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5.3 绵阳市可申报项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608"/>
        <w:gridCol w:w="4649"/>
      </w:tblGrid>
      <w:tr w14:paraId="6214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CE6F1"/>
          </w:tcPr>
          <w:p w14:paraId="4A231DD9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政策</w:t>
            </w:r>
          </w:p>
        </w:tc>
        <w:tc>
          <w:tcPr>
            <w:tcW w:w="2608" w:type="dxa"/>
            <w:shd w:val="clear" w:color="auto" w:fill="DCE6F1"/>
          </w:tcPr>
          <w:p w14:paraId="5F5E87C5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文号/时间</w:t>
            </w:r>
          </w:p>
        </w:tc>
        <w:tc>
          <w:tcPr>
            <w:tcW w:w="4649" w:type="dxa"/>
            <w:shd w:val="clear" w:color="auto" w:fill="DCE6F1"/>
          </w:tcPr>
          <w:p w14:paraId="470939B4">
            <w:pPr>
              <w:spacing w:after="4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额度</w:t>
            </w:r>
          </w:p>
        </w:tc>
      </w:tr>
      <w:tr w14:paraId="2C8A4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A5BE41D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支持人工智能产业发展若干政策（试行）</w:t>
            </w:r>
          </w:p>
        </w:tc>
        <w:tc>
          <w:tcPr>
            <w:tcW w:w="2608" w:type="dxa"/>
          </w:tcPr>
          <w:p w14:paraId="09751A02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绵府规〔2024〕2 号</w:t>
            </w:r>
          </w:p>
        </w:tc>
        <w:tc>
          <w:tcPr>
            <w:tcW w:w="4649" w:type="dxa"/>
          </w:tcPr>
          <w:p w14:paraId="0C23A906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国/省首台套奖励 50/30 万；揭榜挂帅 ≤100 万；算力补 ≤30%（年 ≤50 万）；备案大模型按研发投入 10% ≤200 万</w:t>
            </w:r>
          </w:p>
        </w:tc>
      </w:tr>
      <w:tr w14:paraId="4ED0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7CC805E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推进新型工业化高质量发展</w:t>
            </w:r>
          </w:p>
        </w:tc>
        <w:tc>
          <w:tcPr>
            <w:tcW w:w="2608" w:type="dxa"/>
          </w:tcPr>
          <w:p w14:paraId="590CF6CA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2025-07</w:t>
            </w:r>
          </w:p>
        </w:tc>
        <w:tc>
          <w:tcPr>
            <w:tcW w:w="4649" w:type="dxa"/>
          </w:tcPr>
          <w:p w14:paraId="51538249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智能工厂 100/50/30 万；全球“灯塔工厂”300 万；“数字领航”有奖</w:t>
            </w:r>
          </w:p>
        </w:tc>
      </w:tr>
      <w:tr w14:paraId="01169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DAEB28A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国家级城市试点</w:t>
            </w:r>
          </w:p>
        </w:tc>
        <w:tc>
          <w:tcPr>
            <w:tcW w:w="2608" w:type="dxa"/>
          </w:tcPr>
          <w:p w14:paraId="251C16E5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制造业新型技改 + 中小企业数字化转型试点（2026）</w:t>
            </w:r>
          </w:p>
        </w:tc>
        <w:tc>
          <w:tcPr>
            <w:tcW w:w="4649" w:type="dxa"/>
          </w:tcPr>
          <w:p w14:paraId="18AF06EA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长虹以链主/支撑机构角色参与（覆盖领域待核）</w:t>
            </w:r>
          </w:p>
        </w:tc>
      </w:tr>
      <w:tr w14:paraId="21F9B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6B33DAE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国企创新 15 条</w:t>
            </w:r>
          </w:p>
        </w:tc>
        <w:tc>
          <w:tcPr>
            <w:tcW w:w="2608" w:type="dxa"/>
          </w:tcPr>
          <w:p w14:paraId="1E7F8864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2026-07</w:t>
            </w:r>
          </w:p>
        </w:tc>
        <w:tc>
          <w:tcPr>
            <w:tcW w:w="4649" w:type="dxa"/>
          </w:tcPr>
          <w:p w14:paraId="09F5416E">
            <w:pPr>
              <w:spacing w:after="40"/>
            </w:pPr>
            <w:r>
              <w:rPr>
                <w:rFonts w:ascii="微软雅黑" w:hAnsi="微软雅黑" w:eastAsia="微软雅黑"/>
                <w:b w:val="0"/>
                <w:i w:val="0"/>
                <w:color w:val="000000"/>
                <w:sz w:val="19"/>
              </w:rPr>
              <w:t>“国企+”创新联合体、研发投入刚性增长、AI 全链条赋能</w:t>
            </w:r>
          </w:p>
        </w:tc>
      </w:tr>
    </w:tbl>
    <w:p w14:paraId="752E1CB7">
      <w:pPr>
        <w:spacing w:before="0" w:after="40" w:line="312" w:lineRule="auto"/>
      </w:pPr>
    </w:p>
    <w:p w14:paraId="508132DA">
      <w:pPr>
        <w:pBdr>
          <w:bottom w:val="single" w:color="1F4E79" w:sz="6" w:space="1"/>
        </w:pBdr>
        <w:spacing w:before="280" w:after="80" w:line="312" w:lineRule="auto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六、会前待办（明日 CFO 到访前）</w:t>
      </w:r>
    </w:p>
    <w:p w14:paraId="60294CC4">
      <w:pPr>
        <w:spacing w:before="0" w:after="120" w:line="312" w:lineRule="auto"/>
        <w:ind w:left="227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1. [  ] 让长虹投资/项目申报部确认：《绵阳市市属监管企业负责人经营业绩考核办法》最新版是否保留“研发投入视同利润”；</w:t>
      </w:r>
    </w:p>
    <w:p w14:paraId="6E8FA551">
      <w:pPr>
        <w:spacing w:before="0" w:after="120" w:line="312" w:lineRule="auto"/>
        <w:ind w:left="227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2. [  ] 核实绵阳 AI 政策现行有效版本（原试行期至 2025 年中，确认升级版）＋“智改数转/首台套”当年申报窗口；</w:t>
      </w:r>
    </w:p>
    <w:p w14:paraId="5CA9C2A3">
      <w:pPr>
        <w:spacing w:before="0" w:after="120" w:line="312" w:lineRule="auto"/>
        <w:ind w:left="227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3. [  ] 团队填充财务模型表（今晚）；</w:t>
      </w:r>
    </w:p>
    <w:p w14:paraId="79680AA1">
      <w:pPr>
        <w:spacing w:before="0" w:after="120" w:line="312" w:lineRule="auto"/>
        <w:ind w:left="227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4. [  ] 主谈分工：CFO 谈结构，技术负责人只回应“凭什么信你”（备 POC 数据 + 第三方验证）；</w:t>
      </w:r>
    </w:p>
    <w:p w14:paraId="56B8C5F0">
      <w:pPr>
        <w:spacing w:before="0" w:after="120" w:line="312" w:lineRule="auto"/>
        <w:ind w:left="227"/>
      </w:pPr>
      <w:r>
        <w:rPr>
          <w:rFonts w:ascii="微软雅黑" w:hAnsi="微软雅黑" w:eastAsia="微软雅黑"/>
          <w:b w:val="0"/>
          <w:i w:val="0"/>
          <w:color w:val="000000"/>
          <w:sz w:val="21"/>
        </w:rPr>
        <w:t>5. [  ] 议题顺序：分阶段 + 回购 → SPV/租赁/服务化 → 兜底数字；让步区间与红线先内部对齐。</w:t>
      </w:r>
    </w:p>
    <w:p w14:paraId="2CD6FFF8">
      <w:pPr>
        <w:spacing w:before="0" w:after="120" w:line="312" w:lineRule="auto"/>
      </w:pPr>
    </w:p>
    <w:p w14:paraId="0D79090C">
      <w:pPr>
        <w:spacing w:before="0" w:after="80" w:line="312" w:lineRule="auto"/>
      </w:pPr>
      <w:r>
        <w:rPr>
          <w:rFonts w:ascii="微软雅黑" w:hAnsi="微软雅黑" w:eastAsia="微软雅黑"/>
          <w:b w:val="0"/>
          <w:i w:val="0"/>
          <w:color w:val="808080"/>
          <w:sz w:val="19"/>
        </w:rPr>
        <w:t>本文件为内部工作底稿，含 [  ] 占位数据待填充；对外版本另行整理。</w:t>
      </w:r>
    </w:p>
    <w:sectPr>
      <w:pgSz w:w="12240" w:h="15840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40AA0"/>
    <w:rsid w:val="3BC9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1697</Words>
  <Characters>1875</Characters>
  <Lines>0</Lines>
  <Paragraphs>0</Paragraphs>
  <TotalTime>3</TotalTime>
  <ScaleCrop>false</ScaleCrop>
  <LinksUpToDate>false</LinksUpToDate>
  <CharactersWithSpaces>2054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2026-09-07T13:48:24Z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067A632EDEBF49328CA7F4B3FB007070_12</vt:lpwstr>
  </property>
</Properties>
</file>