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D26B6">
      <w:pPr>
        <w:spacing w:before="2400"/>
      </w:pPr>
    </w:p>
    <w:p w14:paraId="2C9A6FE2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48"/>
          <w:szCs w:val="48"/>
        </w:rPr>
        <w:t>RoboX × 长虹</w:t>
      </w:r>
    </w:p>
    <w:p w14:paraId="015DE329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40"/>
          <w:szCs w:val="40"/>
        </w:rPr>
        <w:t>具身智能战略合作框架</w:t>
      </w:r>
    </w:p>
    <w:p w14:paraId="15EF892F">
      <w:pPr>
        <w:spacing w:after="600"/>
        <w:jc w:val="center"/>
      </w:pPr>
      <w:r>
        <w:rPr>
          <w:rFonts w:ascii="微软雅黑" w:hAnsi="微软雅黑" w:eastAsia="微软雅黑" w:cs="微软雅黑"/>
          <w:color w:val="666666"/>
          <w:sz w:val="28"/>
          <w:szCs w:val="28"/>
        </w:rPr>
        <w:t>（CTO 沟通稿）</w:t>
      </w:r>
    </w:p>
    <w:p w14:paraId="54AC4447">
      <w:pPr>
        <w:spacing w:after="100"/>
        <w:jc w:val="center"/>
      </w:pPr>
      <w:r>
        <w:rPr>
          <w:rFonts w:ascii="微软雅黑" w:hAnsi="微软雅黑" w:eastAsia="微软雅黑" w:cs="微软雅黑"/>
          <w:i/>
          <w:iCs/>
          <w:color w:val="999999"/>
          <w:sz w:val="20"/>
          <w:szCs w:val="20"/>
        </w:rPr>
        <w:t>2026年8月 · 保密文件</w:t>
      </w:r>
    </w:p>
    <w:p w14:paraId="6EA89427">
      <w:pPr>
        <w:jc w:val="center"/>
      </w:pPr>
      <w:r>
        <w:rPr>
          <w:rFonts w:ascii="微软雅黑" w:hAnsi="微软雅黑" w:eastAsia="微软雅黑" w:cs="微软雅黑"/>
          <w:color w:val="999999"/>
          <w:sz w:val="20"/>
          <w:szCs w:val="20"/>
        </w:rPr>
        <w:t>RoboX 团队 编制</w:t>
      </w:r>
    </w:p>
    <w:p w14:paraId="50C39898">
      <w:r>
        <w:br w:type="textWrapping"/>
      </w:r>
    </w:p>
    <w:p w14:paraId="050B13D2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第一部分：合作目标与关切</w:t>
      </w:r>
    </w:p>
    <w:p w14:paraId="62602E0C">
      <w:pPr>
        <w:spacing w:after="80" w:line="28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本部分梳理 RoboX 与长虹在具身智能领域的各自战略目标与合作动因，以及双方在推进合作中各自的关注要点和潜在风险点，为双方 CTO 层面的坦诚对话提供基础。</w:t>
      </w:r>
    </w:p>
    <w:p w14:paraId="096EE45C">
      <w:pPr>
        <w:pStyle w:val="3"/>
        <w:spacing w:before="32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1.1  RoboX 的合作目标</w:t>
      </w:r>
    </w:p>
    <w:p w14:paraId="410ED957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1.1.1 战略目标</w:t>
      </w:r>
    </w:p>
    <w:p w14:paraId="479922E7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获取规模化真机数据：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借助长虹的真实业务场景（酒店、文旅、养老院）建立大规模、常态化的灵巧操作数据采集平台（聚焦手眼脑协同的精密操作任务），突破当前数据瓶颈。</w:t>
      </w:r>
    </w:p>
    <w:p w14:paraId="12212232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验证模型能力边界：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在长虹部署至少 3 套"天机"机器人和舞肌灵巧手，在真实场景中运行手眼脑协同的灵巧操作 Agent 模型评测，获取持续反馈以加速模型迭代。</w:t>
      </w:r>
    </w:p>
    <w:p w14:paraId="51F50C14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锁定优势场景入口：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通过长虹的酒店、养老等产业资源，率先在手眼脑协同的灵巧操作场景建立标杆案例，构建行业壁垒。</w:t>
      </w:r>
    </w:p>
    <w:p w14:paraId="29A59AEE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降低硬件成本：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利用长虹的制造能力，定制低成本轮式底盘 + 双臂机器人，探索面向量产的硬件方案。</w:t>
      </w:r>
    </w:p>
    <w:p w14:paraId="1CDF93BE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1.1.2 商业与资本目标</w:t>
      </w:r>
    </w:p>
    <w:p w14:paraId="6EA67597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开拓西部市场：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以长虹为支点进入四川及西部地区的具身智能市场，重点拓展灵巧操作应用场景，获取政府产业政策支持和场景资源。</w:t>
      </w:r>
    </w:p>
    <w:p w14:paraId="04E34049">
      <w:pPr>
        <w:pStyle w:val="18"/>
        <w:numPr>
          <w:ilvl w:val="0"/>
          <w:numId w:val="1"/>
        </w:numPr>
        <w:spacing w:after="40" w:line="260" w:lineRule="auto"/>
      </w:pPr>
      <w:r>
        <w:rPr>
          <w:rFonts w:hint="eastAsia" w:cs="微软雅黑"/>
          <w:b/>
          <w:bCs/>
          <w:color w:val="333333"/>
          <w:sz w:val="20"/>
          <w:szCs w:val="20"/>
          <w:lang w:val="en-US" w:eastAsia="zh-CN"/>
        </w:rPr>
        <w:t>股权投资</w:t>
      </w: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机会：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探讨与长虹的股权合作，形成战略绑定，并为后续对接成都高新区、四川省政府产业基金创造条件。</w:t>
      </w:r>
    </w:p>
    <w:p w14:paraId="34F003FC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共建数据资产：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联合长虹构建西部具身智能数据采集与标注平台，争取纳入四川省机器人产业国家级中试基地体系。</w:t>
      </w:r>
    </w:p>
    <w:p w14:paraId="3593A77B">
      <w:pPr>
        <w:pStyle w:val="3"/>
        <w:spacing w:before="32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1.2  长虹的合作目标（推测与预判）</w:t>
      </w:r>
    </w:p>
    <w:p w14:paraId="20848B72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1.2.1 战略目标</w:t>
      </w:r>
    </w:p>
    <w:p w14:paraId="6A6B87C0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打造西部 AI 智能制造枢纽：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长虹希望借助具身智能赛道，从传统家电制造企业转型为四川及西部地区的 AI 与机器人产业核心平台。</w:t>
      </w:r>
    </w:p>
    <w:p w14:paraId="534BD317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获取核心技术能力：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长虹具备硬件制造能力和场景资源，但缺乏具身智能 Agent 模型等核心 AI 技术。引入 RoboX 的技术能力，为自身硬件产品注入智能竞争力。</w:t>
      </w:r>
    </w:p>
    <w:p w14:paraId="122088AE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盘活存量资产与场景：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长虹旗下拥有大量酒店、物业、养老等实体产业，需要通过具身智能应用提升资产价值和运营效率。</w:t>
      </w:r>
    </w:p>
    <w:p w14:paraId="043B109C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1.2.2 政府与政策目标</w:t>
      </w:r>
    </w:p>
    <w:p w14:paraId="7F629273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争取省级政府支持：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以"机器人灵巧操作 + 人口经济"（酒店精细服务、养老精密照护）为切口，向四川省领导展示手眼脑协同的灵巧操作助推服务经济发展的愿景，争取产业用地、税收优惠和专项资金。</w:t>
      </w:r>
    </w:p>
    <w:p w14:paraId="7F191600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构建政府级数据平台：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联合 RoboX 向四川省政府申报机器人数据采集与训练平台项目，打造四川省具身智能数据基础设施。</w:t>
      </w:r>
    </w:p>
    <w:p w14:paraId="231B35CB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50 个灵巧操作 Demo 场景计划：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长虹已在四川省旅游局层面提出 2028 年前建成 50 个灵巧操作示范场景的目标，需要 RoboX 提供手眼脑协同技术和产品支撑。</w:t>
      </w:r>
    </w:p>
    <w:p w14:paraId="324C84C1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1.2.3 商业与资本目标</w:t>
      </w:r>
    </w:p>
    <w:p w14:paraId="039D329F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硬件定制化量产：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利用 RoboX 的技术需求，带动长虹机器人硬件（底盘、臂体、关节模组）的研发与量产。</w:t>
      </w:r>
    </w:p>
    <w:p w14:paraId="2548F576">
      <w:pPr>
        <w:pStyle w:val="18"/>
        <w:numPr>
          <w:ilvl w:val="0"/>
          <w:numId w:val="1"/>
        </w:numPr>
        <w:spacing w:after="40" w:line="260" w:lineRule="auto"/>
      </w:pPr>
      <w:r>
        <w:rPr>
          <w:rFonts w:hint="eastAsia" w:cs="微软雅黑"/>
          <w:b/>
          <w:bCs/>
          <w:color w:val="333333"/>
          <w:sz w:val="20"/>
          <w:szCs w:val="20"/>
          <w:lang w:val="en-US" w:eastAsia="zh-CN"/>
        </w:rPr>
        <w:t>股权投资</w:t>
      </w: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与资本联动：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通过股权纽带深度绑定，并可借此引入成都高新区和四川省政府的产业投资基金。</w:t>
      </w:r>
    </w:p>
    <w:p w14:paraId="757CD2A3">
      <w:pPr>
        <w:pStyle w:val="3"/>
        <w:spacing w:before="32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1.3  双方关键关切点对比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9"/>
        <w:gridCol w:w="3848"/>
        <w:gridCol w:w="3849"/>
      </w:tblGrid>
      <w:tr w14:paraId="37DF7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61A8F60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160EAA5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RoboX 关切点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1504BF6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长虹关切点（预判）</w:t>
            </w:r>
          </w:p>
        </w:tc>
      </w:tr>
      <w:tr w14:paraId="3A8C9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FB75B30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知识产权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F528ADF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Agent 模型核心 IP 归属及保护机制；联合采集的数据使用权和商业化权益如何界定。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E0D608A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联合研发产生的技术成果如何共享；是否会影响到自身硬件的自主知识产权布局。</w:t>
            </w:r>
          </w:p>
        </w:tc>
      </w:tr>
      <w:tr w14:paraId="7E15C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0C0D0202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数据安全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1B692661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机器人在长虹场景中采集的操作数据如何安全传输和存储，防止泄露给竞对。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57863A1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酒店、养老等场景涉及用户隐私（客房、照护数据），数据采集的合规性如何保障。</w:t>
            </w:r>
          </w:p>
        </w:tc>
      </w:tr>
      <w:tr w14:paraId="215C5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39B2940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商业排他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8175004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长虹是否同时与其他具身智能公司合作，可能影响双方合作的战略优先级和资源投入。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8E01B8E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RoboX 是否会将同一技术方案交付给美的、海尔等竞品家电企业。</w:t>
            </w:r>
          </w:p>
        </w:tc>
      </w:tr>
      <w:tr w14:paraId="1DE6E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C499AEA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投入与回报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15E86FB2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前期模型适配和工程部署的人员投入；何时能看到可量化的商业回报。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A74E2A9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硬件改造和设备采购的前期资金投入；RoboX 技术见效的时间周期。</w:t>
            </w:r>
          </w:p>
        </w:tc>
      </w:tr>
      <w:tr w14:paraId="7F40D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9FA0898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政府关系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3CC6DBA3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四川省级资源由谁主导对接；RoboX 作为外来企业能否获得对等的政策支持。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3F5B0A22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RoboX 的参与是否会削弱长虹在省政府面前的主导地位和品牌认知。</w:t>
            </w:r>
          </w:p>
        </w:tc>
      </w:tr>
      <w:tr w14:paraId="0148F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2EC9C876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时间节奏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13767B94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模型适配和场景集成的周期评估；希望分阶段推进以控制风险。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541BB5A3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政府领导视察有明确时间窗口（约 1 个月），需要快速出 Demo 成果。</w:t>
            </w:r>
          </w:p>
        </w:tc>
      </w:tr>
    </w:tbl>
    <w:p w14:paraId="15C9A15B">
      <w:r>
        <w:br w:type="textWrapping"/>
      </w:r>
    </w:p>
    <w:p w14:paraId="714DEE47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第二部分：合作要点与双方责任义务</w:t>
      </w:r>
    </w:p>
    <w:p w14:paraId="4900E59A">
      <w:pPr>
        <w:spacing w:after="80" w:line="28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基于双方战略目标和资源禀赋，提出以下五大合作模块。每个模块明确合作内容、RoboX 责任义务和长虹责任义务（预判），供双方 CTO 会面时逐项讨论确认。</w:t>
      </w:r>
    </w:p>
    <w:p w14:paraId="761F90D3">
      <w:pPr>
        <w:pStyle w:val="3"/>
        <w:spacing w:before="32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2.0  合作总体架构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"/>
        <w:gridCol w:w="1352"/>
        <w:gridCol w:w="2254"/>
        <w:gridCol w:w="1352"/>
        <w:gridCol w:w="1578"/>
        <w:gridCol w:w="1578"/>
      </w:tblGrid>
      <w:tr w14:paraId="35E54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5701610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2206222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定位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1813C66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核心产出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628C546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推进优先级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5CB07FB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预期时间线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43EE135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关键依赖</w:t>
            </w:r>
          </w:p>
        </w:tc>
      </w:tr>
      <w:tr w14:paraId="5FBB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C7A24A5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一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BDE4B77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模型验证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8F9AB57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真机评测报告、Agent 适配方案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A935831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P0 - 最高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A67770A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1-2 周启动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6343B7C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天机/舞肌设备到位</w:t>
            </w:r>
          </w:p>
        </w:tc>
      </w:tr>
      <w:tr w14:paraId="60A11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33B43A5F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二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4D722159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数据基建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5F2EC7EA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数据采集平台、标注体系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51003579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P0 - 最高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150A226F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1 月内搭建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EBAD248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场景确认、合规方案</w:t>
            </w:r>
          </w:p>
        </w:tc>
      </w:tr>
      <w:tr w14:paraId="05277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D78F66F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三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531EC8E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硬件定制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16644AD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低成本轮式双臂机器人原型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3BD3F27B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P1 - 高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ECDDE9B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3 周原型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B06EB1C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硬件设计需求对齐</w:t>
            </w:r>
          </w:p>
        </w:tc>
      </w:tr>
      <w:tr w14:paraId="05EB2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17D7BE27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四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43881276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场景落地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55819531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酒店/养老/文旅 Demo 演示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0694EFDD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P0 - 最高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168BF76E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1 月内出 Demo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02276FC4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省领导视察窗口</w:t>
            </w:r>
          </w:p>
        </w:tc>
      </w:tr>
      <w:tr w14:paraId="2C776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FF26D5D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五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CAE9BA0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资本合作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9E1E9EF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交叉持股框架、政府资金对接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BAF58E3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P1 - 高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33BA156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持续推动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824DAC3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尽调与估值</w:t>
            </w:r>
          </w:p>
        </w:tc>
      </w:tr>
    </w:tbl>
    <w:p w14:paraId="67641EAA">
      <w:pPr>
        <w:spacing w:after="80" w:line="280" w:lineRule="auto"/>
      </w:pPr>
    </w:p>
    <w:p w14:paraId="38B7916A">
      <w:pPr>
        <w:spacing w:after="80" w:line="28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666666"/>
          <w:sz w:val="18"/>
          <w:szCs w:val="18"/>
        </w:rPr>
        <w:t>说明：模块一（手眼脑模型验证）和模块二（灵巧操作数据基建）是合作的基础底座，建议优先启动；模块四（灵巧操作场景落地）因政府视察窗口紧迫，并行推进。模块三和五可在首阶段合作验证后逐步深化。</w:t>
      </w:r>
    </w:p>
    <w:p w14:paraId="460F7E2A">
      <w:pPr>
        <w:pStyle w:val="3"/>
        <w:spacing w:before="32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2.1  真机模型服务评测</w:t>
      </w:r>
    </w:p>
    <w:p w14:paraId="5D9DBE70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合作内容</w:t>
      </w:r>
    </w:p>
    <w:p w14:paraId="2EA7DD97">
      <w:pPr>
        <w:spacing w:after="80" w:line="28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长虹采购并部署至少 3 套"天机"机器人整机和舞肌灵巧手，在长虹自有真实场景（酒店、物业）中搭建终端运行环境。RoboX 将 Agent 模型部署至上述真机，进行端到端的灵巧操作任务执行评测，双方共同建立评估指标体系和反馈闭环。</w:t>
      </w:r>
    </w:p>
    <w:p w14:paraId="4B14DD96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双方责任与义务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  <w:gridCol w:w="4508"/>
      </w:tblGrid>
      <w:tr w14:paraId="51448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4F7F48F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RoboX 责任与义务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5F59B35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长虹责任与义务</w:t>
            </w:r>
          </w:p>
        </w:tc>
      </w:tr>
      <w:tr w14:paraId="44C9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DC973B6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提供 Agent 模型部署包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及技术文档，包括模型推理环境要求、API 接口说明和适配指南。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AD561F4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负责采购和部署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至少 3 套天机机器人 + 舞肌灵巧手，提供运行所需的场地、网络和电力基础设施。</w:t>
            </w:r>
          </w:p>
        </w:tc>
      </w:tr>
      <w:tr w14:paraId="64A7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42ACD0E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派遣 1-2 名工程师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驻场进行模型部署、适配调试和初期运维指导，驻场周期 [待定]。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500AD860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指派技术对接人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全程配合模型部署，提供场景环境信息和设备状态反馈。</w:t>
            </w:r>
          </w:p>
        </w:tc>
      </w:tr>
      <w:tr w14:paraId="4AEA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F05A8B3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提供评测基准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（Benchmark）和任务定义，双方共同完善评测维度并定期输出评测报告。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DC58C64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按约定频次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运行评测任务并记录运行日志、故障信息和环境变量，确保数据真实完整。</w:t>
            </w:r>
          </w:p>
        </w:tc>
      </w:tr>
      <w:tr w14:paraId="00047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1EE2775C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负责模型迭代更新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，基于评测反馈持续优化 Agent 模型性能，定期推送新版本。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521EA098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承诺在评测期内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不将 RoboX 模型部署至第三方机器人，或对模型进行逆向工程。</w:t>
            </w:r>
          </w:p>
        </w:tc>
      </w:tr>
    </w:tbl>
    <w:p w14:paraId="3B861177">
      <w:pPr>
        <w:pStyle w:val="3"/>
        <w:spacing w:before="32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2.2  规模化数据采集与共建平台</w:t>
      </w:r>
    </w:p>
    <w:p w14:paraId="2982DA97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合作内容</w:t>
      </w:r>
    </w:p>
    <w:p w14:paraId="7F2631DA">
      <w:pPr>
        <w:spacing w:after="80" w:line="28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以长虹的实际业务场景（酒店、养老院、文旅景区等）为数据源，双方共建"面向具身智能的规模化真机操作数据采集平台"。长虹提供场景入口和运营支持，RoboX 提供手眼脑协同的数据采集技术方案、标注工具链和质量控制体系。采集数据包括 Ego 数据（第一视角遥操作）、双臂协同灵巧操作轨迹、多模态传感器数据（视觉/力觉/触觉），重点面向精细灵巧操作任务。</w:t>
      </w:r>
    </w:p>
    <w:p w14:paraId="353BBA47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双方责任与义务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  <w:gridCol w:w="4508"/>
      </w:tblGrid>
      <w:tr w14:paraId="6E9AF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1D7B558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RoboX 责任与义务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4BF07DB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长虹责任与义务</w:t>
            </w:r>
          </w:p>
        </w:tc>
      </w:tr>
      <w:tr w14:paraId="1C815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FD3D7CB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提供完整数据采集技术方案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：包括遥操作采集设备、数据录制工具链、标注规范和质量管理流程。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A187C8A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开放真实运营场景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供数据采集使用，包括但不限于：酒店客房物品整理归位、餐饮摆盘与端取、养老院</w:t>
            </w:r>
            <w:r>
              <w:rPr>
                <w:rFonts w:hint="eastAsia" w:cs="微软雅黑"/>
                <w:b w:val="0"/>
                <w:bCs w:val="0"/>
                <w:color w:val="333333"/>
                <w:sz w:val="18"/>
                <w:szCs w:val="18"/>
                <w:lang w:val="en-US" w:eastAsia="zh-CN"/>
              </w:rPr>
              <w:t>康复护理、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药物分拣与精准递送、衣物折叠与整理等灵巧操作任务。</w:t>
            </w:r>
          </w:p>
        </w:tc>
      </w:tr>
      <w:tr w14:paraId="09006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B4A74BC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负责数据标注体系搭建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，提供标注工具和人员培训方案。各方采集的数据由 [需确认] 方统一管理。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27D556DE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协调四川省级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机器人数据采集与训练基地资源，包括四川省机器人训练场（省级平台）的接入权限。</w:t>
            </w:r>
          </w:p>
        </w:tc>
      </w:tr>
      <w:tr w14:paraId="6FBD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4824FE2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保证数据采集质量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，对采集的操作数据进行审核清洗，输出可训练的格式化数据集。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9F11746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提供场景操作员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（酒店员工、护工等）配合遥操作数据采集，确保操作动作符合真实业务流程。</w:t>
            </w:r>
          </w:p>
        </w:tc>
      </w:tr>
      <w:tr w14:paraId="7CBD2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097EF1C3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享有模型训练数据使用权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——双方采集的原始操作数据，RoboX 拥有用于模型训练和算法迭代的完整使用权。[待写入协议]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42236613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负责场景隐私合规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，确保酒店客房、养老院等场景的数据采集符合个人信息保护法规，必要处进行脱敏处理。</w:t>
            </w:r>
          </w:p>
        </w:tc>
      </w:tr>
    </w:tbl>
    <w:p w14:paraId="7DEA4EF6">
      <w:pPr>
        <w:pStyle w:val="3"/>
        <w:spacing w:before="32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2.3  低成本机器人硬件定制</w:t>
      </w:r>
    </w:p>
    <w:p w14:paraId="5E88E5D5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合作内容</w:t>
      </w:r>
    </w:p>
    <w:p w14:paraId="57CE4380">
      <w:pPr>
        <w:spacing w:after="80" w:line="28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长虹利用自身制造能力，为 RoboX 定制开发面向服务场景的低成本轮式底盘 + 双臂机器人。核心需求包括：3-5 自由度颈部（头部可俯仰旋转）、底座可旋转、成本控制在低成本区间。长虹承诺 3 周内出原型样机，1 个月内可小批量 10 台。</w:t>
      </w:r>
    </w:p>
    <w:p w14:paraId="6490C181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双方责任与义务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  <w:gridCol w:w="4508"/>
      </w:tblGrid>
      <w:tr w14:paraId="5E01A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0ECA3FA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RoboX 责任与义务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43417C6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长虹责任与义务</w:t>
            </w:r>
          </w:p>
        </w:tc>
      </w:tr>
      <w:tr w14:paraId="4F000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9072645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提出硬件需求规格书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：明确机器人的自由度配置、载荷指标、传感器接口标准、控制通信协议等技术参数。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A06C4C5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负责硬件设计、制造和集成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，3 周内交付原型样机，1 个月内可实现小批量 10 台的产能。</w:t>
            </w:r>
          </w:p>
        </w:tc>
      </w:tr>
      <w:tr w14:paraId="3327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85C92C6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提供软件适配支持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，基于长虹定制硬件的控制接口进行 Agent 模型适配和底层驱动对接。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5DAB67F4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以成本价（或约定价格）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向 RoboX 供货，并提供必要的售后维保服务。定价机制 [待议]。</w:t>
            </w:r>
          </w:p>
        </w:tc>
      </w:tr>
      <w:tr w14:paraId="346F8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5CE07E0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首期采购承诺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：在原型验证通过后，承诺首批采购数量 [待定] 台，用于数据采集和场景部署。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B47023D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硬件 IP 归属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：定制硬件（底盘、臂体结构）的知识产权归长虹所有；RoboX 软件和控制算法 IP 归 RoboX 所有。[待写入协议]</w:t>
            </w:r>
          </w:p>
        </w:tc>
      </w:tr>
    </w:tbl>
    <w:p w14:paraId="332DDFDC">
      <w:pPr>
        <w:pStyle w:val="3"/>
        <w:spacing w:before="32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2.4  场景 Demo 与商业落地</w:t>
      </w:r>
    </w:p>
    <w:p w14:paraId="1B9CD2A6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合作内容</w:t>
      </w:r>
    </w:p>
    <w:p w14:paraId="4286D4D8">
      <w:pPr>
        <w:spacing w:after="80" w:line="28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围绕四川省机器人产业发展规划，双方联合打造手眼脑协同的具身智能灵巧操作示范应用场景。短期目标：1 个月内完成酒店服务、养老照护等场景的 Demo 演示，向四川省领导汇报。中期目标：推动 50 个灵巧操作示范场景落地（长虹已在四川省旅游局层面提出）。重点场景（聚焦手眼脑协同的精密操作任务）包括：</w:t>
      </w:r>
    </w:p>
    <w:p w14:paraId="6A0B6298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酒店服务场景（聚焦灵巧操作）：客房物品归位与整理、餐具摆盘与餐食端取、前台物件分拣与递送</w:t>
      </w:r>
    </w:p>
    <w:p w14:paraId="679F0A29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养老照护场景（聚焦灵巧操作）：药物分拣与精准递送、餐食辅助（餐具细操控）、衣物折叠整理（10 家养老院试点）</w:t>
      </w:r>
    </w:p>
    <w:p w14:paraId="6C4813C7">
      <w:pPr>
        <w:pStyle w:val="18"/>
        <w:numPr>
          <w:ilvl w:val="0"/>
          <w:numId w:val="1"/>
        </w:numPr>
        <w:spacing w:after="40" w:line="260" w:lineRule="auto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文旅场景（聚焦灵巧操作）：非遗手工制作演示、纪念品精包装与分拣、茶艺/餐饮灵巧服务</w:t>
      </w:r>
    </w:p>
    <w:p w14:paraId="3CD79478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双方责任与义务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  <w:gridCol w:w="4508"/>
      </w:tblGrid>
      <w:tr w14:paraId="0F28E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0491C1E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RoboX 责任与义务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16BD944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长虹责任与义务</w:t>
            </w:r>
          </w:p>
        </w:tc>
      </w:tr>
      <w:tr w14:paraId="1006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2D6195F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负责机器人手眼脑协同核心 AI 能力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：灵巧操作任务理解、自主精密操作决策、手眼脑闭环控制、多模态人机交互等 Agent 能力开发。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C261E6B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提供场景入口和客户关系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：酒店（自有或合作）、养老院运营资质、文旅景区合作通道。</w:t>
            </w:r>
          </w:p>
        </w:tc>
      </w:tr>
      <w:tr w14:paraId="3281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4F2C864D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场景工程化落地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：针对每个灵巧操作场景进行手眼脑协同的模型微调、环境适配和精密操作任务流程编排，确保 Demo 演示效果稳定可靠。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5FB019C4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对接政府资源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：向四川省/成都市领导汇报示范成果，推动场景纳入政府机器人推广应用目录，争取政策补贴。</w:t>
            </w:r>
          </w:p>
        </w:tc>
      </w:tr>
      <w:tr w14:paraId="4F569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3273200F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1 个月内完成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首批 Demo 场景（酒店精细服务灵巧操作 + 养老精密照护灵巧操作）的机器人部署、调试和演示准备。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CCA0212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协调省旅游局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推进 50 个 Demo 场景计划（2028 年前），制定分阶段场景清单和实施路线图。</w:t>
            </w:r>
          </w:p>
        </w:tc>
      </w:tr>
      <w:tr w14:paraId="5A45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362DE590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场景运营技术支持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：在 Demo 及商业化运营期间，提供远程监控、故障诊断和算法升级服务。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78EECF1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承担场景运营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：负责机器人在场景中的日常运行管理、操作培训、用户反馈收集。</w:t>
            </w:r>
          </w:p>
        </w:tc>
      </w:tr>
    </w:tbl>
    <w:p w14:paraId="58E946C5">
      <w:pPr>
        <w:pStyle w:val="3"/>
        <w:spacing w:before="32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2.5  产业融资与资本合作</w:t>
      </w:r>
    </w:p>
    <w:p w14:paraId="419A6A51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合作内容</w:t>
      </w:r>
    </w:p>
    <w:p w14:paraId="310D1DEC">
      <w:pPr>
        <w:spacing w:after="80" w:line="28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探讨 RoboX 与长虹的交叉持股方案，以股权为纽带实现战略深度绑定。同时联合对接成都高新区和四川省政府的产业投资基金，争取优惠政策和专项资金支持。长虹作为四川省属国企体系核心企业，可发挥政府关系优势。</w:t>
      </w:r>
    </w:p>
    <w:p w14:paraId="4E1BF82A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双方责任与义务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  <w:gridCol w:w="4508"/>
      </w:tblGrid>
      <w:tr w14:paraId="73D21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19F7897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RoboX 责任与义务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63F3D76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长虹责任与义务</w:t>
            </w:r>
          </w:p>
        </w:tc>
      </w:tr>
      <w:tr w14:paraId="605AD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45C64B9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积极配合尽调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：提供必要的商业、技术和财务信息，配合长虹及关联投资方完成尽职调查。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871C9D0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牵头对接政府产业基金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：利用四川省属国企身份优势，对接成都高新区、四川省产业引导基金等资本方。</w:t>
            </w:r>
          </w:p>
        </w:tc>
      </w:tr>
      <w:tr w14:paraId="11D52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50F3BB07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提供合理估值依据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：基于技术壁垒、市场前景和行业对标，提供估值参照，协商公允的交叉持股比例。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7221E70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协助争取优惠政策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：包括但不限于产业用地、税收减免、人才引进补贴、研发经费配套等。</w:t>
            </w:r>
          </w:p>
        </w:tc>
      </w:tr>
      <w:tr w14:paraId="0F8AB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7357CE2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技术价值对价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：以 Agent 模型技术授权、数据合作权益等方式，作为战略合作的对价组成部分。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B5ADF3F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场景和制造能力对价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：以场景独家合作权、低成本硬件供应承诺等方式，作为战略合作的对价组成部分。</w:t>
            </w:r>
          </w:p>
        </w:tc>
      </w:tr>
    </w:tbl>
    <w:p w14:paraId="7AA964FB">
      <w:r>
        <w:br w:type="textWrapping"/>
      </w: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附录</w:t>
      </w:r>
    </w:p>
    <w:p w14:paraId="5DFDC9CA">
      <w:pPr>
        <w:pStyle w:val="3"/>
        <w:spacing w:before="32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A  建议合作推进路线图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5"/>
        <w:gridCol w:w="1387"/>
        <w:gridCol w:w="3237"/>
        <w:gridCol w:w="3237"/>
      </w:tblGrid>
      <w:tr w14:paraId="6A79D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6DFF7D0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0B55277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时间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706A45A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核心任务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6742BCC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里程碑成果</w:t>
            </w:r>
          </w:p>
        </w:tc>
      </w:tr>
      <w:tr w14:paraId="47475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A6F26D1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第一阶段</w:t>
            </w:r>
          </w:p>
          <w:p w14:paraId="57679041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启动验证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FCDD789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第 1-2 周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51D029E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签署合作框架协议/保密协议</w:t>
            </w:r>
          </w:p>
          <w:p w14:paraId="447306C4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明确 IP 归属和数据权益</w:t>
            </w:r>
          </w:p>
          <w:p w14:paraId="685C538C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长虹采购天机/舞肌设备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BC8098D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合作协议签署</w:t>
            </w:r>
          </w:p>
          <w:p w14:paraId="41E714F3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设备采购订单确认</w:t>
            </w:r>
          </w:p>
          <w:p w14:paraId="11247534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Model Eval 框架就绪</w:t>
            </w:r>
          </w:p>
        </w:tc>
      </w:tr>
      <w:tr w14:paraId="0925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24DD30EB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第二阶段</w:t>
            </w:r>
          </w:p>
          <w:p w14:paraId="15E45382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模型部署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404F7D0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第 2-4 周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18290702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RoboX 驻场部署 Agent 模型</w:t>
            </w:r>
          </w:p>
          <w:p w14:paraId="2EEA605D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启动真机评测和数据采集</w:t>
            </w:r>
          </w:p>
          <w:p w14:paraId="697F48F5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硬件定制原型开发启动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630C47A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首批 3 台真机部署完成</w:t>
            </w:r>
          </w:p>
          <w:p w14:paraId="64E85C57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首轮评测报告输出</w:t>
            </w:r>
          </w:p>
          <w:p w14:paraId="0D6463F6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数据采集平台上线</w:t>
            </w:r>
          </w:p>
        </w:tc>
      </w:tr>
      <w:tr w14:paraId="75EFD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A99E1AC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第三阶段</w:t>
            </w:r>
          </w:p>
          <w:p w14:paraId="3E31C3E0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场景Demo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4F9A3FC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第 1 个月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51F254E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酒店/养老 灵巧操作 Demo 场景搭建</w:t>
            </w:r>
          </w:p>
          <w:p w14:paraId="6397F78B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省领导视察演示准备</w:t>
            </w:r>
          </w:p>
          <w:p w14:paraId="15ED02FC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首批操作数据集交付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3E0E022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场景 Demo 演示成功</w:t>
            </w:r>
          </w:p>
          <w:p w14:paraId="21F66BC6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政府关注与政策支持</w:t>
            </w:r>
          </w:p>
          <w:p w14:paraId="703671C1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首批标注数据集</w:t>
            </w:r>
          </w:p>
        </w:tc>
      </w:tr>
      <w:tr w14:paraId="74CFA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14857EE2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第四阶段</w:t>
            </w:r>
          </w:p>
          <w:p w14:paraId="7557FBAA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规模推进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BCB103B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第 2-3 月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1DA505C8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定制硬件小批量交付</w:t>
            </w:r>
          </w:p>
          <w:p w14:paraId="2AA80EC8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- 50 场景计划细化</w:t>
            </w:r>
          </w:p>
          <w:p w14:paraId="744F75AC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交叉持股方案谈判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5ECB7A96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10 台定制硬件交付</w:t>
            </w:r>
          </w:p>
          <w:p w14:paraId="1A6681B1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场景清单和路线图</w:t>
            </w:r>
          </w:p>
          <w:p w14:paraId="409FF8E1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投资框架条款清单</w:t>
            </w:r>
          </w:p>
        </w:tc>
      </w:tr>
      <w:tr w14:paraId="7F81B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B899884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第五阶段</w:t>
            </w:r>
          </w:p>
          <w:p w14:paraId="1CDC2E64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深度运营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3B601D2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第 3-12 月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9863585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规模化数据采集运营</w:t>
            </w:r>
          </w:p>
          <w:p w14:paraId="270EE307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更多场景持续接入</w:t>
            </w:r>
          </w:p>
          <w:p w14:paraId="436F67F9">
            <w:pPr>
              <w:spacing w:after="20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- 资本合作落地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A3EF4EE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稳定千小时级数据流</w:t>
            </w:r>
          </w:p>
          <w:p w14:paraId="69A43C32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省级数据平台挂牌</w:t>
            </w:r>
          </w:p>
          <w:p w14:paraId="53972ACD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18"/>
                <w:szCs w:val="18"/>
              </w:rPr>
              <w:t>✓ 交叉持股完成</w:t>
            </w:r>
          </w:p>
        </w:tc>
      </w:tr>
    </w:tbl>
    <w:p w14:paraId="70C99BDF">
      <w:pPr>
        <w:pStyle w:val="3"/>
        <w:spacing w:before="320" w:after="16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B  待双方 CTO 确认的关键事项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"/>
        <w:gridCol w:w="4057"/>
        <w:gridCol w:w="902"/>
        <w:gridCol w:w="3606"/>
      </w:tblGrid>
      <w:tr w14:paraId="6FEE9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23A0484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27032B8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待确认事项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44590CD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重要性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</w:tcPr>
          <w:p w14:paraId="15A1E38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RoboX 建议立场</w:t>
            </w:r>
          </w:p>
        </w:tc>
      </w:tr>
      <w:tr w14:paraId="40C25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6677F91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3C824BE1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Agent 模型在长虹真机上部署的 IP 保护机制（是否允许模型权重本地存储？）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95595CF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关键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BD22785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模型推理服务可本地部署，但权重文件加密且不开放访问；模型所有权归 RoboX。</w:t>
            </w:r>
          </w:p>
        </w:tc>
      </w:tr>
      <w:tr w14:paraId="6D968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55069FFD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7D572C1E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联合采集的机器人操作数据的著作权/所有权归属和使用权分配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614F580F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关键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0DF32300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RoboX 拥有用于模型训练的完整使用权；商业化使用需双方协商。</w:t>
            </w:r>
          </w:p>
        </w:tc>
      </w:tr>
      <w:tr w14:paraId="23543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3D0799CB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BE86B3E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硬件定制（轮式底盘+双臂）的开发成本分摊和批量采购价格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7DED79E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关键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4773A49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开发费用由长虹承担（作为样机投入）；批量采购价格按成本加成协商。</w:t>
            </w:r>
          </w:p>
        </w:tc>
      </w:tr>
      <w:tr w14:paraId="3BAE9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3D98436C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1F62A6E1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交叉持股的比例、估值方法和交易结构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04BDACD4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重要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060B37FD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以现金+技术授权+场景权益的综合方式进行对价；估值参考同赛道可比公司。</w:t>
            </w:r>
          </w:p>
        </w:tc>
      </w:tr>
      <w:tr w14:paraId="1B06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B7BD147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F05A22A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排他性条款——长虹是否在具身智能领域与第三方合作的限制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9864FF1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重要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C3B7332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建议约定酒店/养老场景的优先合作权；硬件和制造端不限制。</w:t>
            </w:r>
          </w:p>
        </w:tc>
      </w:tr>
      <w:tr w14:paraId="01737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3575B211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6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0F3132AA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四川省级机器人产业政策和专项资金申报的分工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4945FB59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重要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267FBEF4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长虹主导政府对接，RoboX 提供技术方案支撑；资金按贡献分配。</w:t>
            </w:r>
          </w:p>
        </w:tc>
      </w:tr>
      <w:tr w14:paraId="41DA2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26D93FD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7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C5910CA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首批场景 Demo 的具体范围和时间节点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018F91B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紧急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C09C10F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酒店精细服务+养老精密照护中的灵巧操作任务，目标 4 周内完成并向省领导演示。</w:t>
            </w:r>
          </w:p>
        </w:tc>
      </w:tr>
      <w:tr w14:paraId="0F696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30DFED94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8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06412E23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双方各指派的项目负责人和联合工作组的组建方式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0F5A22A9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紧急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</w:tcPr>
          <w:p w14:paraId="362AF3E2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RoboX 拟派 [天鸣] 任项目负责人；建议成立联合工作组每周同步进展。</w:t>
            </w:r>
          </w:p>
        </w:tc>
      </w:tr>
    </w:tbl>
    <w:p w14:paraId="2FC759A4">
      <w:pPr>
        <w:spacing w:before="400"/>
      </w:pPr>
    </w:p>
    <w:p w14:paraId="3152A1FD">
      <w:pPr>
        <w:spacing w:after="80" w:line="280" w:lineRule="auto"/>
      </w:pPr>
    </w:p>
    <w:sectPr>
      <w:headerReference r:id="rId3" w:type="default"/>
      <w:pgSz w:w="11906" w:h="16838"/>
      <w:pgMar w:top="1152" w:right="1440" w:bottom="1152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F0121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404CA6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404CA6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F460D3F"/>
    <w:rsid w:val="2BC33F55"/>
    <w:rsid w:val="2C577844"/>
    <w:rsid w:val="3A971E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2">
    <w:name w:val="heading 1"/>
    <w:next w:val="1"/>
    <w:qFormat/>
    <w:uiPriority w:val="0"/>
    <w:pPr>
      <w:spacing w:line="280" w:lineRule="auto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280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28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280" w:lineRule="auto"/>
    </w:pPr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pPr>
      <w:spacing w:line="280" w:lineRule="auto"/>
    </w:pPr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pPr>
      <w:spacing w:line="280" w:lineRule="auto"/>
    </w:pPr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12">
    <w:name w:val="Title"/>
    <w:qFormat/>
    <w:uiPriority w:val="0"/>
    <w:pPr>
      <w:spacing w:line="280" w:lineRule="auto"/>
    </w:pPr>
    <w:rPr>
      <w:rFonts w:ascii="微软雅黑" w:hAnsi="微软雅黑" w:eastAsia="微软雅黑" w:cs="微软雅黑"/>
      <w:color w:val="333333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pPr>
      <w:spacing w:line="28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character" w:customStyle="1" w:styleId="19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2065</Words>
  <Characters>2222</Characters>
  <TotalTime>181</TotalTime>
  <ScaleCrop>false</ScaleCrop>
  <LinksUpToDate>false</LinksUpToDate>
  <CharactersWithSpaces>2326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2026-08-11T05:25:00Z</dcterms:created>
  <dc:creator>Un-named</dc:creator>
  <cp:lastModifiedBy>Anson</cp:lastModifiedBy>
  <dcterms:modified xsi:type="dcterms:W3CDTF">2026-08-11T09:43:12Z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088DAFCA193A44069D5E8BCFFBCA4641_12</vt:lpwstr>
  </property>
</Properties>
</file>