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Microsoft YaHei" w:eastAsia="微软雅黑" w:hAnsi="Microsoft YaHei"/>
          <w:b/>
          <w:bCs/>
          <w:color w:val="1F4E79"/>
          <w:sz w:val="52"/>
          <w:szCs w:val="52"/>
        </w:rPr>
        <w:t xml:space="preserve">RoboX 具身智能</w:t>
      </w:r>
    </w:p>
    <w:p>
      <w:pPr>
        <w:spacing w:after="600" w:before="0"/>
        <w:jc w:val="center"/>
      </w:pPr>
      <w:r>
        <w:rPr>
          <w:rFonts w:ascii="Microsoft YaHei" w:eastAsia="微软雅黑" w:hAnsi="Microsoft YaHei"/>
          <w:b/>
          <w:bCs/>
          <w:color w:val="1F4E79"/>
          <w:sz w:val="44"/>
          <w:szCs w:val="44"/>
        </w:rPr>
        <w:t xml:space="preserve">潜在合作方梯队梳理 与 海尔卡奥斯专项合作策略</w:t>
      </w:r>
    </w:p>
    <w:p>
      <w:pPr>
        <w:pBdr>
          <w:bottom w:val="single" w:color="1F4E79" w:sz="6"/>
        </w:pBdr>
        <w:spacing w:after="160" w:before="80"/>
      </w:pPr>
      <w:r>
        <w:rPr>
          <w:sz w:val="2"/>
          <w:szCs w:val="2"/>
        </w:rPr>
        <w:t xml:space="preserve"/>
      </w:r>
    </w:p>
    <w:p>
      <w:pPr>
        <w:pStyle w:val="Normal"/>
        <w:spacing w:after="100" w:line="340"/>
        <w:jc w:val="center"/>
      </w:pPr>
      <w:r>
        <w:rPr>
          <w:rFonts w:ascii="Microsoft YaHei" w:eastAsia="微软雅黑" w:hAnsi="Microsoft YaHei"/>
          <w:color w:val="595959"/>
          <w:sz w:val="21"/>
          <w:szCs w:val="21"/>
        </w:rPr>
        <w:t xml:space="preserve">编制：Anson（合伙人，GA/PR/产业生态）</w:t>
      </w:r>
    </w:p>
    <w:p>
      <w:pPr>
        <w:pStyle w:val="Normal"/>
        <w:spacing w:after="100" w:line="340"/>
        <w:jc w:val="center"/>
      </w:pPr>
      <w:r>
        <w:rPr>
          <w:rFonts w:ascii="Microsoft YaHei" w:eastAsia="微软雅黑" w:hAnsi="Microsoft YaHei"/>
          <w:color w:val="595959"/>
          <w:sz w:val="21"/>
          <w:szCs w:val="21"/>
        </w:rPr>
        <w:t xml:space="preserve">日期：2026年8月12日</w:t>
      </w:r>
    </w:p>
    <w:p>
      <w:pPr>
        <w:pStyle w:val="Normal"/>
        <w:spacing w:after="100" w:line="340"/>
        <w:jc w:val="center"/>
      </w:pPr>
      <w:r>
        <w:rPr>
          <w:rFonts w:ascii="Microsoft YaHei" w:eastAsia="微软雅黑" w:hAnsi="Microsoft YaHei"/>
          <w:color w:val="595959"/>
          <w:sz w:val="21"/>
          <w:szCs w:val="21"/>
        </w:rPr>
        <w:t xml:space="preserve">密级：内部机密 · 仅限RoboX核心团队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icrosoft YaHei" w:eastAsia="微软雅黑" w:hAnsi="Microsoft YaHei"/>
          <w:b/>
          <w:bCs/>
          <w:color w:val="1F4E79"/>
          <w:sz w:val="30"/>
          <w:szCs w:val="30"/>
        </w:rPr>
        <w:t xml:space="preserve">文档说明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sz w:val="21"/>
          <w:szCs w:val="21"/>
        </w:rPr>
        <w:t xml:space="preserve">本文件基于2026年8月10日RoboX团队讨论（长虹合作逻辑）整理，分两部分：</w:t>
      </w:r>
    </w:p>
    <w:p>
      <w:pPr>
        <w:pStyle w:val="Normal"/>
        <w:spacing w:after="60" w:line="320"/>
        <w:ind w:left="400" w:hanging="30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1.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第一部分：按长虹模式（本体厂商 + 场景需求方 + 无模型能力 + 产业/政府资源）梳理的三个梯队潜在合作方全景，含每家画像、契合度评分与对接优先级。</w:t>
      </w:r>
    </w:p>
    <w:p>
      <w:pPr>
        <w:pStyle w:val="Normal"/>
        <w:spacing w:after="60" w:line="320"/>
        <w:ind w:left="400" w:hanging="30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2.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第二部分：海尔卡奥斯专项合作策略。海尔是当前具备清华校友建联通道、且画像与长虹高度相近的首选目标，本部分给出从建联到深度绑定的完整行动方案。</w:t>
      </w:r>
    </w:p>
    <w:p>
      <w:pPr>
        <w:pStyle w:val="Heading1"/>
        <w:spacing w:after="160" w:before="320"/>
      </w:pPr>
      <w:r>
        <w:rPr>
          <w:rFonts w:ascii="Microsoft YaHei" w:eastAsia="微软雅黑" w:hAnsi="Microsoft YaHei"/>
          <w:b/>
          <w:bCs/>
          <w:color w:val="1F4E79"/>
          <w:sz w:val="30"/>
          <w:szCs w:val="30"/>
        </w:rPr>
        <w:t xml:space="preserve">一、背景：长虹合作逻辑回顾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sz w:val="21"/>
          <w:szCs w:val="21"/>
        </w:rPr>
        <w:t xml:space="preserve">8月10日团队讨论中，田明详细汇报了与长虹的接触情况。长虹的独特之处在于它同时满足以下四重角色：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本体厂商：具备整机制造与硬件OEM能力，可按需定制轮式底盘+双臂方案，并愿意以接近成本价量产；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场景需求方：酒店、文旅、养老、医院等真实运营场景，缺机器人与智能化手段；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无模型能力：有算法与工程团队，但缺乏具身智能基础模型（操作模型）能力；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产业与政府资源：成都高新区3600亿产业基金、西南上市指标、产业资本交叉持股等。</w:t>
      </w:r>
    </w:p>
    <w:p>
      <w:pPr>
        <w:pStyle w:val="Normal"/>
        <w:spacing w:after="80"/>
      </w:pPr>
      <w:r>
        <w:rPr>
          <w:rFonts w:ascii="Microsoft YaHei" w:eastAsia="微软雅黑" w:hAnsi="Microsoft YaHei"/>
          <w:sz w:val="21"/>
          <w:szCs w:val="21"/>
        </w:rPr>
        <w:t xml:space="preserve">由此推导出RoboX最优合作对象画像：</w:t>
      </w:r>
    </w:p>
    <w:p>
      <w:pPr>
        <w:pStyle w:val="Normal"/>
        <w:spacing w:after="120" w:line="340"/>
        <w:jc w:val="center"/>
      </w:pPr>
      <w:r>
        <w:rPr>
          <w:rFonts w:ascii="Microsoft YaHei" w:eastAsia="微软雅黑" w:hAnsi="Microsoft YaHei"/>
          <w:b/>
          <w:bCs/>
          <w:color w:val="1F4E79"/>
          <w:sz w:val="24"/>
          <w:szCs w:val="24"/>
        </w:rPr>
        <w:t xml:space="preserve">「本体厂商 + 场景需求方 + 无模型能力 + 有产业/政府资源」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sz w:val="21"/>
          <w:szCs w:val="21"/>
        </w:rPr>
        <w:t xml:space="preserve">合作价值公式：RoboX以模型能力（大脑+手眼协同操作模型）为筹码，换取合作伙伴的硬件产能、真实场景、数据采集规模与政府/产业资本背书。</w:t>
      </w:r>
    </w:p>
    <w:p>
      <w:pPr>
        <w:pStyle w:val="Heading1"/>
        <w:spacing w:after="160" w:before="320"/>
      </w:pPr>
      <w:r>
        <w:rPr>
          <w:rFonts w:ascii="Microsoft YaHei" w:eastAsia="微软雅黑" w:hAnsi="Microsoft YaHei"/>
          <w:b/>
          <w:bCs/>
          <w:color w:val="1F4E79"/>
          <w:sz w:val="30"/>
          <w:szCs w:val="30"/>
        </w:rPr>
        <w:t xml:space="preserve">二、潜在合作方梯队全景梳理</w:t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74B5"/>
          <w:sz w:val="25"/>
          <w:szCs w:val="25"/>
        </w:rPr>
        <w:t xml:space="preserve">2.1 梯队划分标准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sz w:val="21"/>
          <w:szCs w:val="21"/>
        </w:rPr>
        <w:t xml:space="preserve">按与长虹模式的匹配程度，从五个维度评分（每项1-5分），综合加权排序：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场景匹配度：真实操作场景的规模与密度（影响数采价值）；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本体能力：硬件自研/OEM能力是否可复用；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模型缺口：对RoboX模型能力的依赖程度（缺口越大越主动）；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合作窗口：当前是否有明确的开放合作意愿与布局期窗口；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建联渠道：RoboX现有触达路径的可行性。</w:t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74B5"/>
          <w:sz w:val="25"/>
          <w:szCs w:val="25"/>
        </w:rPr>
        <w:t xml:space="preserve">2.2 第一梯队：最匹配长虹模式</w:t>
      </w:r>
    </w:p>
    <w:p>
      <w:pPr>
        <w:pStyle w:val="Normal"/>
        <w:spacing w:after="120"/>
      </w:pPr>
      <w:r>
        <w:rPr>
          <w:rFonts w:ascii="Microsoft YaHei" w:eastAsia="微软雅黑" w:hAnsi="Microsoft YaHei"/>
          <w:sz w:val="21"/>
          <w:szCs w:val="21"/>
        </w:rPr>
        <w:t xml:space="preserve">画像：大型制造/产业集团，有真实规模化场景，有硬件能力，缺模型，且当前正处于具身智能布局期（合作窗口开放）。</w:t>
      </w:r>
    </w:p>
    <w:p>
      <w:pPr>
        <w:pStyle w:val="Heading3"/>
        <w:spacing w:after="100" w:before="180"/>
      </w:pPr>
      <w:r>
        <w:rPr>
          <w:rFonts w:ascii="Microsoft YaHei" w:eastAsia="微软雅黑" w:hAnsi="Microsoft YaHei"/>
          <w:b/>
          <w:bCs/>
          <w:color w:val="1F4E79"/>
          <w:sz w:val="22"/>
          <w:szCs w:val="22"/>
        </w:rPr>
        <w:t xml:space="preserve">2.2.1 海尔集团 / 卡奥斯COSMOPlat ⭐ 首选目标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【综合评分 4.6 / 5 —— 建联渠道：清华同学（可立即触达）】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本体能力：</w:t>
      </w:r>
      <w:r>
        <w:rPr>
          <w:rFonts w:ascii="Microsoft YaHei" w:eastAsia="微软雅黑" w:hAnsi="Microsoft YaHei"/>
          <w:sz w:val="21"/>
          <w:szCs w:val="21"/>
        </w:rPr>
        <w:t xml:space="preserve">2025年6月成立机器人事业部；清洁/保姆/陪伴机器人矩阵；与上海新时达战略合作研发家庭与工业场景机器人（“新达”具身机器人已上岗）；卡奥斯具备自动化集成与硬件生态整合能力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场景资源：</w:t>
      </w:r>
      <w:r>
        <w:rPr>
          <w:rFonts w:ascii="Microsoft YaHei" w:eastAsia="微软雅黑" w:hAnsi="Microsoft YaHei"/>
          <w:sz w:val="21"/>
          <w:szCs w:val="21"/>
        </w:rPr>
        <w:t xml:space="preserve">20座灯塔工厂（全球最多之一）、覆盖20+行业的互联工厂；智慧家庭/三翼鸟套系场景；日日顺物流（家电仓储配送）场景；场景密度与多样性居候选之首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模型能力：</w:t>
      </w:r>
      <w:r>
        <w:rPr>
          <w:rFonts w:ascii="Microsoft YaHei" w:eastAsia="微软雅黑" w:hAnsi="Microsoft YaHei"/>
          <w:sz w:val="21"/>
          <w:szCs w:val="21"/>
        </w:rPr>
        <w:t xml:space="preserve">海尔智家已有“家庭场景大模型”（偏用户意图理解层），但缺乏机器人操作层（手眼脑协同）的通用操作模型——与RoboX形成清晰互补而非竞争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政府资源：</w:t>
      </w:r>
      <w:r>
        <w:rPr>
          <w:rFonts w:ascii="Microsoft YaHei" w:eastAsia="微软雅黑" w:hAnsi="Microsoft YaHei"/>
          <w:sz w:val="21"/>
          <w:szCs w:val="21"/>
        </w:rPr>
        <w:t xml:space="preserve">青岛/山东省政府强力支持；卡奥斯连续7年工信部“双跨”平台第一；国家级工业互联网示范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合作切入点：</w:t>
      </w:r>
      <w:r>
        <w:rPr>
          <w:rFonts w:ascii="Microsoft YaHei" w:eastAsia="微软雅黑" w:hAnsi="Microsoft YaHei"/>
          <w:sz w:val="21"/>
          <w:szCs w:val="21"/>
        </w:rPr>
        <w:t xml:space="preserve">工厂数采+智慧家庭服务+物流数采；加入卡奥斯“工业Claw”生态伙伴计划；本体+RoboX大脑联合方案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对接优先级：</w:t>
      </w:r>
      <w:r>
        <w:rPr>
          <w:rFonts w:ascii="Microsoft YaHei" w:eastAsia="微软雅黑" w:hAnsi="Microsoft YaHei"/>
          <w:sz w:val="21"/>
          <w:szCs w:val="21"/>
        </w:rPr>
        <w:t xml:space="preserve">P0 · 立即建联</w:t>
      </w:r>
    </w:p>
    <w:p>
      <w:pPr>
        <w:pStyle w:val="Heading3"/>
        <w:spacing w:after="100" w:before="180"/>
      </w:pPr>
      <w:r>
        <w:rPr>
          <w:rFonts w:ascii="Microsoft YaHei" w:eastAsia="微软雅黑" w:hAnsi="Microsoft YaHei"/>
          <w:b/>
          <w:bCs/>
          <w:color w:val="1F4E79"/>
          <w:sz w:val="22"/>
          <w:szCs w:val="22"/>
        </w:rPr>
        <w:t xml:space="preserve">2.2.2 美的集团 / 库卡KUKA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【综合评分 4.2 / 5】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本体能力：</w:t>
      </w:r>
      <w:r>
        <w:rPr>
          <w:rFonts w:ascii="Microsoft YaHei" w:eastAsia="微软雅黑" w:hAnsi="Microsoft YaHei"/>
          <w:sz w:val="21"/>
          <w:szCs w:val="21"/>
        </w:rPr>
        <w:t xml:space="preserve">库卡为全球四大工业机器人厂商之一，工业/协作/移动机器人产线完整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场景资源：</w:t>
      </w:r>
      <w:r>
        <w:rPr>
          <w:rFonts w:ascii="Microsoft YaHei" w:eastAsia="微软雅黑" w:hAnsi="Microsoft YaHei"/>
          <w:sz w:val="21"/>
          <w:szCs w:val="21"/>
        </w:rPr>
        <w:t xml:space="preserve">美的自身灯塔工厂群（家电制造）、汽车/电子/金属加工等库卡既有行业场景；家庭场景（美居/服务机器人）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模型能力：</w:t>
      </w:r>
      <w:r>
        <w:rPr>
          <w:rFonts w:ascii="Microsoft YaHei" w:eastAsia="微软雅黑" w:hAnsi="Microsoft YaHei"/>
          <w:sz w:val="21"/>
          <w:szCs w:val="21"/>
        </w:rPr>
        <w:t xml:space="preserve">偏传统机器视觉与自动化，无具身智能大模型布局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政府资源：</w:t>
      </w:r>
      <w:r>
        <w:rPr>
          <w:rFonts w:ascii="Microsoft YaHei" w:eastAsia="微软雅黑" w:hAnsi="Microsoft YaHei"/>
          <w:sz w:val="21"/>
          <w:szCs w:val="21"/>
        </w:rPr>
        <w:t xml:space="preserve">佛山/顺德地方政府强力支持，广东制造业政策资源丰富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合作切入点：</w:t>
      </w:r>
      <w:r>
        <w:rPr>
          <w:rFonts w:ascii="Microsoft YaHei" w:eastAsia="微软雅黑" w:hAnsi="Microsoft YaHei"/>
          <w:sz w:val="21"/>
          <w:szCs w:val="21"/>
        </w:rPr>
        <w:t xml:space="preserve">库卡本体+RoboX大脑；制造业数采场景极为丰富；美的资本实力雄厚，可谈产业投资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对接优先级：</w:t>
      </w:r>
      <w:r>
        <w:rPr>
          <w:rFonts w:ascii="Microsoft YaHei" w:eastAsia="微软雅黑" w:hAnsi="Microsoft YaHei"/>
          <w:sz w:val="21"/>
          <w:szCs w:val="21"/>
        </w:rPr>
        <w:t xml:space="preserve">P1 · 探索接触</w:t>
      </w:r>
    </w:p>
    <w:p>
      <w:pPr>
        <w:pStyle w:val="Heading3"/>
        <w:spacing w:after="100" w:before="180"/>
      </w:pPr>
      <w:r>
        <w:rPr>
          <w:rFonts w:ascii="Microsoft YaHei" w:eastAsia="微软雅黑" w:hAnsi="Microsoft YaHei"/>
          <w:b/>
          <w:bCs/>
          <w:color w:val="1F4E79"/>
          <w:sz w:val="22"/>
          <w:szCs w:val="22"/>
        </w:rPr>
        <w:t xml:space="preserve">2.2.3 新松机器人（SIASUN）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【综合评分 4.0 / 5】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本体能力：</w:t>
      </w:r>
      <w:r>
        <w:rPr>
          <w:rFonts w:ascii="Microsoft YaHei" w:eastAsia="微软雅黑" w:hAnsi="Microsoft YaHei"/>
          <w:sz w:val="21"/>
          <w:szCs w:val="21"/>
        </w:rPr>
        <w:t xml:space="preserve">中科院背景，国产品类最全（工业/协作/移动/服务/特种机器人）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场景资源：</w:t>
      </w:r>
      <w:r>
        <w:rPr>
          <w:rFonts w:ascii="Microsoft YaHei" w:eastAsia="微软雅黑" w:hAnsi="Microsoft YaHei"/>
          <w:sz w:val="21"/>
          <w:szCs w:val="21"/>
        </w:rPr>
        <w:t xml:space="preserve">制造业、医疗、物流、半导体等领域深度覆盖，渠道成熟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模型能力：</w:t>
      </w:r>
      <w:r>
        <w:rPr>
          <w:rFonts w:ascii="Microsoft YaHei" w:eastAsia="微软雅黑" w:hAnsi="Microsoft YaHei"/>
          <w:sz w:val="21"/>
          <w:szCs w:val="21"/>
        </w:rPr>
        <w:t xml:space="preserve">传统自动化+机器视觉为主，缺乏具身大模型与通用操作模型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政府资源：</w:t>
      </w:r>
      <w:r>
        <w:rPr>
          <w:rFonts w:ascii="Microsoft YaHei" w:eastAsia="微软雅黑" w:hAnsi="Microsoft YaHei"/>
          <w:sz w:val="21"/>
          <w:szCs w:val="21"/>
        </w:rPr>
        <w:t xml:space="preserve">中科院/辽宁省政府资源，东北振兴政策，机器人国家队属性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合作切入点：</w:t>
      </w:r>
      <w:r>
        <w:rPr>
          <w:rFonts w:ascii="Microsoft YaHei" w:eastAsia="微软雅黑" w:hAnsi="Microsoft YaHei"/>
          <w:sz w:val="21"/>
          <w:szCs w:val="21"/>
        </w:rPr>
        <w:t xml:space="preserve">品类最全的本体矩阵+RoboX大脑=全场景联合方案；东北数采基地潜力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对接优先级：</w:t>
      </w:r>
      <w:r>
        <w:rPr>
          <w:rFonts w:ascii="Microsoft YaHei" w:eastAsia="微软雅黑" w:hAnsi="Microsoft YaHei"/>
          <w:sz w:val="21"/>
          <w:szCs w:val="21"/>
        </w:rPr>
        <w:t xml:space="preserve">P1 · 探索接触</w:t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74B5"/>
          <w:sz w:val="25"/>
          <w:szCs w:val="25"/>
        </w:rPr>
        <w:t xml:space="preserve">2.3 第二梯队：独特场景优势</w:t>
      </w:r>
    </w:p>
    <w:p>
      <w:pPr>
        <w:pStyle w:val="Normal"/>
        <w:spacing w:after="120"/>
      </w:pPr>
      <w:r>
        <w:rPr>
          <w:rFonts w:ascii="Microsoft YaHei" w:eastAsia="微软雅黑" w:hAnsi="Microsoft YaHei"/>
          <w:sz w:val="21"/>
          <w:szCs w:val="21"/>
        </w:rPr>
        <w:t xml:space="preserve">画像：场景极具差异化或规模巨大，但体量/机制上合作难度较高或优先级靠后。</w:t>
      </w:r>
    </w:p>
    <w:p>
      <w:pPr>
        <w:pStyle w:val="Heading3"/>
        <w:spacing w:after="100" w:before="180"/>
      </w:pPr>
      <w:r>
        <w:rPr>
          <w:rFonts w:ascii="Microsoft YaHei" w:eastAsia="微软雅黑" w:hAnsi="Microsoft YaHei"/>
          <w:b/>
          <w:bCs/>
          <w:color w:val="1F4E79"/>
          <w:sz w:val="22"/>
          <w:szCs w:val="22"/>
        </w:rPr>
        <w:t xml:space="preserve">2.3.1 京东集团（物流场景）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【综合评分 3.6 / 5】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场景资源：</w:t>
      </w:r>
      <w:r>
        <w:rPr>
          <w:rFonts w:ascii="Microsoft YaHei" w:eastAsia="微软雅黑" w:hAnsi="Microsoft YaHei"/>
          <w:sz w:val="21"/>
          <w:szCs w:val="21"/>
        </w:rPr>
        <w:t xml:space="preserve">全球领先的物流自动化场景：仓储分拣、搬运、末端配送，京东物流机器人已有部署基础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本体能力：</w:t>
      </w:r>
      <w:r>
        <w:rPr>
          <w:rFonts w:ascii="Microsoft YaHei" w:eastAsia="微软雅黑" w:hAnsi="Microsoft YaHei"/>
          <w:sz w:val="21"/>
          <w:szCs w:val="21"/>
        </w:rPr>
        <w:t xml:space="preserve">有一定机器人集成能力，不做核心本体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模型能力：</w:t>
      </w:r>
      <w:r>
        <w:rPr>
          <w:rFonts w:ascii="Microsoft YaHei" w:eastAsia="微软雅黑" w:hAnsi="Microsoft YaHei"/>
          <w:sz w:val="21"/>
          <w:szCs w:val="21"/>
        </w:rPr>
        <w:t xml:space="preserve">无具身智能大模型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合作切入点：</w:t>
      </w:r>
      <w:r>
        <w:rPr>
          <w:rFonts w:ascii="Microsoft YaHei" w:eastAsia="微软雅黑" w:hAnsi="Microsoft YaHei"/>
          <w:sz w:val="21"/>
          <w:szCs w:val="21"/>
        </w:rPr>
        <w:t xml:space="preserve">物流数采场景独一无二；物流机器人操作模型需求强烈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对接优先级：</w:t>
      </w:r>
      <w:r>
        <w:rPr>
          <w:rFonts w:ascii="Microsoft YaHei" w:eastAsia="微软雅黑" w:hAnsi="Microsoft YaHei"/>
          <w:sz w:val="21"/>
          <w:szCs w:val="21"/>
        </w:rPr>
        <w:t xml:space="preserve">P2 · 关注</w:t>
      </w:r>
    </w:p>
    <w:p>
      <w:pPr>
        <w:pStyle w:val="Heading3"/>
        <w:spacing w:after="100" w:before="180"/>
      </w:pPr>
      <w:r>
        <w:rPr>
          <w:rFonts w:ascii="Microsoft YaHei" w:eastAsia="微软雅黑" w:hAnsi="Microsoft YaHei"/>
          <w:b/>
          <w:bCs/>
          <w:color w:val="1F4E79"/>
          <w:sz w:val="22"/>
          <w:szCs w:val="22"/>
        </w:rPr>
        <w:t xml:space="preserve">2.3.2 富士康 / 工业富联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【综合评分 3.6 / 5】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场景资源：</w:t>
      </w:r>
      <w:r>
        <w:rPr>
          <w:rFonts w:ascii="Microsoft YaHei" w:eastAsia="微软雅黑" w:hAnsi="Microsoft YaHei"/>
          <w:sz w:val="21"/>
          <w:szCs w:val="21"/>
        </w:rPr>
        <w:t xml:space="preserve">全球最大电子制造场景，灯塔工厂群，精密装配操作需求海量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本体能力：</w:t>
      </w:r>
      <w:r>
        <w:rPr>
          <w:rFonts w:ascii="Microsoft YaHei" w:eastAsia="微软雅黑" w:hAnsi="Microsoft YaHei"/>
          <w:sz w:val="21"/>
          <w:szCs w:val="21"/>
        </w:rPr>
        <w:t xml:space="preserve">Foxbot工业机器人，自动化集成能力强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模型能力：</w:t>
      </w:r>
      <w:r>
        <w:rPr>
          <w:rFonts w:ascii="Microsoft YaHei" w:eastAsia="微软雅黑" w:hAnsi="Microsoft YaHei"/>
          <w:sz w:val="21"/>
          <w:szCs w:val="21"/>
        </w:rPr>
        <w:t xml:space="preserve">无具身智能操作模型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挑战：</w:t>
      </w:r>
      <w:r>
        <w:rPr>
          <w:rFonts w:ascii="Microsoft YaHei" w:eastAsia="微软雅黑" w:hAnsi="Microsoft YaHei"/>
          <w:sz w:val="21"/>
          <w:szCs w:val="21"/>
        </w:rPr>
        <w:t xml:space="preserve">体量过大，合作层级难以对等；数据安全与保密要求极高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对接优先级：</w:t>
      </w:r>
      <w:r>
        <w:rPr>
          <w:rFonts w:ascii="Microsoft YaHei" w:eastAsia="微软雅黑" w:hAnsi="Microsoft YaHei"/>
          <w:sz w:val="21"/>
          <w:szCs w:val="21"/>
        </w:rPr>
        <w:t xml:space="preserve">P2 · 关注</w:t>
      </w:r>
    </w:p>
    <w:p>
      <w:pPr>
        <w:pStyle w:val="Heading3"/>
        <w:spacing w:after="100" w:before="180"/>
      </w:pPr>
      <w:r>
        <w:rPr>
          <w:rFonts w:ascii="Microsoft YaHei" w:eastAsia="微软雅黑" w:hAnsi="Microsoft YaHei"/>
          <w:b/>
          <w:bCs/>
          <w:color w:val="1F4E79"/>
          <w:sz w:val="22"/>
          <w:szCs w:val="22"/>
        </w:rPr>
        <w:t xml:space="preserve">2.3.3 碧桂园 / 博智林（建筑场景）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【综合评分 3.2 / 5】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场景资源：</w:t>
      </w:r>
      <w:r>
        <w:rPr>
          <w:rFonts w:ascii="Microsoft YaHei" w:eastAsia="微软雅黑" w:hAnsi="Microsoft YaHei"/>
          <w:sz w:val="21"/>
          <w:szCs w:val="21"/>
        </w:rPr>
        <w:t xml:space="preserve">建筑机器人全球最独特场景（砌砖、喷涂、打磨、测量），博智林自研50余款建筑机器人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本体能力：</w:t>
      </w:r>
      <w:r>
        <w:rPr>
          <w:rFonts w:ascii="Microsoft YaHei" w:eastAsia="微软雅黑" w:hAnsi="Microsoft YaHei"/>
          <w:sz w:val="21"/>
          <w:szCs w:val="21"/>
        </w:rPr>
        <w:t xml:space="preserve">自研建筑机器人本体矩阵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模型能力：</w:t>
      </w:r>
      <w:r>
        <w:rPr>
          <w:rFonts w:ascii="Microsoft YaHei" w:eastAsia="微软雅黑" w:hAnsi="Microsoft YaHei"/>
          <w:sz w:val="21"/>
          <w:szCs w:val="21"/>
        </w:rPr>
        <w:t xml:space="preserve">偏传统自动化，无通用操作模型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风险：</w:t>
      </w:r>
      <w:r>
        <w:rPr>
          <w:rFonts w:ascii="Microsoft YaHei" w:eastAsia="微软雅黑" w:hAnsi="Microsoft YaHei"/>
          <w:sz w:val="21"/>
          <w:szCs w:val="21"/>
        </w:rPr>
        <w:t xml:space="preserve">碧桂园自身财务压力较大，合作稳定性存疑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对接优先级：</w:t>
      </w:r>
      <w:r>
        <w:rPr>
          <w:rFonts w:ascii="Microsoft YaHei" w:eastAsia="微软雅黑" w:hAnsi="Microsoft YaHei"/>
          <w:sz w:val="21"/>
          <w:szCs w:val="21"/>
        </w:rPr>
        <w:t xml:space="preserve">P3 · 暂缓</w:t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74B5"/>
          <w:sz w:val="25"/>
          <w:szCs w:val="25"/>
        </w:rPr>
        <w:t xml:space="preserve">2.4 第三梯队：本体能力强、场景偏窄</w:t>
      </w:r>
    </w:p>
    <w:p>
      <w:pPr>
        <w:pStyle w:val="Normal"/>
        <w:spacing w:after="120"/>
      </w:pPr>
      <w:r>
        <w:rPr>
          <w:rFonts w:ascii="Microsoft YaHei" w:eastAsia="微软雅黑" w:hAnsi="Microsoft YaHei"/>
          <w:sz w:val="21"/>
          <w:szCs w:val="21"/>
        </w:rPr>
        <w:t xml:space="preserve">画像：本体厂商但应用场景相对单一，或体量/机制上合作便利度有限。</w:t>
      </w:r>
    </w:p>
    <w:p>
      <w:pPr>
        <w:pStyle w:val="Heading3"/>
        <w:spacing w:after="100" w:before="180"/>
      </w:pPr>
      <w:r>
        <w:rPr>
          <w:rFonts w:ascii="Microsoft YaHei" w:eastAsia="微软雅黑" w:hAnsi="Microsoft YaHei"/>
          <w:b/>
          <w:bCs/>
          <w:color w:val="1F4E79"/>
          <w:sz w:val="22"/>
          <w:szCs w:val="22"/>
        </w:rPr>
        <w:t xml:space="preserve">2.4.1 埃斯顿（Estun）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【综合评分 3.8 / 5】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本体能力：</w:t>
      </w:r>
      <w:r>
        <w:rPr>
          <w:rFonts w:ascii="Microsoft YaHei" w:eastAsia="微软雅黑" w:hAnsi="Microsoft YaHei"/>
          <w:sz w:val="21"/>
          <w:szCs w:val="21"/>
        </w:rPr>
        <w:t xml:space="preserve">国产工业机器人出货量第一梯队，伺服/控制/本体全产业链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场景资源：</w:t>
      </w:r>
      <w:r>
        <w:rPr>
          <w:rFonts w:ascii="Microsoft YaHei" w:eastAsia="微软雅黑" w:hAnsi="Microsoft YaHei"/>
          <w:sz w:val="21"/>
          <w:szCs w:val="21"/>
        </w:rPr>
        <w:t xml:space="preserve">金属加工、焊接、3C等工业场景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政府资源：</w:t>
      </w:r>
      <w:r>
        <w:rPr>
          <w:rFonts w:ascii="Microsoft YaHei" w:eastAsia="微软雅黑" w:hAnsi="Microsoft YaHei"/>
          <w:sz w:val="21"/>
          <w:szCs w:val="21"/>
        </w:rPr>
        <w:t xml:space="preserve">南京/江苏省政府资源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合作切入点：</w:t>
      </w:r>
      <w:r>
        <w:rPr>
          <w:rFonts w:ascii="Microsoft YaHei" w:eastAsia="微软雅黑" w:hAnsi="Microsoft YaHei"/>
          <w:sz w:val="21"/>
          <w:szCs w:val="21"/>
        </w:rPr>
        <w:t xml:space="preserve">工业本体+RoboX操作模型，3C与焊接场景数采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对接优先级：</w:t>
      </w:r>
      <w:r>
        <w:rPr>
          <w:rFonts w:ascii="Microsoft YaHei" w:eastAsia="微软雅黑" w:hAnsi="Microsoft YaHei"/>
          <w:sz w:val="21"/>
          <w:szCs w:val="21"/>
        </w:rPr>
        <w:t xml:space="preserve">P2 · 关注</w:t>
      </w:r>
    </w:p>
    <w:p>
      <w:pPr>
        <w:pStyle w:val="Heading3"/>
        <w:spacing w:after="100" w:before="180"/>
      </w:pPr>
      <w:r>
        <w:rPr>
          <w:rFonts w:ascii="Microsoft YaHei" w:eastAsia="微软雅黑" w:hAnsi="Microsoft YaHei"/>
          <w:b/>
          <w:bCs/>
          <w:color w:val="1F4E79"/>
          <w:sz w:val="22"/>
          <w:szCs w:val="22"/>
        </w:rPr>
        <w:t xml:space="preserve">2.4.2 格力电器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【综合评分 3.2 / 5】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本体能力：</w:t>
      </w:r>
      <w:r>
        <w:rPr>
          <w:rFonts w:ascii="Microsoft YaHei" w:eastAsia="微软雅黑" w:hAnsi="Microsoft YaHei"/>
          <w:sz w:val="21"/>
          <w:szCs w:val="21"/>
        </w:rPr>
        <w:t xml:space="preserve">格力智能装备自研机器人与数控机床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场景资源：</w:t>
      </w:r>
      <w:r>
        <w:rPr>
          <w:rFonts w:ascii="Microsoft YaHei" w:eastAsia="微软雅黑" w:hAnsi="Microsoft YaHei"/>
          <w:sz w:val="21"/>
          <w:szCs w:val="21"/>
        </w:rPr>
        <w:t xml:space="preserve">自身空调制造场景；珠海政府资源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风险：</w:t>
      </w:r>
      <w:r>
        <w:rPr>
          <w:rFonts w:ascii="Microsoft YaHei" w:eastAsia="微软雅黑" w:hAnsi="Microsoft YaHei"/>
          <w:sz w:val="21"/>
          <w:szCs w:val="21"/>
        </w:rPr>
        <w:t xml:space="preserve">集团决策风格与对外合作门槛较高，谈判周期不可控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对接优先级：</w:t>
      </w:r>
      <w:r>
        <w:rPr>
          <w:rFonts w:ascii="Microsoft YaHei" w:eastAsia="微软雅黑" w:hAnsi="Microsoft YaHei"/>
          <w:sz w:val="21"/>
          <w:szCs w:val="21"/>
        </w:rPr>
        <w:t xml:space="preserve">P3 · 暂缓</w:t>
      </w:r>
    </w:p>
    <w:p>
      <w:pPr>
        <w:pStyle w:val="Heading3"/>
        <w:spacing w:after="100" w:before="180"/>
      </w:pPr>
      <w:r>
        <w:rPr>
          <w:rFonts w:ascii="Microsoft YaHei" w:eastAsia="微软雅黑" w:hAnsi="Microsoft YaHei"/>
          <w:b/>
          <w:bCs/>
          <w:color w:val="1F4E79"/>
          <w:sz w:val="22"/>
          <w:szCs w:val="22"/>
        </w:rPr>
        <w:t xml:space="preserve">2.4.3 节卡机器人（JAKA）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【综合评分 3.6 / 5】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本体能力：</w:t>
      </w:r>
      <w:r>
        <w:rPr>
          <w:rFonts w:ascii="Microsoft YaHei" w:eastAsia="微软雅黑" w:hAnsi="Microsoft YaHei"/>
          <w:sz w:val="21"/>
          <w:szCs w:val="21"/>
        </w:rPr>
        <w:t xml:space="preserve">协作机器人头部厂商，本体成熟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场景资源：</w:t>
      </w:r>
      <w:r>
        <w:rPr>
          <w:rFonts w:ascii="Microsoft YaHei" w:eastAsia="微软雅黑" w:hAnsi="Microsoft YaHei"/>
          <w:sz w:val="21"/>
          <w:szCs w:val="21"/>
        </w:rPr>
        <w:t xml:space="preserve">制造场景为主，场景偏窄但部署量大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合作切入点：</w:t>
      </w:r>
      <w:r>
        <w:rPr>
          <w:rFonts w:ascii="Microsoft YaHei" w:eastAsia="微软雅黑" w:hAnsi="Microsoft YaHei"/>
          <w:sz w:val="21"/>
          <w:szCs w:val="21"/>
        </w:rPr>
        <w:t xml:space="preserve">体量适中、决策链短，易达成深度绑定；适合快速落地POC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对接优先级：</w:t>
      </w:r>
      <w:r>
        <w:rPr>
          <w:rFonts w:ascii="Microsoft YaHei" w:eastAsia="微软雅黑" w:hAnsi="Microsoft YaHei"/>
          <w:sz w:val="21"/>
          <w:szCs w:val="21"/>
        </w:rPr>
        <w:t xml:space="preserve">P2 · 关注</w:t>
      </w:r>
    </w:p>
    <w:p>
      <w:pPr>
        <w:pStyle w:val="Heading3"/>
        <w:spacing w:after="100" w:before="180"/>
      </w:pPr>
      <w:r>
        <w:rPr>
          <w:rFonts w:ascii="Microsoft YaHei" w:eastAsia="微软雅黑" w:hAnsi="Microsoft YaHei"/>
          <w:b/>
          <w:bCs/>
          <w:color w:val="1F4E79"/>
          <w:sz w:val="22"/>
          <w:szCs w:val="22"/>
        </w:rPr>
        <w:t xml:space="preserve">2.4.4 埃夫特（EFORT）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【综合评分 3.2 / 5】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本体能力：</w:t>
      </w:r>
      <w:r>
        <w:rPr>
          <w:rFonts w:ascii="Microsoft YaHei" w:eastAsia="微软雅黑" w:hAnsi="Microsoft YaHei"/>
          <w:sz w:val="21"/>
          <w:szCs w:val="21"/>
        </w:rPr>
        <w:t xml:space="preserve">奇瑞系工业机器人厂商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场景资源：</w:t>
      </w:r>
      <w:r>
        <w:rPr>
          <w:rFonts w:ascii="Microsoft YaHei" w:eastAsia="微软雅黑" w:hAnsi="Microsoft YaHei"/>
          <w:sz w:val="21"/>
          <w:szCs w:val="21"/>
        </w:rPr>
        <w:t xml:space="preserve">汽车制造场景；安徽/芜湖政府资源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合作切入点：</w:t>
      </w:r>
      <w:r>
        <w:rPr>
          <w:rFonts w:ascii="Microsoft YaHei" w:eastAsia="微软雅黑" w:hAnsi="Microsoft YaHei"/>
          <w:sz w:val="21"/>
          <w:szCs w:val="21"/>
        </w:rPr>
        <w:t xml:space="preserve">汽车制造场景数采与工位自动化</w:t>
      </w:r>
    </w:p>
    <w:p>
      <w:pPr>
        <w:pStyle w:val="Normal"/>
        <w:spacing w:after="80" w:line="320"/>
      </w:pPr>
      <w:r>
        <w:rPr>
          <w:rFonts w:ascii="Microsoft YaHei" w:eastAsia="微软雅黑" w:hAnsi="Microsoft YaHei"/>
          <w:b/>
          <w:bCs/>
          <w:color w:val="1F4E79"/>
          <w:sz w:val="21"/>
          <w:szCs w:val="21"/>
        </w:rPr>
        <w:t xml:space="preserve">对接优先级：</w:t>
      </w:r>
      <w:r>
        <w:rPr>
          <w:rFonts w:ascii="Microsoft YaHei" w:eastAsia="微软雅黑" w:hAnsi="Microsoft YaHei"/>
          <w:sz w:val="21"/>
          <w:szCs w:val="21"/>
        </w:rPr>
        <w:t xml:space="preserve">P3 · 暂缓</w:t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74B5"/>
          <w:sz w:val="25"/>
          <w:szCs w:val="25"/>
        </w:rPr>
        <w:t xml:space="preserve">2.5 优先级矩阵与行动建议</w:t>
      </w:r>
    </w:p>
    <w:tbl>
      <w:tblPr>
        <w:tblW w:type="pct" w:w="100%"/>
        <w:tblBorders>
          <w:top w:val="single" w:color="9CC3E5" w:sz="4"/>
          <w:left w:val="single" w:color="9CC3E5" w:sz="4"/>
          <w:bottom w:val="single" w:color="9CC3E5" w:sz="4"/>
          <w:right w:val="single" w:color="9CC3E5" w:sz="4"/>
          <w:insideH w:val="single" w:color="9CC3E5" w:sz="4"/>
          <w:insideV w:val="single" w:color="9CC3E5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19"/>
                <w:szCs w:val="19"/>
              </w:rPr>
              <w:t xml:space="preserve">合作方</w:t>
            </w:r>
          </w:p>
        </w:tc>
        <w:tc>
          <w:tcPr>
            <w:tcW w:type="dxa" w:w="1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19"/>
                <w:szCs w:val="19"/>
              </w:rPr>
              <w:t xml:space="preserve">梯队</w:t>
            </w:r>
          </w:p>
        </w:tc>
        <w:tc>
          <w:tcPr>
            <w:tcW w:type="dxa" w:w="11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19"/>
                <w:szCs w:val="19"/>
              </w:rPr>
              <w:t xml:space="preserve">综合评分</w:t>
            </w:r>
          </w:p>
        </w:tc>
        <w:tc>
          <w:tcPr>
            <w:tcW w:type="dxa" w:w="17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34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19"/>
                <w:szCs w:val="19"/>
              </w:rPr>
              <w:t xml:space="preserve">行动建议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海尔卡奥斯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第一梯队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4.6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P0 · 立即建联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清华校友通道，本月启动</w:t>
            </w:r>
          </w:p>
        </w:tc>
      </w:tr>
      <w:tr>
        <w:tc>
          <w:tcPr>
            <w:tcW w:type="dxa" w:w="22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美的/库卡</w:t>
            </w:r>
          </w:p>
        </w:tc>
        <w:tc>
          <w:tcPr>
            <w:tcW w:type="dxa" w:w="15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第一梯队</w:t>
            </w:r>
          </w:p>
        </w:tc>
        <w:tc>
          <w:tcPr>
            <w:tcW w:type="dxa" w:w="11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4.2</w:t>
            </w:r>
          </w:p>
        </w:tc>
        <w:tc>
          <w:tcPr>
            <w:tcW w:type="dxa" w:w="17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P1 · 探索接触</w:t>
            </w:r>
          </w:p>
        </w:tc>
        <w:tc>
          <w:tcPr>
            <w:tcW w:type="dxa" w:w="34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通过产业基金/佛山政企渠道切入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新松机器人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第一梯队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4.0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P1 · 探索接触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中科院体系，行业会议建联</w:t>
            </w:r>
          </w:p>
        </w:tc>
      </w:tr>
      <w:tr>
        <w:tc>
          <w:tcPr>
            <w:tcW w:type="dxa" w:w="22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埃斯顿</w:t>
            </w:r>
          </w:p>
        </w:tc>
        <w:tc>
          <w:tcPr>
            <w:tcW w:type="dxa" w:w="15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第三梯队</w:t>
            </w:r>
          </w:p>
        </w:tc>
        <w:tc>
          <w:tcPr>
            <w:tcW w:type="dxa" w:w="11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3.8</w:t>
            </w:r>
          </w:p>
        </w:tc>
        <w:tc>
          <w:tcPr>
            <w:tcW w:type="dxa" w:w="17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P2 · 关注</w:t>
            </w:r>
          </w:p>
        </w:tc>
        <w:tc>
          <w:tcPr>
            <w:tcW w:type="dxa" w:w="34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工业场景POC试点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京东集团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第二梯队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3.6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P2 · 关注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物流数采专题提案</w:t>
            </w:r>
          </w:p>
        </w:tc>
      </w:tr>
      <w:tr>
        <w:tc>
          <w:tcPr>
            <w:tcW w:type="dxa" w:w="22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富士康/工业富联</w:t>
            </w:r>
          </w:p>
        </w:tc>
        <w:tc>
          <w:tcPr>
            <w:tcW w:type="dxa" w:w="15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第二梯队</w:t>
            </w:r>
          </w:p>
        </w:tc>
        <w:tc>
          <w:tcPr>
            <w:tcW w:type="dxa" w:w="11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3.6</w:t>
            </w:r>
          </w:p>
        </w:tc>
        <w:tc>
          <w:tcPr>
            <w:tcW w:type="dxa" w:w="17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P2 · 关注</w:t>
            </w:r>
          </w:p>
        </w:tc>
        <w:tc>
          <w:tcPr>
            <w:tcW w:type="dxa" w:w="34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等待合适层级通道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节卡机器人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第三梯队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3.6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P2 · 关注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快速POC，低门槛切入</w:t>
            </w:r>
          </w:p>
        </w:tc>
      </w:tr>
      <w:tr>
        <w:tc>
          <w:tcPr>
            <w:tcW w:type="dxa" w:w="22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博智林/碧桂园</w:t>
            </w:r>
          </w:p>
        </w:tc>
        <w:tc>
          <w:tcPr>
            <w:tcW w:type="dxa" w:w="15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第二梯队</w:t>
            </w:r>
          </w:p>
        </w:tc>
        <w:tc>
          <w:tcPr>
            <w:tcW w:type="dxa" w:w="11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3.2</w:t>
            </w:r>
          </w:p>
        </w:tc>
        <w:tc>
          <w:tcPr>
            <w:tcW w:type="dxa" w:w="17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P3 · 暂缓</w:t>
            </w:r>
          </w:p>
        </w:tc>
        <w:tc>
          <w:tcPr>
            <w:tcW w:type="dxa" w:w="34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关注财务风险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格力电器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第三梯队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3.2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P3 · 暂缓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谈判成本高</w:t>
            </w:r>
          </w:p>
        </w:tc>
      </w:tr>
      <w:tr>
        <w:tc>
          <w:tcPr>
            <w:tcW w:type="dxa" w:w="22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埃夫特</w:t>
            </w:r>
          </w:p>
        </w:tc>
        <w:tc>
          <w:tcPr>
            <w:tcW w:type="dxa" w:w="15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第三梯队</w:t>
            </w:r>
          </w:p>
        </w:tc>
        <w:tc>
          <w:tcPr>
            <w:tcW w:type="dxa" w:w="11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3.2</w:t>
            </w:r>
          </w:p>
        </w:tc>
        <w:tc>
          <w:tcPr>
            <w:tcW w:type="dxa" w:w="17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P3 · 暂缓</w:t>
            </w:r>
          </w:p>
        </w:tc>
        <w:tc>
          <w:tcPr>
            <w:tcW w:type="dxa" w:w="34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安徽政企资源备选</w:t>
            </w:r>
          </w:p>
        </w:tc>
      </w:tr>
    </w:tbl>
    <w:p>
      <w:pPr>
        <w:pStyle w:val="Normal"/>
        <w:spacing w:after="60"/>
      </w:pPr>
      <w:r>
        <w:rPr>
          <w:rFonts w:ascii="Microsoft YaHei" w:eastAsia="微软雅黑" w:hAnsi="Microsoft YaHei"/>
          <w:sz w:val="21"/>
          <w:szCs w:val="21"/>
        </w:rPr>
        <w:t xml:space="preserve"/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sz w:val="21"/>
          <w:szCs w:val="21"/>
        </w:rPr>
        <w:t xml:space="preserve">行动原则：优先推进海尔卡奥斯（有建联通道、画像匹配、窗口期开放），以长虹为参照沉淀标准化合作框架，再复制到美的、新松等同类对象。</w:t>
      </w:r>
    </w:p>
    <w:p>
      <w:pPr>
        <w:pStyle w:val="Heading1"/>
        <w:spacing w:after="160" w:before="320"/>
      </w:pPr>
      <w:r>
        <w:rPr>
          <w:rFonts w:ascii="Microsoft YaHei" w:eastAsia="微软雅黑" w:hAnsi="Microsoft YaHei"/>
          <w:b/>
          <w:bCs/>
          <w:color w:val="1F4E79"/>
          <w:sz w:val="30"/>
          <w:szCs w:val="30"/>
        </w:rPr>
        <w:t xml:space="preserve">三、海尔卡奥斯专项合作策略</w:t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74B5"/>
          <w:sz w:val="25"/>
          <w:szCs w:val="25"/>
        </w:rPr>
        <w:t xml:space="preserve">3.1 为什么是海尔卡奥斯</w:t>
      </w:r>
    </w:p>
    <w:p>
      <w:pPr>
        <w:pStyle w:val="Normal"/>
        <w:spacing w:after="60" w:line="320"/>
        <w:ind w:left="400" w:hanging="30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1.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画像高度匹配长虹模式：大型制造集团 + 海量真实场景 + 硬件能力 + 无操作模型；且海尔已成立机器人事业部（2025年6月），正处于具身智能布局期，对外合作意愿明确。</w:t>
      </w:r>
    </w:p>
    <w:p>
      <w:pPr>
        <w:pStyle w:val="Normal"/>
        <w:spacing w:after="60" w:line="320"/>
        <w:ind w:left="400" w:hanging="30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2.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场景密度与多样性第一：20座灯塔工厂、20+行业互联工厂、智慧家庭、日日顺物流——数采场景的规模、密度、多样性在全部候选对象中最高，且同时覆盖工业与家庭两大核心方向。</w:t>
      </w:r>
    </w:p>
    <w:p>
      <w:pPr>
        <w:pStyle w:val="Normal"/>
        <w:spacing w:after="60" w:line="320"/>
        <w:ind w:left="400" w:hanging="30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3.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模型缺口清晰且互补：海尔智家的“家庭场景大模型”聚焦用户意图理解层；而RoboX的灵巧手操作模型聚焦执行层（手眼脑协同）。两者互补，可共建“理解+执行”完整闭环，不存在直接竞争。</w:t>
      </w:r>
    </w:p>
    <w:p>
      <w:pPr>
        <w:pStyle w:val="Normal"/>
        <w:spacing w:after="60" w:line="320"/>
        <w:ind w:left="400" w:hanging="30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4.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已展示开放合作先例：与上海新时达达成战略合作（“新达”具身机器人已上岗），证明海尔愿意以“自研+生态合作”双轨推进，RoboX有机会成为其核心操作模型伙伴。</w:t>
      </w:r>
    </w:p>
    <w:p>
      <w:pPr>
        <w:pStyle w:val="Normal"/>
        <w:spacing w:after="60" w:line="320"/>
        <w:ind w:left="400" w:hanging="30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5.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建联通道现成：清华同学在海尔（用户直接关系），可显著缩短信任建立周期，是全部候选对象中唯一具备即时直连通道的目标。</w:t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74B5"/>
          <w:sz w:val="25"/>
          <w:szCs w:val="25"/>
        </w:rPr>
        <w:t xml:space="preserve">3.2 海尔/卡奥斯关键信息梳理（截至2026年8月）</w:t>
      </w:r>
    </w:p>
    <w:tbl>
      <w:tblPr>
        <w:tblW w:type="pct" w:w="100%"/>
        <w:tblBorders>
          <w:top w:val="single" w:color="9CC3E5" w:sz="4"/>
          <w:left w:val="single" w:color="9CC3E5" w:sz="4"/>
          <w:bottom w:val="single" w:color="9CC3E5" w:sz="4"/>
          <w:right w:val="single" w:color="9CC3E5" w:sz="4"/>
          <w:insideH w:val="single" w:color="9CC3E5" w:sz="4"/>
          <w:insideV w:val="single" w:color="9CC3E5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7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19"/>
                <w:szCs w:val="19"/>
              </w:rPr>
              <w:t xml:space="preserve">关键信息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机器人事业部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2025年6月成立（周云杰推动），标志海尔正式进入具身智能赛道</w:t>
            </w:r>
          </w:p>
        </w:tc>
      </w:tr>
      <w:tr>
        <w:tc>
          <w:tcPr>
            <w:tcW w:type="dxa" w:w="22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新时达合作</w:t>
            </w:r>
          </w:p>
        </w:tc>
        <w:tc>
          <w:tcPr>
            <w:tcW w:type="dxa" w:w="76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2025年7月战略合作，联合研发家庭服务与工业场景机器人；“新达”具身机器人2025年11月已在海尔场景上岗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机器人矩阵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清洁机器人、保姆机器人、陪伴机器人；AWE 2026发布“AI之眼2.0”与家庭机器人新品</w:t>
            </w:r>
          </w:p>
        </w:tc>
      </w:tr>
      <w:tr>
        <w:tc>
          <w:tcPr>
            <w:tcW w:type="dxa" w:w="22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卡奥斯平台</w:t>
            </w:r>
          </w:p>
        </w:tc>
        <w:tc>
          <w:tcPr>
            <w:tcW w:type="dxa" w:w="76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2017年推出，大规模定制模式，连续7年工信部“双跨”平台第一；品牌价值1261.66亿元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灯塔工厂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20座灯塔工厂（全球最多之一），覆盖家电、化工、汽车等20+行业</w:t>
            </w:r>
          </w:p>
        </w:tc>
      </w:tr>
      <w:tr>
        <w:tc>
          <w:tcPr>
            <w:tcW w:type="dxa" w:w="22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天智工业大模型</w:t>
            </w:r>
          </w:p>
        </w:tc>
        <w:tc>
          <w:tcPr>
            <w:tcW w:type="dxa" w:w="76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卡奥斯“工业大脑”，面向工业场景的垂类大模型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工业Claw计划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2026年4月发布生态伙伴计划，开放硬件/软件/算法生态入口</w:t>
            </w:r>
          </w:p>
        </w:tc>
      </w:tr>
      <w:tr>
        <w:tc>
          <w:tcPr>
            <w:tcW w:type="dxa" w:w="22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AI智能体</w:t>
            </w:r>
          </w:p>
        </w:tc>
        <w:tc>
          <w:tcPr>
            <w:tcW w:type="dxa" w:w="76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2026年7月WAIC发布三大AI智能体，强化“AI+工业互联网”战略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华为合作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2026年3月与华为达成合作，探索工业互联网+AI联合方案</w:t>
            </w:r>
          </w:p>
        </w:tc>
      </w:tr>
    </w:tbl>
    <w:p>
      <w:pPr>
        <w:pStyle w:val="Normal"/>
        <w:spacing w:after="60"/>
      </w:pPr>
      <w:r>
        <w:rPr>
          <w:rFonts w:ascii="Microsoft YaHei" w:eastAsia="微软雅黑" w:hAnsi="Microsoft YaHei"/>
          <w:sz w:val="21"/>
          <w:szCs w:val="21"/>
        </w:rPr>
        <w:t xml:space="preserve"/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sz w:val="21"/>
          <w:szCs w:val="21"/>
        </w:rPr>
        <w:t xml:space="preserve">要点解读：海尔在“平台+大模型+硬件”三线并进，但其机器人操作能力主要依赖新时达的运动控制（小脑），在“大脑”层的通用操作模型上仍留有明确生态位，这是RoboX的核心机会。</w:t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74B5"/>
          <w:sz w:val="25"/>
          <w:szCs w:val="25"/>
        </w:rPr>
        <w:t xml:space="preserve">3.3 与长虹模式对照</w:t>
      </w:r>
    </w:p>
    <w:tbl>
      <w:tblPr>
        <w:tblW w:type="pct" w:w="100%"/>
        <w:tblBorders>
          <w:top w:val="single" w:color="9CC3E5" w:sz="4"/>
          <w:left w:val="single" w:color="9CC3E5" w:sz="4"/>
          <w:bottom w:val="single" w:color="9CC3E5" w:sz="4"/>
          <w:right w:val="single" w:color="9CC3E5" w:sz="4"/>
          <w:insideH w:val="single" w:color="9CC3E5" w:sz="4"/>
          <w:insideV w:val="single" w:color="9CC3E5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19"/>
                <w:szCs w:val="19"/>
              </w:rPr>
              <w:t xml:space="preserve">长虹</w:t>
            </w:r>
          </w:p>
        </w:tc>
        <w:tc>
          <w:tcPr>
            <w:tcW w:type="dxa" w:w="29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19"/>
                <w:szCs w:val="19"/>
              </w:rPr>
              <w:t xml:space="preserve">海尔卡奥斯</w:t>
            </w:r>
          </w:p>
        </w:tc>
        <w:tc>
          <w:tcPr>
            <w:tcW w:type="dxa" w:w="26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19"/>
                <w:szCs w:val="19"/>
              </w:rPr>
              <w:t xml:space="preserve">差异与含义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核心场景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酒店/文旅/养老/医院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灯塔工厂/智慧家庭/日日顺物流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海尔更偏向工业+家庭</w:t>
            </w:r>
          </w:p>
        </w:tc>
      </w:tr>
      <w:tr>
        <w:tc>
          <w:tcPr>
            <w:tcW w:type="dxa" w:w="17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本体能力</w:t>
            </w:r>
          </w:p>
        </w:tc>
        <w:tc>
          <w:tcPr>
            <w:tcW w:type="dxa" w:w="26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轮式+双臂定制OEM</w:t>
            </w:r>
          </w:p>
        </w:tc>
        <w:tc>
          <w:tcPr>
            <w:tcW w:type="dxa" w:w="29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清洁/保姆/陪伴机器人 + 新时达协作臂</w:t>
            </w:r>
          </w:p>
        </w:tc>
        <w:tc>
          <w:tcPr>
            <w:tcW w:type="dxa" w:w="26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海尔本体更成品化，需磨合接口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模型缺口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完全无模型能力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有意图理解层大模型，缺操作模型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海尔可做“理解层”协同</w:t>
            </w:r>
          </w:p>
        </w:tc>
      </w:tr>
      <w:tr>
        <w:tc>
          <w:tcPr>
            <w:tcW w:type="dxa" w:w="17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政府资源</w:t>
            </w:r>
          </w:p>
        </w:tc>
        <w:tc>
          <w:tcPr>
            <w:tcW w:type="dxa" w:w="26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成都高新区3600亿基金、西南上市指标</w:t>
            </w:r>
          </w:p>
        </w:tc>
        <w:tc>
          <w:tcPr>
            <w:tcW w:type="dxa" w:w="29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青岛/山东支持、双跨第一国家级平台</w:t>
            </w:r>
          </w:p>
        </w:tc>
        <w:tc>
          <w:tcPr>
            <w:tcW w:type="dxa" w:w="26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海尔政府资源层级更高</w:t>
            </w:r>
          </w:p>
        </w:tc>
      </w:tr>
      <w:t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合作阶段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已有CTO沟通稿，接触深入</w:t>
            </w:r>
          </w:p>
        </w:tc>
        <w:tc>
          <w:tcPr>
            <w:tcW w:type="dxa" w:w="2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尚未建联（清华校友通道待启动）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海尔需从头建立信任</w:t>
            </w:r>
          </w:p>
        </w:tc>
      </w:tr>
      <w:tr>
        <w:tc>
          <w:tcPr>
            <w:tcW w:type="dxa" w:w="17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产业资本</w:t>
            </w:r>
          </w:p>
        </w:tc>
        <w:tc>
          <w:tcPr>
            <w:tcW w:type="dxa" w:w="26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交叉持股意愿明确</w:t>
            </w:r>
          </w:p>
        </w:tc>
        <w:tc>
          <w:tcPr>
            <w:tcW w:type="dxa" w:w="29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海尔资本体系庞大，可谈产业投资</w:t>
            </w:r>
          </w:p>
        </w:tc>
        <w:tc>
          <w:tcPr>
            <w:tcW w:type="dxa" w:w="26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海尔资本实力更强</w:t>
            </w:r>
          </w:p>
        </w:tc>
      </w:tr>
    </w:tbl>
    <w:p>
      <w:pPr>
        <w:pStyle w:val="Normal"/>
        <w:spacing w:after="60"/>
      </w:pPr>
      <w:r>
        <w:rPr>
          <w:rFonts w:ascii="Microsoft YaHei" w:eastAsia="微软雅黑" w:hAnsi="Microsoft YaHei"/>
          <w:sz w:val="21"/>
          <w:szCs w:val="21"/>
        </w:rPr>
        <w:t xml:space="preserve"/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sz w:val="21"/>
          <w:szCs w:val="21"/>
        </w:rPr>
        <w:t xml:space="preserve">结论：海尔与长虹同画像但“更重”——场景更工业、平台更体系化、资本更强。因此海尔合作应走“从点到面”路径：先以具体场景POC建立信任，再谈生态级绑定，避免一上来要求集团级排他协议。</w:t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74B5"/>
          <w:sz w:val="25"/>
          <w:szCs w:val="25"/>
        </w:rPr>
        <w:t xml:space="preserve">3.4 合作切入点设计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sz w:val="21"/>
          <w:szCs w:val="21"/>
        </w:rPr>
        <w:t xml:space="preserve">围绕数据采集（数采）这一核心业务模式，设计四大切入点：</w:t>
      </w:r>
    </w:p>
    <w:p>
      <w:pPr>
        <w:pStyle w:val="Normal"/>
        <w:spacing w:after="60" w:line="320"/>
        <w:ind w:left="400" w:hanging="30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1.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工业数采：以卡奥斯互联工厂为阵地，在装配、质检、物料搬运等工位部署RoboX方案采集真实操作数据；响应“政府出钱买设备、数据分享”的长虹同款模式。</w:t>
      </w:r>
    </w:p>
    <w:p>
      <w:pPr>
        <w:pStyle w:val="Normal"/>
        <w:spacing w:after="60" w:line="320"/>
        <w:ind w:left="400" w:hanging="30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2.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家庭服务数采：结合海尔清洁/保姆/陪伴机器人，落地家庭场景操作模型数据采集（衣物收纳、台面整理、陪伴互动等），与海尔智家“理解层”大模型共建闭环。</w:t>
      </w:r>
    </w:p>
    <w:p>
      <w:pPr>
        <w:pStyle w:val="Normal"/>
        <w:spacing w:after="60" w:line="320"/>
        <w:ind w:left="400" w:hanging="30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3.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物流数采：依托日日顺物流仓储配送场景，采集分拣、上架、拆零等操作数据，形成物流垂类数据集。</w:t>
      </w:r>
    </w:p>
    <w:p>
      <w:pPr>
        <w:pStyle w:val="Normal"/>
        <w:spacing w:after="60" w:line="320"/>
        <w:ind w:left="400" w:hanging="30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4.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生态嵌入：申请加入卡奥斯“工业Claw”生态伙伴计划，以官方生态伙伴身份获取平台资源与项目入口，同时联合申报青岛/山东政府数采与人工智能项目。</w:t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74B5"/>
          <w:sz w:val="25"/>
          <w:szCs w:val="25"/>
        </w:rPr>
        <w:t xml:space="preserve">3.5 分阶段合作策略</w:t>
      </w:r>
    </w:p>
    <w:tbl>
      <w:tblPr>
        <w:tblW w:type="pct" w:w="100%"/>
        <w:tblBorders>
          <w:top w:val="single" w:color="9CC3E5" w:sz="4"/>
          <w:left w:val="single" w:color="9CC3E5" w:sz="4"/>
          <w:bottom w:val="single" w:color="9CC3E5" w:sz="4"/>
          <w:right w:val="single" w:color="9CC3E5" w:sz="4"/>
          <w:insideH w:val="single" w:color="9CC3E5" w:sz="4"/>
          <w:insideV w:val="single" w:color="9CC3E5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13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19"/>
                <w:szCs w:val="19"/>
              </w:rPr>
              <w:t xml:space="preserve">周期</w:t>
            </w:r>
          </w:p>
        </w:tc>
        <w:tc>
          <w:tcPr>
            <w:tcW w:type="dxa" w:w="67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19"/>
                <w:szCs w:val="19"/>
              </w:rPr>
              <w:t xml:space="preserve">关键动作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第一阶段
建联摸底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1-3个月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清华同学引荐，接触海尔机器人事业部/卡奥斯生态部门；摸底其具身智能战略、预算与决策链；提供RoboX灵巧手+操作模型能力演示；输出1页纸合作价值提案</w:t>
            </w:r>
          </w:p>
        </w:tc>
      </w:tr>
      <w:tr>
        <w:tc>
          <w:tcPr>
            <w:tcW w:type="dxa" w:w="18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第二阶段
场景POC</w:t>
            </w:r>
          </w:p>
        </w:tc>
        <w:tc>
          <w:tcPr>
            <w:tcW w:type="dxa" w:w="13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3-6个月</w:t>
            </w:r>
          </w:p>
        </w:tc>
        <w:tc>
          <w:tcPr>
            <w:tcW w:type="dxa" w:w="67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选定1-2个高价值场景（建议优先家电装配或家庭服务）签署NDA并小规模POC；以数据合作为启动点（RoboX付费采购+联合采集双轨）；联合申报青岛/山东政府项目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第三阶段
深度绑定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6-12个月</w:t>
            </w:r>
          </w:p>
        </w:tc>
        <w:tc>
          <w:tcPr>
            <w:tcW w:type="dxa" w:w="67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共建联合实验室或合资主体；大规模数采与训练合作；纳入海尔生态链/卡奥斯生态伙伴体系；争取海尔产业资本参与RoboX融资；模式复制到美的、新松</w:t>
            </w:r>
          </w:p>
        </w:tc>
      </w:tr>
    </w:tbl>
    <w:p>
      <w:pPr>
        <w:pStyle w:val="Normal"/>
        <w:spacing w:after="60"/>
      </w:pPr>
      <w:r>
        <w:rPr>
          <w:rFonts w:ascii="Microsoft YaHei" w:eastAsia="微软雅黑" w:hAnsi="Microsoft YaHei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74B5"/>
          <w:sz w:val="25"/>
          <w:szCs w:val="25"/>
        </w:rPr>
        <w:t xml:space="preserve">3.6 建联路径与沟通要点</w:t>
      </w:r>
    </w:p>
    <w:p>
      <w:pPr>
        <w:pStyle w:val="Heading3"/>
        <w:spacing w:after="100" w:before="180"/>
      </w:pPr>
      <w:r>
        <w:rPr>
          <w:rFonts w:ascii="Microsoft YaHei" w:eastAsia="微软雅黑" w:hAnsi="Microsoft YaHei"/>
          <w:b/>
          <w:bCs/>
          <w:color w:val="1F4E79"/>
          <w:sz w:val="22"/>
          <w:szCs w:val="22"/>
        </w:rPr>
        <w:t xml:space="preserve">3.6.1 建联路径（清华校友通道）</w:t>
      </w:r>
    </w:p>
    <w:p>
      <w:pPr>
        <w:pStyle w:val="Normal"/>
        <w:spacing w:after="60" w:line="320"/>
        <w:ind w:left="400" w:hanging="30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1.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第一步（第1-2周）：由Anson通过清华同学确认其所在部门与职责，优先匹配海尔机器人事业部或卡奥斯生态合作/投资条线；同步请同学帮忙判断内部决策链与关键决策人。</w:t>
      </w:r>
    </w:p>
    <w:p>
      <w:pPr>
        <w:pStyle w:val="Normal"/>
        <w:spacing w:after="60" w:line="320"/>
        <w:ind w:left="400" w:hanging="30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2.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第二步（第2-4周）：请同学以非正式方式传递RoboX合作价值1页纸（不涉及机密），试探对方兴趣点与内部优先级；确认有意向后安排正式会面（建议先线上后线下）。</w:t>
      </w:r>
    </w:p>
    <w:p>
      <w:pPr>
        <w:pStyle w:val="Normal"/>
        <w:spacing w:after="60" w:line="320"/>
        <w:ind w:left="400" w:hanging="30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3.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第三步（第1-2月）：正式会面，建议RoboX创始人明修+Anson+技术负责人同场，展示真机演示视频与长虹合作案例，突出“数据资产+操作模型”双价值。</w:t>
      </w:r>
    </w:p>
    <w:p>
      <w:pPr>
        <w:pStyle w:val="Heading3"/>
        <w:spacing w:after="100" w:before="180"/>
      </w:pPr>
      <w:r>
        <w:rPr>
          <w:rFonts w:ascii="Microsoft YaHei" w:eastAsia="微软雅黑" w:hAnsi="Microsoft YaHei"/>
          <w:b/>
          <w:bCs/>
          <w:color w:val="1F4E79"/>
          <w:sz w:val="22"/>
          <w:szCs w:val="22"/>
        </w:rPr>
        <w:t xml:space="preserve">3.6.2 沟通要点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先讲数据价值，再讲模型：海尔最关心的第一顺位是数采数据资产价值，第二才是模型能力——话术顺序决定谈判姿态；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强调互补而非竞争：明确“海尔理解层大模型 + RoboX操作模型”分工，主动为对方保留AI叙事空间；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对标新时达，提出更高价值方案：海尔已接受新时达“小脑”合作，RoboX应定位“大脑+手”层，价值层级更高；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呼应海尔战略：紧扣周云杰“向生态型企业转型”与卡奥斯“AI+工业互联网”主线，将合作包装为海尔生态战略的一部分；</w:t>
      </w:r>
    </w:p>
    <w:p>
      <w:pPr>
        <w:pStyle w:val="Normal"/>
        <w:spacing w:after="60" w:line="320"/>
        <w:ind w:left="400" w:hanging="240"/>
      </w:pPr>
      <w:r>
        <w:rPr>
          <w:rFonts w:ascii="Microsoft YaHei" w:eastAsia="微软雅黑" w:hAnsi="Microsoft YaHei"/>
          <w:b/>
          <w:bCs/>
          <w:color w:val="2E74B5"/>
          <w:sz w:val="21"/>
          <w:szCs w:val="21"/>
        </w:rPr>
        <w:t xml:space="preserve">▪ </w:t>
      </w:r>
      <w:r>
        <w:rPr>
          <w:rFonts w:ascii="Microsoft YaHei" w:eastAsia="微软雅黑" w:hAnsi="Microsoft YaHei"/>
          <w:b w:val="false"/>
          <w:bCs w:val="false"/>
          <w:sz w:val="21"/>
          <w:szCs w:val="21"/>
        </w:rPr>
        <w:t xml:space="preserve">给出确定性：预演长虹合作成果与数采商业模式（政府出资、设备采购、数据共享），降低对方决策风险。</w:t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74B5"/>
          <w:sz w:val="25"/>
          <w:szCs w:val="25"/>
        </w:rPr>
        <w:t xml:space="preserve">3.7 风险与应对</w:t>
      </w:r>
    </w:p>
    <w:tbl>
      <w:tblPr>
        <w:tblW w:type="pct" w:w="100%"/>
        <w:tblBorders>
          <w:top w:val="single" w:color="9CC3E5" w:sz="4"/>
          <w:left w:val="single" w:color="9CC3E5" w:sz="4"/>
          <w:bottom w:val="single" w:color="9CC3E5" w:sz="4"/>
          <w:right w:val="single" w:color="9CC3E5" w:sz="4"/>
          <w:insideH w:val="single" w:color="9CC3E5" w:sz="4"/>
          <w:insideV w:val="single" w:color="9CC3E5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19"/>
                <w:szCs w:val="19"/>
              </w:rPr>
              <w:t xml:space="preserve">风险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19"/>
                <w:szCs w:val="19"/>
              </w:rPr>
              <w:t xml:space="preserve">具体表现</w:t>
            </w:r>
          </w:p>
        </w:tc>
        <w:tc>
          <w:tcPr>
            <w:tcW w:type="dxa" w:w="4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19"/>
                <w:szCs w:val="19"/>
              </w:rPr>
              <w:t xml:space="preserve">应对策略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海尔自研倾向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海尔智家已有“家庭场景大模型”，可能未来自研操作模型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聚焦执行层定位，与理解层明确分工；以数采数据资产为长期绑定，让海尔难以自替代</w:t>
            </w:r>
          </w:p>
        </w:tc>
      </w:tr>
      <w:tr>
        <w:tc>
          <w:tcPr>
            <w:tcW w:type="dxa" w:w="20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新时达竞争</w:t>
            </w:r>
          </w:p>
        </w:tc>
        <w:tc>
          <w:tcPr>
            <w:tcW w:type="dxa" w:w="30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海尔已深度绑定新时达，可能将其作为优先供应商</w:t>
            </w:r>
          </w:p>
        </w:tc>
        <w:tc>
          <w:tcPr>
            <w:tcW w:type="dxa" w:w="48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差异化定位：新时达管运动控制（小脑），RoboX管操作模型（大脑+手），并争取成为“大脑”独家伙伴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集团决策链长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海尔为大型集团，跨部门决策周期不可控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从卡奥斯生态伙伴/具体业务单元切入，先做小单子再向上整合，避免一开始就要集团协议</w:t>
            </w:r>
          </w:p>
        </w:tc>
      </w:tr>
      <w:tr>
        <w:tc>
          <w:tcPr>
            <w:tcW w:type="dxa" w:w="20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数据权属敏感</w:t>
            </w:r>
          </w:p>
        </w:tc>
        <w:tc>
          <w:tcPr>
            <w:tcW w:type="dxa" w:w="30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海尔对产线数据、家庭数据所有权敏感</w:t>
            </w:r>
          </w:p>
        </w:tc>
        <w:tc>
          <w:tcPr>
            <w:tcW w:type="dxa" w:w="48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借鉴长虹模式：明确数据权属与利益分配（设备采购方、数据采集方、模型输出方三方分账）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账期与商务周期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大集团商务流程长，回款周期不可控</w:t>
            </w:r>
          </w:p>
        </w:tc>
        <w:tc>
          <w:tcPr>
            <w:tcW w:type="dxa" w:w="4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POC阶段以小合同起步，控制前期投入；同步探索政府项目联合申报分摊成本</w:t>
            </w:r>
          </w:p>
        </w:tc>
      </w:tr>
    </w:tbl>
    <w:p>
      <w:pPr>
        <w:pStyle w:val="Normal"/>
        <w:spacing w:after="60"/>
      </w:pPr>
      <w:r>
        <w:rPr>
          <w:rFonts w:ascii="Microsoft YaHei" w:eastAsia="微软雅黑" w:hAnsi="Microsoft YaHei"/>
          <w:sz w:val="21"/>
          <w:szCs w:val="21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eastAsia="微软雅黑" w:hAnsi="Microsoft YaHei"/>
          <w:b/>
          <w:bCs/>
          <w:color w:val="2E74B5"/>
          <w:sz w:val="25"/>
          <w:szCs w:val="25"/>
        </w:rPr>
        <w:t xml:space="preserve">3.8 行动时间表</w:t>
      </w:r>
    </w:p>
    <w:tbl>
      <w:tblPr>
        <w:tblW w:type="pct" w:w="100%"/>
        <w:tblBorders>
          <w:top w:val="single" w:color="9CC3E5" w:sz="4"/>
          <w:left w:val="single" w:color="9CC3E5" w:sz="4"/>
          <w:bottom w:val="single" w:color="9CC3E5" w:sz="4"/>
          <w:right w:val="single" w:color="9CC3E5" w:sz="4"/>
          <w:insideH w:val="single" w:color="9CC3E5" w:sz="4"/>
          <w:insideV w:val="single" w:color="9CC3E5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19"/>
                <w:szCs w:val="19"/>
              </w:rPr>
              <w:t xml:space="preserve">时间</w:t>
            </w:r>
          </w:p>
        </w:tc>
        <w:tc>
          <w:tcPr>
            <w:tcW w:type="dxa" w:w="52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19"/>
                <w:szCs w:val="19"/>
              </w:rPr>
              <w:t xml:space="preserve">关键动作</w:t>
            </w:r>
          </w:p>
        </w:tc>
        <w:tc>
          <w:tcPr>
            <w:tcW w:type="dxa" w:w="18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19"/>
                <w:szCs w:val="19"/>
              </w:rPr>
              <w:t xml:space="preserve">负责人</w:t>
            </w:r>
          </w:p>
        </w:tc>
        <w:tc>
          <w:tcPr>
            <w:tcW w:type="dxa" w:w="1300"/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b/>
                <w:bCs/>
                <w:color w:val="FFFFFF"/>
                <w:sz w:val="19"/>
                <w:szCs w:val="19"/>
              </w:rPr>
              <w:t xml:space="preserve">备注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第1-2周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Anson联系清华同学，确认部门/职责/决策链；内部同步海尔信息包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Anson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已完成信息梳理，待建联</w:t>
            </w:r>
          </w:p>
        </w:tc>
      </w:tr>
      <w:tr>
        <w:tc>
          <w:tcPr>
            <w:tcW w:type="dxa" w:w="15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第2-4周</w:t>
            </w:r>
          </w:p>
        </w:tc>
        <w:tc>
          <w:tcPr>
            <w:tcW w:type="dxa" w:w="52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输出《RoboX×海尔合作价值1页纸》；同学内部传递与摸底</w:t>
            </w:r>
          </w:p>
        </w:tc>
        <w:tc>
          <w:tcPr>
            <w:tcW w:type="dxa" w:w="18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Anson + 明修</w:t>
            </w:r>
          </w:p>
        </w:tc>
        <w:tc>
          <w:tcPr>
            <w:tcW w:type="dxa" w:w="13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1页纸需突出数采价值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第1-2月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正式会面（线上/线下），展示真机演示+长虹案例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明修 + Anson + 技术负责人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准备演示素材</w:t>
            </w:r>
          </w:p>
        </w:tc>
      </w:tr>
      <w:tr>
        <w:tc>
          <w:tcPr>
            <w:tcW w:type="dxa" w:w="15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第3月</w:t>
            </w:r>
          </w:p>
        </w:tc>
        <w:tc>
          <w:tcPr>
            <w:tcW w:type="dxa" w:w="52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确定1-2个POC场景，签署NDA，启动小规模试点</w:t>
            </w:r>
          </w:p>
        </w:tc>
        <w:tc>
          <w:tcPr>
            <w:tcW w:type="dxa" w:w="18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技术团队</w:t>
            </w:r>
          </w:p>
        </w:tc>
        <w:tc>
          <w:tcPr>
            <w:tcW w:type="dxa" w:w="13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优先家电装配或家庭服务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第3-6月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POC验收；联合申报青岛/山东政府数采项目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Anson + 技术团队</w:t>
            </w:r>
          </w:p>
        </w:tc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联动青岛政企资源</w:t>
            </w:r>
          </w:p>
        </w:tc>
      </w:tr>
      <w:tr>
        <w:tc>
          <w:tcPr>
            <w:tcW w:type="dxa" w:w="15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第6-12月</w:t>
            </w:r>
          </w:p>
        </w:tc>
        <w:tc>
          <w:tcPr>
            <w:tcW w:type="dxa" w:w="52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评估共建联合实验室/合资；推动海尔产业资本投资；复制模式至美的/新松</w:t>
            </w:r>
          </w:p>
        </w:tc>
        <w:tc>
          <w:tcPr>
            <w:tcW w:type="dxa" w:w="18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明修 + 董事会</w:t>
            </w:r>
          </w:p>
        </w:tc>
        <w:tc>
          <w:tcPr>
            <w:tcW w:type="dxa" w:w="1300"/>
            <w:shd w:fill="DEE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Microsoft YaHei" w:eastAsia="微软雅黑" w:hAnsi="Microsoft YaHei"/>
                <w:sz w:val="19"/>
                <w:szCs w:val="19"/>
              </w:rPr>
              <w:t xml:space="preserve">纳入融资节奏</w:t>
            </w:r>
          </w:p>
        </w:tc>
      </w:tr>
    </w:tbl>
    <w:p>
      <w:pPr>
        <w:pStyle w:val="Normal"/>
        <w:spacing w:after="60"/>
      </w:pPr>
      <w:r>
        <w:rPr>
          <w:rFonts w:ascii="Microsoft YaHei" w:eastAsia="微软雅黑" w:hAnsi="Microsoft YaHei"/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rPr>
          <w:rFonts w:ascii="Microsoft YaHei" w:eastAsia="微软雅黑" w:hAnsi="Microsoft YaHei"/>
          <w:b/>
          <w:bCs/>
          <w:color w:val="1F4E79"/>
          <w:sz w:val="30"/>
          <w:szCs w:val="30"/>
        </w:rPr>
        <w:t xml:space="preserve">附录：评分维度说明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sz w:val="21"/>
          <w:szCs w:val="21"/>
        </w:rPr>
        <w:t xml:space="preserve">五个维度各1-5分，综合评分=五维加权平均（场景匹配度25%、本体能力15%、模型缺口25%、合作窗口20%、建联渠道15%）。该模型可用于后续新增潜在合作方的快速筛选。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sz w:val="21"/>
          <w:szCs w:val="21"/>
        </w:rPr>
        <w:t xml:space="preserve">示例——海尔卡奥斯：场景5×25% + 本体4×15% + 缺口4×25% + 窗口5×20% + 渠道5×15% = 1.25+0.60+1.00+1.00+0.75 = 4.60。</w:t>
      </w:r>
    </w:p>
    <w:p>
      <w:pPr>
        <w:pStyle w:val="Normal"/>
        <w:spacing w:after="120" w:line="340"/>
      </w:pPr>
      <w:r>
        <w:rPr>
          <w:rFonts w:ascii="Microsoft YaHei" w:eastAsia="微软雅黑" w:hAnsi="Microsoft YaHei"/>
          <w:sz w:val="21"/>
          <w:szCs w:val="21"/>
        </w:rPr>
        <w:t xml:space="preserve">建议：本梯队清单按季度滚动更新，新增对象（如地方国资制造集团、头部家电/汽车集团、细分场景龙头）经五维评分后动态纳入。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微软雅黑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2026-08-12T01:59:10.422Z</dcterms:created>
  <dcterms:modified xsi:type="dcterms:W3CDTF">2026-08-12T01:59:10.424Z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