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RoboX</w:t>
      </w:r>
    </w:p>
    <w:p>
      <w:pPr>
        <w:pBdr>
          <w:bottom w:val="single" w:color="2E75B6" w:sz="3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2026 下半年度 OKR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Anson / 杜岩松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GA 政府事务  |  PR 公共关系  |  产业生态与伙伴体系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年 8 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p>
      <w:pPr>
        <w:pBdr>
          <w:bottom w:val="single" w:color="2E75B6" w:sz="6" w:space="4"/>
        </w:pBdr>
        <w:spacing w:after="100" w:before="200"/>
      </w:pP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O1  三位一体政府战略合作 — 锁定算力 + 数采基地 + 产业资金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O2  产教融合 × 产业生态 — 双轮驱动的数采与仿真基地供给体系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O3  四位一体 PR 传播体系 — 提升行业可见度与品牌认知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O4  多城博弈 × 政策智库 — 系统化 GA 操盘能力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OKR 总览与优先级建议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角色定位与战略背景</w:t>
      </w:r>
    </w:p>
    <w:p>
      <w:pPr>
        <w:pBdr>
          <w:bottom w:val="single" w:color="2E75B6" w:sz="6" w:space="4"/>
        </w:pBdr>
        <w:spacing w:after="100" w:before="20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Anson（杜岩松）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在 RoboX 负责三大核心职能：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GA（政府事务）：与地方政府形成良好的协同伙伴关系，锁定低成本优质算力资源、落地 ego 数采合作场景和仿真/真机数采基地，充分利用政府 AI 产业政策。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PR（公共关系）：建立与大学、媒体、投资人、产业上下游的良性合作关系，为业务开展和创收创造有利条件，做好公司、产品和团队的宣传。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产业生态与伙伴体系：构建从芯片算力到硬件供应链、从高校人才到产业落地的完整生态闭环。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战略优先级逻辑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2026 年下半年，RoboX 面临三重锁定的战略窗口期：算力供给保障（Rain Brain 千亿参数模型持续训练）、数据飞轮加速（ego 视角真实场景数采）、资本窗口把握（下一轮融资前的行业认知建立）。Anson 的 OKR 需围绕这三条主线展开，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优先保障算力与数采场景的落地，同步构建 PR 传播与政策智库的长期能力。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O1  三位一体政府战略合作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锁定至少 1 个地方政府形成「算力 + 数采基地 + 产业资金」三位一体战略合作，确保 2027 年千卡级训力供给</w:t>
      </w:r>
    </w:p>
    <w:p>
      <w:pPr>
        <w:pBdr>
          <w:bottom w:val="single" w:color="2E75B6" w:sz="6" w:space="4"/>
        </w:pBdr>
        <w:spacing w:after="100" w:before="200"/>
      </w:pPr>
    </w:p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优先级：P0 (最高)    建议精力分配：35%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26"/>
        <w:gridCol w:w="1350"/>
        <w:gridCol w:w="135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目标内容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KR1.1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 3 个目标城市（杭州余杭/深圳罗湖/合肥）中，完成至少 1 份正式签署的政府合作框架协议，覆盖算力补贴、数采场景授权、办公/数采基地载体三项核心条款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≥1 份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签约协议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KR1.2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锁定首年 ≥1000 卡低成本训力供应（含政府补贴后综合成本 &lt; 市场价 60%），完成至少 2 家白名单算力供应商的商务对接与报价确认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≥1000 卡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供应商报价单/服务合同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KR1.3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落地 ≥3 个 ego 视角真实数采场景（目标方向：养老康复/连锁商业门店/高端酒店），取得场景授权协议或政府协调函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≥3 个场景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场景授权文件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KR1.4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成功申报 ≥2 项省/市级 AI 产业扶持政策（如杭州一事一议、深圳算力券/训力补贴、领军人才项目等），累计获批/锁定资金额度 ≥500 万元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≥500 万元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申报受理回执/获批通知</w:t>
            </w:r>
          </w:p>
        </w:tc>
      </w:tr>
    </w:tbl>
    <w:p>
      <w:pPr>
        <w:spacing w:after="8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背景依据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罗湖会议已明确首年千卡需求，市区两级各有 50%/上限 1000 万补贴政策；当前最大瓶颈是 N 卡（H200/B30）白名单供应商匹配和区级留存限制。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杭州余杭「一事一议」、滨江「国家级具身智能中试基地」是核心谈判筹码，可用于「以深促杭」策略。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政府 AI 产业政策窗口期有限，需在 2026 H2 完成关键锁定。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O2  产教融合 × 产业生态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建成「产教融合 × 产业生态」双轮驱动的数采与仿真基地供给体系</w:t>
      </w:r>
    </w:p>
    <w:p>
      <w:pPr>
        <w:pBdr>
          <w:bottom w:val="single" w:color="2E75B6" w:sz="6" w:space="4"/>
        </w:pBdr>
        <w:spacing w:after="100" w:before="200"/>
      </w:pPr>
    </w:p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color w:val="E68A00"/>
          <w:sz w:val="22"/>
          <w:szCs w:val="22"/>
        </w:rPr>
        <w:t xml:space="preserve">优先级：P1    建议精力分配：15%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26"/>
        <w:gridCol w:w="1350"/>
        <w:gridCol w:w="135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目标内容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KR2.1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 ≥2 所高校/职校签署产教融合合作协议，建立 ≥20 人规模的技术型数采人力池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≥2 所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合作协议 + 人员名单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KR2.2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推动建设 ≥1 个真机数采/仿真基地（配置 5-10 套机器人本体），完成选址、设备采购方案和政府支持确认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≥1 个基地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选址方案 + 政府支持函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KR2.3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拓展 ≥5 家深圳硬件供应链生态伙伴（灵巧手、本体、传感器厂商），形成正式合作备忘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≥5 家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合作备忘/NDA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KR2.4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完成 ≥1 次政企产教联合体跨部门协调会议，确保公共场景开放数采权限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≥1 次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会议纪要 + 场景清单</w:t>
            </w:r>
          </w:p>
        </w:tc>
      </w:tr>
    </w:tbl>
    <w:p>
      <w:pPr>
        <w:spacing w:after="8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背景依据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罗湖会议明确润讯可作为低成本技术人员来源，燕山大学深圳研究院已迁至罗湖；产教融合是可持续人才供给的核心路径。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硬件生态锁定当前评分仅 4.6/10，需重点补齐深圳硬件供应链。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O3  四位一体 PR 传播体系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建立「大学 → 媒体 → 投资人 → 产业上下游」四位一体的 PR 传播体系，显著提升 RoboX 行业可见度与品牌认知</w:t>
      </w:r>
    </w:p>
    <w:p>
      <w:pPr>
        <w:pBdr>
          <w:bottom w:val="single" w:color="2E75B6" w:sz="6" w:space="4"/>
        </w:pBdr>
        <w:spacing w:after="100" w:before="200"/>
      </w:pPr>
    </w:p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color w:val="E68A00"/>
          <w:sz w:val="22"/>
          <w:szCs w:val="22"/>
        </w:rPr>
        <w:t xml:space="preserve">优先级：P1    建议精力分配：25%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26"/>
        <w:gridCol w:w="1350"/>
        <w:gridCol w:w="135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目标内容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KR3.1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完成 ≥4 篇高质量媒体/行业 PR 内容输出（技术专访、产品发布、行业白皮书解读），覆盖主流科技/机器人垂直媒体 ≥2 家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≥4 篇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已发布稿件链接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KR3.2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组织 ≥3 场定向投资人/产业伙伴路演或闭门交流会，触达 ≥20 家投资机构，产出 ≥5 个明确跟进意向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≥3 场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路演日程 + 对接纪要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KR3.3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 ≥3 所高校/研究院所建立联合实验室、课题合作或学术交流机制，产出 ≥1 篇联合论文/技术白皮书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≥3 所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联合课题立项/论文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KR3.4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搭建 RoboX 官方社交媒体矩阵（微信公众号 + LinkedIn），实现关注量从 0 到 ≥2000，保持周均 ≥1 篇原创更新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≥2000 关注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平台后台数据截图</w:t>
            </w:r>
          </w:p>
        </w:tc>
      </w:tr>
    </w:tbl>
    <w:p>
      <w:pPr>
        <w:spacing w:after="8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背景依据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当前 PR/传播方面资产较薄，需在行业认知上快速补课。投资人对接已在推进（中金、东方嘉富等），需进一步系统化。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社交媒体矩阵是成本最低、持续性最强的品牌建设手段，应优先启动。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O4  多城博弈 × 政策智库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构建「多城博弈 × 政策智库」GA 操盘能力，为 CEO 决策提供结构化政策洞见与谈判筹码</w:t>
      </w:r>
    </w:p>
    <w:p>
      <w:pPr>
        <w:pBdr>
          <w:bottom w:val="single" w:color="2E75B6" w:sz="6" w:space="4"/>
        </w:pBdr>
        <w:spacing w:after="100" w:before="200"/>
      </w:pPr>
    </w:p>
    <w:p>
      <w:pPr>
        <w:spacing w:after="200" w:before="120"/>
        <w:jc w:val="left"/>
      </w:pPr>
      <w:r>
        <w:rPr>
          <w:rFonts w:ascii="Arial" w:cs="Arial" w:eastAsia="Arial" w:hAnsi="Arial"/>
          <w:b/>
          <w:bCs/>
          <w:color w:val="339933"/>
          <w:sz w:val="22"/>
          <w:szCs w:val="22"/>
        </w:rPr>
        <w:t xml:space="preserve">优先级：P2    建议精力分配：10%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26"/>
        <w:gridCol w:w="1350"/>
        <w:gridCol w:w="135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目标内容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KR4.1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维护并动态更新「目标城市政策矩阵」，按月输出城市政策对比简报（覆盖算力补贴、人才政策、场地支持、产业基金等 ≥8 个维度）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月度简报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政策简报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KR4.2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 ≥10 位关键政府决策人/产业园区负责人的深度联系人网络，完成 ≥2 次政府领导赴公司实地考察或公司回访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≥10 位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记录 + 考察纪要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KR4.3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完成 ≥1 个城市从「意向沟通」推进到「正式谈判阶段」（具备明确的条款清单/Term Sheet），为 2027 Q1 签约打下基础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≥1 个城市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 Sheet 草案</w:t>
            </w:r>
          </w:p>
        </w:tc>
      </w:tr>
    </w:tbl>
    <w:p>
      <w:pPr>
        <w:spacing w:after="80" w:before="200"/>
      </w:pPr>
    </w:p>
    <w:p>
      <w:pPr>
        <w:pStyle w:val="Heading3"/>
      </w:pPr>
      <w:r>
        <w:rPr>
          <w:rFonts w:ascii="Arial" w:cs="Arial" w:eastAsia="Arial" w:hAnsi="Arial"/>
        </w:rPr>
        <w:t xml:space="preserve">背景依据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「以深促杭」策略已在实操中（罗湖会议纪要明确提及用深圳条件向滨江谈判），需系统化管理多城博弈信息。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各地政策窗口期不同（杭州一事一议、深圳算力券），需精确把握时间节点。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OKR 总览与优先级建议</w:t>
      </w:r>
    </w:p>
    <w:p>
      <w:pPr>
        <w:pBdr>
          <w:bottom w:val="single" w:color="2E75B6" w:sz="6" w:space="4"/>
        </w:pBdr>
        <w:spacing w:after="1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1526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对齐三重锁定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精力分配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锁定低成本算力 + 数采场景 + 产业资金三位一体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场景/政府绑定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 (最高)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夯实数采人才池 + 硬件生态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数据锁定 / 硬件生态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提升行业能见度与投资吸引力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间接支撑融资与商业闭环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系统化 GA 决策能力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场景/政府绑定 (持续强化)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9933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系统化 GA 决策能力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场景/政府绑定 (持续强化)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9933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 w:before="300"/>
      </w:pPr>
    </w:p>
    <w:p>
      <w:pPr>
        <w:shd w:fill="F0F7FF" w:val="clear"/>
        <w:spacing w:after="80" w:before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核心建议：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O1 和 O3 是 H2 最紧迫的两个目标——O1 直接决定公司 2027 年算力供给能否保障 Rain Brain 千亿参数模型的持续训练迭代，O3 决定公司在下轮融资前的行业认知能否建立。建议 Anson 将 60% 精力投入 O1/O3（算力+传播），剩余 40% 投入 O2/O4（生态+智库）。</w:t>
      </w:r>
    </w:p>
    <w:p>
      <w:pPr>
        <w:spacing w:after="200" w:before="200"/>
      </w:pPr>
    </w:p>
    <w:p>
      <w:pPr>
        <w:pBdr>
          <w:top w:val="single" w:color="CCCCCC" w:sz="1" w:space="8"/>
        </w:pBdr>
        <w:spacing w:after="100" w:before="6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RoboX  ·  2026 H2  ·  Anson / 杜岩松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2026-08-10T02:28:16.388Z</dcterms:created>
  <dcterms:modified xsi:type="dcterms:W3CDTF">2026-08-10T02:28:16.390Z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