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13346" w14:textId="5F749DB4" w:rsidR="00BE4D8D" w:rsidRDefault="00BE4D8D" w:rsidP="00BE4D8D">
      <w:pPr>
        <w:ind w:firstLineChars="200" w:firstLine="355"/>
        <w:rPr>
          <w:rFonts w:ascii="阿里巴巴普惠体 Light" w:eastAsia="阿里巴巴普惠体 Light" w:hAnsi="阿里巴巴普惠体 Light" w:cs="阿里巴巴普惠体 Light" w:hint="eastAsia"/>
          <w:b/>
          <w:bCs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bCs/>
          <w:sz w:val="18"/>
          <w:szCs w:val="18"/>
        </w:rPr>
        <w:t>《全球化与竞争战略选择》作业</w:t>
      </w:r>
    </w:p>
    <w:p w14:paraId="5F9FC533" w14:textId="77777777" w:rsidR="00377EE5" w:rsidRDefault="00377EE5" w:rsidP="008B4305">
      <w:pPr>
        <w:ind w:firstLineChars="200" w:firstLine="552"/>
        <w:jc w:val="center"/>
        <w:rPr>
          <w:rFonts w:ascii="阿里巴巴普惠体 Light" w:eastAsia="阿里巴巴普惠体 Light" w:hAnsi="阿里巴巴普惠体 Light" w:cs="阿里巴巴普惠体 Light"/>
          <w:b/>
          <w:bCs/>
          <w:sz w:val="28"/>
          <w:szCs w:val="28"/>
        </w:rPr>
      </w:pPr>
    </w:p>
    <w:p w14:paraId="6FF6CED4" w14:textId="6477B676" w:rsidR="008B4305" w:rsidRPr="00BE4D8D" w:rsidRDefault="008B4305" w:rsidP="008B4305">
      <w:pPr>
        <w:ind w:firstLineChars="200" w:firstLine="552"/>
        <w:jc w:val="center"/>
        <w:rPr>
          <w:rFonts w:ascii="阿里巴巴普惠体 Light" w:eastAsia="阿里巴巴普惠体 Light" w:hAnsi="阿里巴巴普惠体 Light" w:cs="阿里巴巴普惠体 Light"/>
          <w:b/>
          <w:bCs/>
          <w:sz w:val="28"/>
          <w:szCs w:val="28"/>
        </w:rPr>
      </w:pPr>
      <w:r w:rsidRPr="00BE4D8D">
        <w:rPr>
          <w:rFonts w:ascii="阿里巴巴普惠体 Light" w:eastAsia="阿里巴巴普惠体 Light" w:hAnsi="阿里巴巴普惠体 Light" w:cs="阿里巴巴普惠体 Light"/>
          <w:b/>
          <w:bCs/>
          <w:sz w:val="28"/>
          <w:szCs w:val="28"/>
        </w:rPr>
        <w:t>阿里巴巴成功的战略实施</w:t>
      </w:r>
    </w:p>
    <w:p w14:paraId="7FAD7902" w14:textId="261ECD4B" w:rsidR="008B4305" w:rsidRDefault="00BE4D8D" w:rsidP="008B4305">
      <w:pPr>
        <w:ind w:firstLineChars="200" w:firstLine="355"/>
        <w:jc w:val="center"/>
        <w:rPr>
          <w:rFonts w:ascii="阿里巴巴普惠体 Light" w:eastAsia="阿里巴巴普惠体 Light" w:hAnsi="阿里巴巴普惠体 Light" w:cs="阿里巴巴普惠体 Light"/>
          <w:b/>
          <w:bCs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/>
          <w:b/>
          <w:bCs/>
          <w:sz w:val="18"/>
          <w:szCs w:val="18"/>
        </w:rPr>
        <w:t>清华</w:t>
      </w:r>
      <w:r>
        <w:rPr>
          <w:rFonts w:ascii="阿里巴巴普惠体 Light" w:eastAsia="阿里巴巴普惠体 Light" w:hAnsi="阿里巴巴普惠体 Light" w:cs="阿里巴巴普惠体 Light" w:hint="eastAsia"/>
          <w:b/>
          <w:bCs/>
          <w:sz w:val="18"/>
          <w:szCs w:val="18"/>
        </w:rPr>
        <w:t>大学经济管理学院2</w:t>
      </w:r>
      <w:r>
        <w:rPr>
          <w:rFonts w:ascii="阿里巴巴普惠体 Light" w:eastAsia="阿里巴巴普惠体 Light" w:hAnsi="阿里巴巴普惠体 Light" w:cs="阿里巴巴普惠体 Light"/>
          <w:b/>
          <w:bCs/>
          <w:sz w:val="18"/>
          <w:szCs w:val="18"/>
        </w:rPr>
        <w:t>1B 杜岩松</w:t>
      </w:r>
    </w:p>
    <w:p w14:paraId="06B68CCB" w14:textId="7285F996" w:rsidR="00BE4D8D" w:rsidRDefault="00BE4D8D" w:rsidP="008B4305">
      <w:pPr>
        <w:ind w:firstLineChars="200" w:firstLine="355"/>
        <w:jc w:val="center"/>
        <w:rPr>
          <w:rFonts w:ascii="阿里巴巴普惠体 Light" w:eastAsia="阿里巴巴普惠体 Light" w:hAnsi="阿里巴巴普惠体 Light" w:cs="阿里巴巴普惠体 Light" w:hint="eastAsia"/>
          <w:b/>
          <w:bCs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bCs/>
          <w:sz w:val="18"/>
          <w:szCs w:val="18"/>
        </w:rPr>
        <w:t>2</w:t>
      </w:r>
      <w:r>
        <w:rPr>
          <w:rFonts w:ascii="阿里巴巴普惠体 Light" w:eastAsia="阿里巴巴普惠体 Light" w:hAnsi="阿里巴巴普惠体 Light" w:cs="阿里巴巴普惠体 Light"/>
          <w:b/>
          <w:bCs/>
          <w:sz w:val="18"/>
          <w:szCs w:val="18"/>
        </w:rPr>
        <w:t>021211849</w:t>
      </w:r>
    </w:p>
    <w:p w14:paraId="11EF8CF8" w14:textId="77777777" w:rsidR="00BE4D8D" w:rsidRPr="008B4305" w:rsidRDefault="00BE4D8D" w:rsidP="008B4305">
      <w:pPr>
        <w:ind w:firstLineChars="200" w:firstLine="355"/>
        <w:jc w:val="center"/>
        <w:rPr>
          <w:rFonts w:ascii="阿里巴巴普惠体 Light" w:eastAsia="阿里巴巴普惠体 Light" w:hAnsi="阿里巴巴普惠体 Light" w:cs="阿里巴巴普惠体 Light" w:hint="eastAsia"/>
          <w:b/>
          <w:bCs/>
          <w:sz w:val="18"/>
          <w:szCs w:val="18"/>
        </w:rPr>
      </w:pPr>
    </w:p>
    <w:p w14:paraId="724A95DD" w14:textId="761825D0" w:rsidR="00BE4D8D" w:rsidRDefault="00EC699D" w:rsidP="003F6B15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阿里巴巴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成立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2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4年以来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一直保持高速的增长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并在互联网业务平台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、云计算等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科技业务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全球化的商业网络等市场领域获得了市场领先地位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57266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例如</w:t>
      </w:r>
      <w:r w:rsidR="0057266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57266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淘宝天猫坚持</w:t>
      </w:r>
      <w:r w:rsidR="0057266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“用户为先”的战略，坚持消费分级和更有竞争力的价格策略；阿里云坚持A</w:t>
      </w:r>
      <w:r w:rsidR="0057266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</w:t>
      </w:r>
      <w:r w:rsidR="0057266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+</w:t>
      </w:r>
      <w:r w:rsidR="0057266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云计算双轮驱动发展</w:t>
      </w:r>
      <w:r w:rsidR="0057266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本文尝试以淘天集团和阿里云业务为例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BE4D8D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阐述阿里巴巴战略成功的原因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00E0C6DD" w14:textId="4DA0380E" w:rsidR="00EC699D" w:rsidRPr="008B4305" w:rsidRDefault="00EC699D" w:rsidP="003F6B15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淘宝天猫一直以来坚持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“用户为先、生态繁荣、科技驱动”的业务发展战略</w:t>
      </w:r>
      <w:r w:rsidR="00873E37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。早在淘宝创立初期，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尽管面临着激烈的市场竞争，</w:t>
      </w:r>
      <w:r w:rsidR="00BE4D8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淘宝坚持开放的平台生态。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淘天集团</w:t>
      </w:r>
      <w:r w:rsidR="00D946BE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至今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收入仍然保持文件的增长，D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AU增速也</w:t>
      </w:r>
      <w:r w:rsidR="00D946BE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一直在</w:t>
      </w:r>
      <w:r w:rsidR="0057266D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稳步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提升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用户为先的战略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377EE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成功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体现在了三个方面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：</w:t>
      </w:r>
    </w:p>
    <w:p w14:paraId="295E150A" w14:textId="6A6A7988" w:rsidR="00EC699D" w:rsidRPr="008B4305" w:rsidRDefault="008B4305" w:rsidP="008B4305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第一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打造</w:t>
      </w:r>
      <w:r w:rsidR="00EC699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万能的淘宝</w:t>
      </w:r>
      <w:r w:rsidR="00EC699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EC699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通过为用户提供海量的丰富商品和服务</w:t>
      </w:r>
      <w:r w:rsidR="00EC699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的供给。淘天一直坚持做综合性平台，满足最大消费者群体的多层次消费需求，并提高消费者的购买频次。这是淘宝天猫在现有竞争格局下依然保持增长的原因。</w:t>
      </w:r>
    </w:p>
    <w:p w14:paraId="4B7B6985" w14:textId="5F0D94BF" w:rsidR="00EC699D" w:rsidRPr="008B4305" w:rsidRDefault="008B4305" w:rsidP="008B4305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第二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EC699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将消费分级并实现价格力</w:t>
      </w:r>
      <w:r w:rsidR="00EC699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EC699D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中国消费市场是一个多层次价值主张的消费市场</w:t>
      </w:r>
      <w:r w:rsidR="00EC699D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，拥有多元化的消费群体和中国全品类制造工业体系的优势，使得任何一个商品品类，都有足够丰富的不同价值主张的商品，能够满足不同消费者的需求。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因此，淘宝坚持执行多层次的市场策略，把淘宝A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PP了一个覆盖主流的三种销售模式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：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直播内容驱动模式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品牌营销模式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日销低价模式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淘宝将通过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I技术和运营模式的迭代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让淘宝真正成为这样一个包容的多元化市场的超级消费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PP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0C99650B" w14:textId="4F1A7F63" w:rsidR="00FA6B6C" w:rsidRPr="008B4305" w:rsidRDefault="008B4305" w:rsidP="008B4305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第三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淘天集团没有将自己定位为一个零售公司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而是一个互联网消费平台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从这个定位出发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在策略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lastRenderedPageBreak/>
        <w:t>上就会坚持以用户为先的视角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不断提高平台的粘性和客户留存度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另外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淘天将用户购买频次作为优先于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G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MV的平台经营最关键目标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17234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因为购买频次最直接反映了用户对消费平台的认可度</w:t>
      </w:r>
      <w:r w:rsidR="0017234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FA6B6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并且</w:t>
      </w:r>
      <w:r w:rsidR="00FA6B6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FA6B6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淘宝培养了多样化的变现产品</w:t>
      </w:r>
      <w:r w:rsidR="00FA6B6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FA6B6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使得用户为先的战略得以支持</w:t>
      </w:r>
      <w:r w:rsidR="00FA6B6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32161E15" w14:textId="4AB1E40B" w:rsidR="00FA6B6C" w:rsidRPr="008B4305" w:rsidRDefault="00FA6B6C" w:rsidP="00FA6B6C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过去的若干年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阿里巴巴</w:t>
      </w:r>
      <w:r w:rsidR="00377EE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一直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在阿里云战略方向上保持长期而坚决的投入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。未来</w:t>
      </w:r>
      <w:r w:rsidR="008B4305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 xml:space="preserve"> 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I热潮带来的算力和大模型服务的需求将会保持持续增长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。而云计算是整个数字经济的基础设施。云计算是一个计算资源本身具备网络效应的商业模式，也是一个具有规模效应的服务模式。各行各业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AI转型和创新的需求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将使得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I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T的投入将会呈现指数</w:t>
      </w:r>
      <w:r w:rsidR="008F77A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级扩大</w:t>
      </w:r>
      <w:r w:rsidR="008F77A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8F77A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从而创造出巨大的时代增量机会</w:t>
      </w:r>
      <w:r w:rsidR="008F77A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8F77A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阿里也一直加大对</w:t>
      </w:r>
      <w:r w:rsidR="008F77A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="008F77AC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I等相关软件和硬件的技术投资</w:t>
      </w:r>
      <w:r w:rsidR="008F77AC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14CF999C" w14:textId="60BB18B7" w:rsidR="008F77AC" w:rsidRPr="008B4305" w:rsidRDefault="008F77AC" w:rsidP="00FA6B6C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I使得计算的范式正在发生根本性的变化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，我们处于一个从传统计算迈向A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I计算作为中心地位的技术拐点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I的需求也将会持续带动对云计算的需求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绝大部分的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 计算也主要会在云上运行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04B01B19" w14:textId="01097D9E" w:rsidR="008F77AC" w:rsidRPr="008B4305" w:rsidRDefault="008F77AC" w:rsidP="00FA6B6C">
      <w:pPr>
        <w:ind w:firstLineChars="200" w:firstLine="354"/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</w:pP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阿里一直坚持做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I时代最开放的云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为全行业提供稳定高校的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I基础设施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,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支持各行各业的智能化转型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。另外就是创建开放繁荣的A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I生态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阿里云在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2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023年全面升级了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A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I基础设施平台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P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AI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和千亿级参数规模的大模型通义千问八大行业模型、一站式模型应用开发平台百炼，由此搭建了A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I时代全栈的云计算体系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以承接未来的算力需求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正因为如此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阿里云实现了较高的续约率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体现了可复制的云计算资源和应用服务产品等方面的优势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接下来减少项目制的销售订单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加大公共云和新产品的投入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652A53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在未来持续收获规模效应和技术红利</w:t>
      </w:r>
      <w:r w:rsidR="00652A53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75486310" w14:textId="7E265DE0" w:rsidR="003F6B15" w:rsidRDefault="003F6B15" w:rsidP="003F6B15">
      <w:pPr>
        <w:ind w:firstLineChars="200" w:firstLine="354"/>
        <w:rPr>
          <w:rFonts w:ascii="阿里巴巴普惠体 Light" w:eastAsia="阿里巴巴普惠体 Light" w:hAnsi="阿里巴巴普惠体 Light" w:cs="阿里巴巴普惠体 Light"/>
          <w:sz w:val="18"/>
          <w:szCs w:val="18"/>
        </w:rPr>
      </w:pP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未来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，科技驱动力将是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推动行业发展的动力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阿里巴巴</w:t>
      </w:r>
      <w:r w:rsidR="00873E37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一直坚持持续投入</w:t>
      </w:r>
      <w:r w:rsidR="00873E37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</w:t>
      </w:r>
      <w:r w:rsidR="00873E37"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孵化面向未来的战略级创新业务</w:t>
      </w:r>
      <w:r w:rsidR="00873E37"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，持续创造孵化创新业务和科技产品，满足客户对产品和服务的新期待和新需求。这其中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有三个最重要的战略方向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：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第一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技术驱动的互联网平台业务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、A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I驱动的科技业务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以及全球化的商业网络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阿里巴巴需要做的是保持创业心态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抓住科技变革带来的全新机会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Pr="008B4305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创造更多客户价值</w:t>
      </w:r>
      <w:r w:rsidRPr="008B4305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p w14:paraId="20EC672B" w14:textId="656A1D9D" w:rsidR="000D3593" w:rsidRPr="008B4305" w:rsidRDefault="000D3593" w:rsidP="003F6B15">
      <w:pPr>
        <w:ind w:firstLineChars="200" w:firstLine="354"/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阿里巴巴的战略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不能简单的定义为是成本领先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、</w:t>
      </w: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差异化还是聚焦战略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在电子商务市场领域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阿里通过价格力战略</w:t>
      </w:r>
      <w:r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和变现产品实现了成本领先，通过强化A</w:t>
      </w:r>
      <w:r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I基础设施能力和公共云</w:t>
      </w:r>
      <w:r w:rsidR="00395708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服务能力</w:t>
      </w:r>
      <w:r w:rsidR="00395708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395708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实现了区别于其他</w:t>
      </w:r>
      <w:r w:rsidR="00395708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lastRenderedPageBreak/>
        <w:t>云服务竞争对手的差异化</w:t>
      </w:r>
      <w:r w:rsidR="00395708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</w:t>
      </w:r>
      <w:r w:rsidR="00395708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而在互联网平台服务和云计算服务方面的长期深耕</w:t>
      </w:r>
      <w:r w:rsidR="00395708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，保持持续的优先级</w:t>
      </w:r>
      <w:r w:rsidR="00395708">
        <w:rPr>
          <w:rFonts w:ascii="阿里巴巴普惠体 Light" w:eastAsia="阿里巴巴普惠体 Light" w:hAnsi="阿里巴巴普惠体 Light" w:cs="阿里巴巴普惠体 Light"/>
          <w:sz w:val="18"/>
          <w:szCs w:val="18"/>
        </w:rPr>
        <w:t>也是聚焦战略的一个体现</w:t>
      </w:r>
      <w:r w:rsidR="00395708">
        <w:rPr>
          <w:rFonts w:ascii="阿里巴巴普惠体 Light" w:eastAsia="阿里巴巴普惠体 Light" w:hAnsi="阿里巴巴普惠体 Light" w:cs="阿里巴巴普惠体 Light" w:hint="eastAsia"/>
          <w:sz w:val="18"/>
          <w:szCs w:val="18"/>
        </w:rPr>
        <w:t>。</w:t>
      </w:r>
    </w:p>
    <w:sectPr w:rsidR="000D3593" w:rsidRPr="008B4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82EA2" w14:textId="77777777" w:rsidR="00F251D2" w:rsidRDefault="00F251D2" w:rsidP="003F6B15">
      <w:r>
        <w:separator/>
      </w:r>
    </w:p>
  </w:endnote>
  <w:endnote w:type="continuationSeparator" w:id="0">
    <w:p w14:paraId="21EAB35A" w14:textId="77777777" w:rsidR="00F251D2" w:rsidRDefault="00F251D2" w:rsidP="003F6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阿里巴巴普惠体 Light"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4FF6F" w14:textId="77777777" w:rsidR="00F251D2" w:rsidRDefault="00F251D2" w:rsidP="003F6B15">
      <w:r>
        <w:separator/>
      </w:r>
    </w:p>
  </w:footnote>
  <w:footnote w:type="continuationSeparator" w:id="0">
    <w:p w14:paraId="33986E5C" w14:textId="77777777" w:rsidR="00F251D2" w:rsidRDefault="00F251D2" w:rsidP="003F6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38FB"/>
    <w:multiLevelType w:val="hybridMultilevel"/>
    <w:tmpl w:val="DE0E41E2"/>
    <w:lvl w:ilvl="0" w:tplc="FF8644E2">
      <w:start w:val="1"/>
      <w:numFmt w:val="japaneseCounting"/>
      <w:lvlText w:val="第%1，"/>
      <w:lvlJc w:val="left"/>
      <w:pPr>
        <w:ind w:left="113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E8"/>
    <w:rsid w:val="000D3593"/>
    <w:rsid w:val="0017234C"/>
    <w:rsid w:val="00212678"/>
    <w:rsid w:val="00377EE5"/>
    <w:rsid w:val="00395708"/>
    <w:rsid w:val="003F6B15"/>
    <w:rsid w:val="0057266D"/>
    <w:rsid w:val="00652A53"/>
    <w:rsid w:val="008133E8"/>
    <w:rsid w:val="0087337A"/>
    <w:rsid w:val="00873E37"/>
    <w:rsid w:val="008B4305"/>
    <w:rsid w:val="008F77AC"/>
    <w:rsid w:val="00BE4D8D"/>
    <w:rsid w:val="00CE47CA"/>
    <w:rsid w:val="00D946BE"/>
    <w:rsid w:val="00EC699D"/>
    <w:rsid w:val="00F251D2"/>
    <w:rsid w:val="00FA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DF57C"/>
  <w15:chartTrackingRefBased/>
  <w15:docId w15:val="{99AD683F-1D05-422F-A5AA-A9948434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6B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6B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6B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6B15"/>
    <w:rPr>
      <w:sz w:val="18"/>
      <w:szCs w:val="18"/>
    </w:rPr>
  </w:style>
  <w:style w:type="paragraph" w:styleId="a7">
    <w:name w:val="List Paragraph"/>
    <w:basedOn w:val="a"/>
    <w:uiPriority w:val="34"/>
    <w:qFormat/>
    <w:rsid w:val="00EC69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4</cp:revision>
  <dcterms:created xsi:type="dcterms:W3CDTF">2023-11-17T12:10:00Z</dcterms:created>
  <dcterms:modified xsi:type="dcterms:W3CDTF">2023-11-18T02:19:00Z</dcterms:modified>
</cp:coreProperties>
</file>