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6DF0E">
      <w:pPr>
        <w:keepNext w:val="0"/>
        <w:keepLines w:val="0"/>
        <w:widowControl/>
        <w:suppressLineNumbers w:val="0"/>
        <w:spacing w:line="360" w:lineRule="auto"/>
        <w:jc w:val="center"/>
        <w:rPr>
          <w:rFonts w:hint="eastAsia" w:ascii="黑体" w:hAnsi="黑体" w:eastAsia="黑体" w:cs="黑体"/>
          <w:b/>
          <w:bCs/>
          <w:color w:val="333333"/>
          <w:kern w:val="0"/>
          <w:sz w:val="24"/>
          <w:szCs w:val="24"/>
          <w:lang w:val="en-US" w:eastAsia="zh-CN" w:bidi="ar"/>
        </w:rPr>
      </w:pPr>
      <w:r>
        <w:rPr>
          <w:rFonts w:hint="eastAsia" w:ascii="黑体" w:hAnsi="黑体" w:eastAsia="黑体" w:cs="黑体"/>
          <w:b/>
          <w:bCs/>
          <w:color w:val="333333"/>
          <w:kern w:val="0"/>
          <w:sz w:val="24"/>
          <w:szCs w:val="24"/>
          <w:lang w:val="en-US" w:eastAsia="zh-CN" w:bidi="ar"/>
        </w:rPr>
        <w:t>基金法律法规、职业道德与业务规范（二）</w:t>
      </w:r>
    </w:p>
    <w:p w14:paraId="7218F22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333333"/>
          <w:kern w:val="0"/>
          <w:sz w:val="24"/>
          <w:szCs w:val="24"/>
          <w:lang w:val="en-US" w:eastAsia="zh-CN" w:bidi="ar"/>
        </w:rPr>
        <w:t>题目类型：单选题</w:t>
      </w:r>
    </w:p>
    <w:p w14:paraId="52C8AE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1、根据《证券投资基金法》规定，基金管理人、基金托管人在管理、运用基金财产，从事证券投资基金活动，应当遵循（）的原则，不得损害国家利益和社会公共利益。</w:t>
      </w:r>
    </w:p>
    <w:p w14:paraId="163E02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合法、合理、合规</w:t>
      </w:r>
    </w:p>
    <w:p w14:paraId="555704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自愿、公正、平等.</w:t>
      </w:r>
    </w:p>
    <w:p w14:paraId="539BDB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公平、公正、公开</w:t>
      </w:r>
      <w:bookmarkStart w:id="0" w:name="_GoBack"/>
      <w:bookmarkEnd w:id="0"/>
    </w:p>
    <w:p w14:paraId="58CA667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自愿、公平、诚实信用</w:t>
      </w:r>
    </w:p>
    <w:p w14:paraId="245209A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2、下列属于基金客户售中服务的是（）。</w:t>
      </w:r>
    </w:p>
    <w:p w14:paraId="05B01DC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定期进行投资者回访</w:t>
      </w:r>
    </w:p>
    <w:p w14:paraId="1069C3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提醒客户及时核对交易确认</w:t>
      </w:r>
    </w:p>
    <w:p w14:paraId="70DB2F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介绍基金管理人投资运作情况，让客户充分了解基金投资的特点</w:t>
      </w:r>
    </w:p>
    <w:p w14:paraId="39DD0F3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推介符合适用性原则的基金</w:t>
      </w:r>
    </w:p>
    <w:p w14:paraId="43EC92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3、下列不属于提高基金职业道德修养方法的是（）。</w:t>
      </w:r>
    </w:p>
    <w:p w14:paraId="6CBF44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正确树立基金职业道德观念</w:t>
      </w:r>
    </w:p>
    <w:p w14:paraId="1F5A098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深刻领会基金职业道德规范</w:t>
      </w:r>
    </w:p>
    <w:p w14:paraId="76CE78E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树立正确的人生观、价值观</w:t>
      </w:r>
    </w:p>
    <w:p w14:paraId="31CD4E0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积极参加基金职业道德实践</w:t>
      </w:r>
    </w:p>
    <w:p w14:paraId="1F9915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4、基金监管机构可以依法行使的监管权包括（）。</w:t>
      </w:r>
    </w:p>
    <w:p w14:paraId="4CD854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Ⅰ．检查权</w:t>
      </w:r>
    </w:p>
    <w:p w14:paraId="2EA9B6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Ⅱ．行政处罚权</w:t>
      </w:r>
    </w:p>
    <w:p w14:paraId="5188F3A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Ⅲ．审批权</w:t>
      </w:r>
    </w:p>
    <w:p w14:paraId="0D0974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Ⅳ．禁止出入境</w:t>
      </w:r>
    </w:p>
    <w:p w14:paraId="5D9D56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w:t>
      </w:r>
    </w:p>
    <w:p w14:paraId="6EDF129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Ⅰ、Ⅱ、Ⅲ、Ⅳ</w:t>
      </w:r>
    </w:p>
    <w:p w14:paraId="61C26F6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Ⅰ、Ⅱ、Ⅲ</w:t>
      </w:r>
    </w:p>
    <w:p w14:paraId="0F7FA44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Ⅱ、Ⅲ、Ⅳ</w:t>
      </w:r>
    </w:p>
    <w:p w14:paraId="5C7AB78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5、基金管理人、基金托管人在从事证券投资基金活动时应当遵循的原则不包括（）。</w:t>
      </w:r>
    </w:p>
    <w:p w14:paraId="45A7D11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自愿</w:t>
      </w:r>
    </w:p>
    <w:p w14:paraId="3424947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公平</w:t>
      </w:r>
    </w:p>
    <w:p w14:paraId="135EA91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公开</w:t>
      </w:r>
    </w:p>
    <w:p w14:paraId="681650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诚实信用</w:t>
      </w:r>
    </w:p>
    <w:p w14:paraId="73ABB4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6、中国证监会的职责不包括（）。</w:t>
      </w:r>
    </w:p>
    <w:p w14:paraId="5AD8D84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办理基金备案</w:t>
      </w:r>
    </w:p>
    <w:p w14:paraId="66C7D1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制定有关证券投资基金活动监管的规章、规则</w:t>
      </w:r>
    </w:p>
    <w:p w14:paraId="1364181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草拟或制定证券投资基金行业的监管规则</w:t>
      </w:r>
    </w:p>
    <w:p w14:paraId="3B2F276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指导和监督基金业协会的活动</w:t>
      </w:r>
    </w:p>
    <w:p w14:paraId="0BC45C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7、基金管理人应在申购和赎回开放日前（）个工作日在至少一种中国证监会指定的媒体上刊登公告。</w:t>
      </w:r>
    </w:p>
    <w:p w14:paraId="0FC26B8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1</w:t>
      </w:r>
    </w:p>
    <w:p w14:paraId="5B62A04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3</w:t>
      </w:r>
    </w:p>
    <w:p w14:paraId="1932C8C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5</w:t>
      </w:r>
    </w:p>
    <w:p w14:paraId="030B8C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10</w:t>
      </w:r>
    </w:p>
    <w:p w14:paraId="3E924B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8、世界上（）被看作是最早的基金。</w:t>
      </w:r>
    </w:p>
    <w:p w14:paraId="76B444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1822年由荷兰国王威廉姆一世所创立的私人信托投资基金</w:t>
      </w:r>
    </w:p>
    <w:p w14:paraId="756095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1744年由荷兰商人倍特威土创办的信托基金</w:t>
      </w:r>
    </w:p>
    <w:p w14:paraId="4FA752E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1868年英国成立的海外及殖民地政府信托基金</w:t>
      </w:r>
    </w:p>
    <w:p w14:paraId="416AAED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1924年诞生于美国的“马萨诸塞投资信托基金”</w:t>
      </w:r>
    </w:p>
    <w:p w14:paraId="003832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9、QDII基金定期报告中的特殊披露要求有（）。</w:t>
      </w:r>
    </w:p>
    <w:p w14:paraId="4F95EB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Ⅰ.境外投资顾问和境外资产托管人信息</w:t>
      </w:r>
    </w:p>
    <w:p w14:paraId="2DEA73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Ⅱ.境外证券投资信息</w:t>
      </w:r>
    </w:p>
    <w:p w14:paraId="1A1AAC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Ⅲ.外币交易及外币折算相关的信息</w:t>
      </w:r>
    </w:p>
    <w:p w14:paraId="252DA86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Ⅳ.投资顾问主要负责人变动信息</w:t>
      </w:r>
    </w:p>
    <w:p w14:paraId="1A02CBB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Ⅰ、Ⅲ、Ⅳ</w:t>
      </w:r>
    </w:p>
    <w:p w14:paraId="1FE2F6A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w:t>
      </w:r>
    </w:p>
    <w:p w14:paraId="778233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Ⅱ、Ⅲ、Ⅳ</w:t>
      </w:r>
    </w:p>
    <w:p w14:paraId="4ABA40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Ⅲ、Ⅳ</w:t>
      </w:r>
    </w:p>
    <w:p w14:paraId="5D879A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10、督察长应当（）向全体董事报送工作报告。</w:t>
      </w:r>
    </w:p>
    <w:p w14:paraId="7A44144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每个月</w:t>
      </w:r>
    </w:p>
    <w:p w14:paraId="45EE70C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每个季度</w:t>
      </w:r>
    </w:p>
    <w:p w14:paraId="2E08CF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不定期</w:t>
      </w:r>
    </w:p>
    <w:p w14:paraId="1FADC9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定期或不定期</w:t>
      </w:r>
    </w:p>
    <w:p w14:paraId="2F51F28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11、汇集多位投资者资金间接或直接投资于股权基金，需要穿透调查最终投资者是否符合合格投资者条件的是（）。</w:t>
      </w:r>
    </w:p>
    <w:p w14:paraId="70816FD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慈善基金</w:t>
      </w:r>
    </w:p>
    <w:p w14:paraId="5595D85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企业年金</w:t>
      </w:r>
    </w:p>
    <w:p w14:paraId="4CCC8CB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在中国证券投资基金业协会备案的投资计划</w:t>
      </w:r>
    </w:p>
    <w:p w14:paraId="3572E3A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合伙企业</w:t>
      </w:r>
    </w:p>
    <w:p w14:paraId="3EC437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12、自（）首例“证券投资基金业从业人员利用未公开信息交易行为”被发现以来，加强基金管理人内部控制的要求不断加强。</w:t>
      </w:r>
    </w:p>
    <w:p w14:paraId="32D1867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2005年</w:t>
      </w:r>
    </w:p>
    <w:p w14:paraId="341A262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2006年</w:t>
      </w:r>
    </w:p>
    <w:p w14:paraId="5FF473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2007年</w:t>
      </w:r>
    </w:p>
    <w:p w14:paraId="596FD07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2008年</w:t>
      </w:r>
    </w:p>
    <w:p w14:paraId="663736D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13、基金销售机构应建立严格的基金份额持有人信息管理制度和保密制度，严格保密，防范投资人资料被不当运用，这体现了客户服务的（）原则。</w:t>
      </w:r>
    </w:p>
    <w:p w14:paraId="16E4386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客户至上</w:t>
      </w:r>
    </w:p>
    <w:p w14:paraId="38F21FA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有效沟通</w:t>
      </w:r>
    </w:p>
    <w:p w14:paraId="55E0BC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安全第一</w:t>
      </w:r>
    </w:p>
    <w:p w14:paraId="3B6706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专业规范</w:t>
      </w:r>
    </w:p>
    <w:p w14:paraId="1F76AD5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14、（）是基金公司在风险管理中应当遵循的基本原则。</w:t>
      </w:r>
    </w:p>
    <w:p w14:paraId="60ED304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审慎性原则</w:t>
      </w:r>
    </w:p>
    <w:p w14:paraId="48B8FAE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对偶性原则</w:t>
      </w:r>
    </w:p>
    <w:p w14:paraId="3C34BF6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专业性原则</w:t>
      </w:r>
    </w:p>
    <w:p w14:paraId="58C7A1F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最高性原则</w:t>
      </w:r>
    </w:p>
    <w:p w14:paraId="48D19C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15、当QDII基金变更境外托管人、变更投资顾问、投资顾问主要负责人变动、涉及境外诉讼等重大事件时，应在事件发生后及时披露临时公告，并在更新</w:t>
      </w:r>
    </w:p>
    <w:p w14:paraId="7994A0E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的（）中予以说明。</w:t>
      </w:r>
    </w:p>
    <w:p w14:paraId="4510E70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定期报告</w:t>
      </w:r>
    </w:p>
    <w:p w14:paraId="3359AB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基金合同</w:t>
      </w:r>
    </w:p>
    <w:p w14:paraId="428043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托管协议</w:t>
      </w:r>
    </w:p>
    <w:p w14:paraId="3D1166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招募说明书</w:t>
      </w:r>
    </w:p>
    <w:p w14:paraId="2545130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16、A公司进行基金销售时，推出名为“胜百八”的年终客户大回馈活动，该活动宣传资料中指出：“凡参加活动并将活动信息分享给好友，即可获得相应数量货币基金份额，投资者参加活动的投资收益率最高档可达到8.8％。”对此案例的评析，下列说法错误的是（）。</w:t>
      </w:r>
    </w:p>
    <w:p w14:paraId="6154D9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8％年化收益为宣传资料中的不当用语</w:t>
      </w:r>
    </w:p>
    <w:p w14:paraId="62944B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根据《证券投资基金销售管理办法》相关规定，该公司需改正其宣传资料</w:t>
      </w:r>
    </w:p>
    <w:p w14:paraId="2A1E512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基金宣传推介材料不得违规承诺收益或承担损失</w:t>
      </w:r>
    </w:p>
    <w:p w14:paraId="17521F2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A公司违反了宣传推介材料关于过往业绩刊登的规范</w:t>
      </w:r>
    </w:p>
    <w:p w14:paraId="665F88A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17、基金管理人的合规审核程序不包括（）。</w:t>
      </w:r>
    </w:p>
    <w:p w14:paraId="3FFDD9F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制定合规审核机制</w:t>
      </w:r>
    </w:p>
    <w:p w14:paraId="2F22FA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合规审核调查</w:t>
      </w:r>
    </w:p>
    <w:p w14:paraId="3E578CF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合规审核评价</w:t>
      </w:r>
    </w:p>
    <w:p w14:paraId="3C717FF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合规审核奖惩</w:t>
      </w:r>
    </w:p>
    <w:p w14:paraId="5A50132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18、基金的运作活动从基金管理人的角度看，可以分为（）等部分。</w:t>
      </w:r>
    </w:p>
    <w:p w14:paraId="175E556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Ⅰ．基金的市场营销</w:t>
      </w:r>
    </w:p>
    <w:p w14:paraId="35094B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Ⅱ．基金的投资管理</w:t>
      </w:r>
    </w:p>
    <w:p w14:paraId="26943F8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Ⅲ．基金的运营管理</w:t>
      </w:r>
    </w:p>
    <w:p w14:paraId="07B4A9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Ⅳ．基金的后台管理</w:t>
      </w:r>
    </w:p>
    <w:p w14:paraId="3344D5F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Ⅰ、Ⅱ、Ⅲ、Ⅳ</w:t>
      </w:r>
    </w:p>
    <w:p w14:paraId="20212E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w:t>
      </w:r>
    </w:p>
    <w:p w14:paraId="1D94ADA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Ⅰ、Ⅱ、Ⅳ</w:t>
      </w:r>
    </w:p>
    <w:p w14:paraId="619E62D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Ⅱ、Ⅲ、Ⅳ</w:t>
      </w:r>
    </w:p>
    <w:p w14:paraId="4B6D1D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19、下列对股权投资基金的表述中，正确的是（）。</w:t>
      </w:r>
    </w:p>
    <w:p w14:paraId="2BAC85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基于投资理论和极其复杂的金融市场操作技巧，充分利用各种金融衍生产品的杠杆效用，承担高风险、追求高收益的投资模式</w:t>
      </w:r>
    </w:p>
    <w:p w14:paraId="2119C3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依照利益共享、风险共担的原则，将分散在投资者手中的资金集中起来委托专业投资机构进行证券投资</w:t>
      </w:r>
    </w:p>
    <w:p w14:paraId="3CC0E85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投资于传统的股票、债券之外的金融资产和实物资产</w:t>
      </w:r>
    </w:p>
    <w:p w14:paraId="47FC17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在实施过程中附带考虑了将来的退出机制</w:t>
      </w:r>
    </w:p>
    <w:p w14:paraId="51C0176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20、基金管理人不得免收持有期低于（）年的投资人的后端申购（认购）费用。</w:t>
      </w:r>
    </w:p>
    <w:p w14:paraId="3F06E5F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1</w:t>
      </w:r>
    </w:p>
    <w:p w14:paraId="04FD10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2</w:t>
      </w:r>
    </w:p>
    <w:p w14:paraId="34A2BFA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3</w:t>
      </w:r>
    </w:p>
    <w:p w14:paraId="25C25F5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5</w:t>
      </w:r>
    </w:p>
    <w:p w14:paraId="22E9B9A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21、基金从业人员职业道德中的诚实守信，要求不得利用内幕信息进行内幕交易，以下尚未公开的信息中不属于内幕信息的是（）。</w:t>
      </w:r>
    </w:p>
    <w:p w14:paraId="034A460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某上市公司董事长涉嫌犯罪被刑事拘留</w:t>
      </w:r>
    </w:p>
    <w:p w14:paraId="280CC2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某上市公司人员招聘计划</w:t>
      </w:r>
    </w:p>
    <w:p w14:paraId="0C964EF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某上市公司董事长收到律所合伙人发来的重大资产重组协议终稿，写有本次重组的方案和价格</w:t>
      </w:r>
    </w:p>
    <w:p w14:paraId="35659CB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某上市公司持股8%的股东拟对外出售其全部股权的计划</w:t>
      </w:r>
    </w:p>
    <w:p w14:paraId="14AA8B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22、基金管理人应当自收到核准文件之日起（）个月内进行基金份额的发售。基金的募集期限自基金份额发售日开始计算，募集期限不得超过（）个月。</w:t>
      </w:r>
    </w:p>
    <w:p w14:paraId="521627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3；6</w:t>
      </w:r>
    </w:p>
    <w:p w14:paraId="0AD6CCB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6；3</w:t>
      </w:r>
    </w:p>
    <w:p w14:paraId="25EE423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4；6</w:t>
      </w:r>
    </w:p>
    <w:p w14:paraId="3DA2527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6；4</w:t>
      </w:r>
    </w:p>
    <w:p w14:paraId="46B362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23、可扩展商业报告语言(XBRL)是国际上将会计准则与计算机语言相结合，用于非结构化数据，尤其是（）的最新公认标准和技术。</w:t>
      </w:r>
    </w:p>
    <w:p w14:paraId="257B73B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监管动态</w:t>
      </w:r>
    </w:p>
    <w:p w14:paraId="5ABF360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行业自律</w:t>
      </w:r>
    </w:p>
    <w:p w14:paraId="739E4E8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财务信息交换</w:t>
      </w:r>
    </w:p>
    <w:p w14:paraId="324972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以上都不是</w:t>
      </w:r>
    </w:p>
    <w:p w14:paraId="497944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24、基金客户服务的宗旨是（）。</w:t>
      </w:r>
    </w:p>
    <w:p w14:paraId="3725FFD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客户永远是第一位</w:t>
      </w:r>
    </w:p>
    <w:p w14:paraId="5EAE5A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有效沟通</w:t>
      </w:r>
    </w:p>
    <w:p w14:paraId="30CACE8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安全第一性</w:t>
      </w:r>
    </w:p>
    <w:p w14:paraId="115438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获得双赢</w:t>
      </w:r>
    </w:p>
    <w:p w14:paraId="62B918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25、对基金研究评价机构而言，（）是进行基金评级的基础。</w:t>
      </w:r>
    </w:p>
    <w:p w14:paraId="0B62DED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基金的管理人</w:t>
      </w:r>
    </w:p>
    <w:p w14:paraId="57C5CF6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基金的份额</w:t>
      </w:r>
    </w:p>
    <w:p w14:paraId="0D7C4F2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基金的分类</w:t>
      </w:r>
    </w:p>
    <w:p w14:paraId="0CE2324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基金的收益</w:t>
      </w:r>
    </w:p>
    <w:p w14:paraId="6FD57EC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26、关于QDII基金，下列表述错误的是（）。</w:t>
      </w:r>
    </w:p>
    <w:p w14:paraId="7D00C1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赎回申请成功后，基金管理人将在T+10日(含该日)内支付赎回款项</w:t>
      </w:r>
    </w:p>
    <w:p w14:paraId="26B9647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基金管理公司一般在T+5日内对QDII基金的申购和赎回申请的有效性进行确认</w:t>
      </w:r>
    </w:p>
    <w:p w14:paraId="0937DF8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基金可能因超出国家外汇管理局核准的境外证券投资额度等原因而拒绝或暂停申购</w:t>
      </w:r>
    </w:p>
    <w:p w14:paraId="1B09513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基金申购和赎回的币种为人民币，但在不违反法律法规规定并提前公告的情况下，可接受其他币种</w:t>
      </w:r>
    </w:p>
    <w:p w14:paraId="5C07821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27、在基金宣传推介材料中，不符合法律法规相关要求的是（）。</w:t>
      </w:r>
    </w:p>
    <w:p w14:paraId="576927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登载基金的过往业绩时，基金合同生效10年以上的，应当登载最近10个完整会计年度的业绩</w:t>
      </w:r>
    </w:p>
    <w:p w14:paraId="6BB24B8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基金业绩表现数据应当经基金托管人复核或者摘取自基金定期报告</w:t>
      </w:r>
    </w:p>
    <w:p w14:paraId="18BA8E4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根据以往该基金的表现，预计该基金经理能够战胜比较基准3个百分点</w:t>
      </w:r>
    </w:p>
    <w:p w14:paraId="133246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按照有关法律法规的规定或者行业公认的准则计算基金的业绩表现数据</w:t>
      </w:r>
    </w:p>
    <w:p w14:paraId="400172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28、企业风险管理基本框架的内容包括（）。</w:t>
      </w:r>
    </w:p>
    <w:p w14:paraId="7D1DF57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Ⅰ．内部环境、目标设定</w:t>
      </w:r>
    </w:p>
    <w:p w14:paraId="74EE26E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Ⅱ．事项识别、风险评估</w:t>
      </w:r>
    </w:p>
    <w:p w14:paraId="675126C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Ⅲ．风险应对、控制活动</w:t>
      </w:r>
    </w:p>
    <w:p w14:paraId="02A752C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Ⅳ．信息与沟通、行为监控</w:t>
      </w:r>
    </w:p>
    <w:p w14:paraId="2694120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w:t>
      </w:r>
    </w:p>
    <w:p w14:paraId="178BD0F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Ⅰ、Ⅱ、Ⅲ、Ⅳ</w:t>
      </w:r>
    </w:p>
    <w:p w14:paraId="731A28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w:t>
      </w:r>
    </w:p>
    <w:p w14:paraId="0E468B30">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Ⅱ、Ⅲ、Ⅳ</w:t>
      </w:r>
    </w:p>
    <w:p w14:paraId="79FF438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29、美国开放式证券投资基金产品的发展顺序大体是（）。</w:t>
      </w:r>
    </w:p>
    <w:p w14:paraId="2BD5C3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Ⅰ．股票型基金</w:t>
      </w:r>
    </w:p>
    <w:p w14:paraId="208D1B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Ⅱ．平衡型基金</w:t>
      </w:r>
    </w:p>
    <w:p w14:paraId="66B165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Ⅲ．债券型基金</w:t>
      </w:r>
    </w:p>
    <w:p w14:paraId="516140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Ⅳ．货币型基金</w:t>
      </w:r>
    </w:p>
    <w:p w14:paraId="15BFDBE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Ⅰ、Ⅱ、Ⅲ、Ⅳ</w:t>
      </w:r>
    </w:p>
    <w:p w14:paraId="41A00B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Ⅰ、Ⅲ、Ⅱ、Ⅳ</w:t>
      </w:r>
    </w:p>
    <w:p w14:paraId="176EE22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Ⅰ、Ⅳ、Ⅱ、Ⅲ</w:t>
      </w:r>
    </w:p>
    <w:p w14:paraId="78B4607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Ⅳ、Ⅰ、Ⅱ、Ⅲ</w:t>
      </w:r>
    </w:p>
    <w:p w14:paraId="06F8B6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30、分级基金的特点不包括（）。</w:t>
      </w:r>
    </w:p>
    <w:p w14:paraId="530A44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一只基金，多类份额，多种投资工具</w:t>
      </w:r>
    </w:p>
    <w:p w14:paraId="4F7863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A类、B类份额分级，资产分别运作</w:t>
      </w:r>
    </w:p>
    <w:p w14:paraId="691B0AA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基金份额可在交易所上市交易</w:t>
      </w:r>
    </w:p>
    <w:p w14:paraId="22078BD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内含衍生工具与杠杆特性</w:t>
      </w:r>
    </w:p>
    <w:p w14:paraId="3642F20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31、场内申购和赎回ETF的申购对价和赎回对价不包括（）。</w:t>
      </w:r>
    </w:p>
    <w:p w14:paraId="41E41F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现金替代</w:t>
      </w:r>
    </w:p>
    <w:p w14:paraId="3C7390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现金差额</w:t>
      </w:r>
    </w:p>
    <w:p w14:paraId="3DE02B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组合证券</w:t>
      </w:r>
    </w:p>
    <w:p w14:paraId="75B9977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组合外证券</w:t>
      </w:r>
    </w:p>
    <w:p w14:paraId="686499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32、私募股权投资基金通过（）等方式，出售持股获利。</w:t>
      </w:r>
    </w:p>
    <w:p w14:paraId="1D9175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Ⅰ．上市</w:t>
      </w:r>
    </w:p>
    <w:p w14:paraId="21351F4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Ⅱ．并购</w:t>
      </w:r>
    </w:p>
    <w:p w14:paraId="5B1A5BC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Ⅲ．管理层回购</w:t>
      </w:r>
    </w:p>
    <w:p w14:paraId="34136A3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Ⅳ．合并</w:t>
      </w:r>
    </w:p>
    <w:p w14:paraId="12D319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Ⅰ、Ⅲ、Ⅳ</w:t>
      </w:r>
    </w:p>
    <w:p w14:paraId="037213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Ⅰ、Ⅱ、Ⅲ、Ⅳ</w:t>
      </w:r>
    </w:p>
    <w:p w14:paraId="5CD9F8E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Ⅰ、Ⅱ、Ⅲ</w:t>
      </w:r>
    </w:p>
    <w:p w14:paraId="24DCE98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Ⅰ、Ⅱ、Ⅳ</w:t>
      </w:r>
    </w:p>
    <w:p w14:paraId="1ADE352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33、道德与法律是社会行为规范最主要的两种形式，下列关于两者的说法错误的是（）。</w:t>
      </w:r>
    </w:p>
    <w:p w14:paraId="504B04B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道德的评价标准不限于价值判断或者不直接反映价值判断</w:t>
      </w:r>
    </w:p>
    <w:p w14:paraId="31C506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都属于上层建筑范畴</w:t>
      </w:r>
    </w:p>
    <w:p w14:paraId="33434D4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二者在根本目的上具有一致性</w:t>
      </w:r>
    </w:p>
    <w:p w14:paraId="24B9DC1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法律对传播道德具有促进作用</w:t>
      </w:r>
    </w:p>
    <w:p w14:paraId="3588E41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34、场外认购LOF份额时，应使用（）。</w:t>
      </w:r>
    </w:p>
    <w:p w14:paraId="5D369521">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深圳证交所人民币普通证券账户</w:t>
      </w:r>
    </w:p>
    <w:p w14:paraId="0440121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深圳证交所证券投资基金账户</w:t>
      </w:r>
    </w:p>
    <w:p w14:paraId="01E094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开放式基金账户或沪、深证券账户</w:t>
      </w:r>
    </w:p>
    <w:p w14:paraId="6940ED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中国证券登记结算有限责任公司深圳证券交易所开放式基金账户</w:t>
      </w:r>
    </w:p>
    <w:p w14:paraId="170C589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35、基金管理人的（）是基金市场竞争的核心。</w:t>
      </w:r>
    </w:p>
    <w:p w14:paraId="1C8190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产品设计</w:t>
      </w:r>
    </w:p>
    <w:p w14:paraId="64D0B37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投资管理</w:t>
      </w:r>
    </w:p>
    <w:p w14:paraId="03938A3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销售环节</w:t>
      </w:r>
    </w:p>
    <w:p w14:paraId="75F109C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风险控制</w:t>
      </w:r>
    </w:p>
    <w:p w14:paraId="4043D1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36、放大安全垫的倍数，基金的风险和收益的变化情况为（）。</w:t>
      </w:r>
    </w:p>
    <w:p w14:paraId="59078D4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风险降低，收益降低</w:t>
      </w:r>
    </w:p>
    <w:p w14:paraId="54B803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风险降低，收益增加</w:t>
      </w:r>
    </w:p>
    <w:p w14:paraId="1553DB5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风险增加，收益增加</w:t>
      </w:r>
    </w:p>
    <w:p w14:paraId="2549022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风险增加，收益降低</w:t>
      </w:r>
    </w:p>
    <w:p w14:paraId="5996E5C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37、关于基金信息披露的表述，错误的是（）。</w:t>
      </w:r>
    </w:p>
    <w:p w14:paraId="41D82E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加强基金信息披露可以改变投资者的信息弱势地位</w:t>
      </w:r>
    </w:p>
    <w:p w14:paraId="6BFEFF7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基金信息披露有利于投资者的价值判断</w:t>
      </w:r>
    </w:p>
    <w:p w14:paraId="51AFB27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加强基金信息披露可以防止信息的滥用</w:t>
      </w:r>
    </w:p>
    <w:p w14:paraId="7FD818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基金信息披露是一种自愿性信息披露</w:t>
      </w:r>
    </w:p>
    <w:p w14:paraId="781D752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38、道德以价值判断，即以公认的是非、善恶、美丑、正邪等范畴为评价标准；而法律的评价标准不限于价值判断或者不直接反映价值判断。这说明法律</w:t>
      </w:r>
    </w:p>
    <w:p w14:paraId="35DD387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与道德（）的不同。</w:t>
      </w:r>
    </w:p>
    <w:p w14:paraId="0441FC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表现形式</w:t>
      </w:r>
    </w:p>
    <w:p w14:paraId="5970C2B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内容结构</w:t>
      </w:r>
    </w:p>
    <w:p w14:paraId="3FAB32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调整范围</w:t>
      </w:r>
    </w:p>
    <w:p w14:paraId="3F42830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调整手段</w:t>
      </w:r>
    </w:p>
    <w:p w14:paraId="3738F2F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39、2014年，中国证监会颁布了《私募投资基金监督管理暂行办法》，对其（）进行了明确。</w:t>
      </w:r>
    </w:p>
    <w:p w14:paraId="580F28F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Ⅰ．登记备案</w:t>
      </w:r>
    </w:p>
    <w:p w14:paraId="2FD10CB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Ⅱ．资金募集</w:t>
      </w:r>
    </w:p>
    <w:p w14:paraId="57A3F80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Ⅲ．投资方向</w:t>
      </w:r>
    </w:p>
    <w:p w14:paraId="1FD03CE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Ⅳ．投资运作</w:t>
      </w:r>
    </w:p>
    <w:p w14:paraId="404A73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w:t>
      </w:r>
    </w:p>
    <w:p w14:paraId="16F293D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Ⅰ、Ⅱ、Ⅳ</w:t>
      </w:r>
    </w:p>
    <w:p w14:paraId="63ACD37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Ⅰ、Ⅱ、Ⅲ</w:t>
      </w:r>
    </w:p>
    <w:p w14:paraId="34DA84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599D150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40、下列关于道德的继承性，说法错误的是（）。</w:t>
      </w:r>
    </w:p>
    <w:p w14:paraId="61C271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随着社会经济基础的变化，属于意识形态的道德也会发生相应变化</w:t>
      </w:r>
    </w:p>
    <w:p w14:paraId="15743A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没有永恒不变的道德，现代道德与传统道德已经完全不一样了</w:t>
      </w:r>
    </w:p>
    <w:p w14:paraId="41D953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因为影响道德形成和发展的各种因素具有历史延续性，所以道德有历史的传承</w:t>
      </w:r>
    </w:p>
    <w:p w14:paraId="6547FF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传统道德的传承力往往是巨大的，现代道德都深深烙有传统道德的印记</w:t>
      </w:r>
    </w:p>
    <w:p w14:paraId="78AA7A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41、私募基金的个人合格投资者要求金融资产不低于300万元，以下不属于描述金融资产的是（）。</w:t>
      </w:r>
    </w:p>
    <w:p w14:paraId="4339E45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乙持有的某上市公司股票市值500万元</w:t>
      </w:r>
    </w:p>
    <w:p w14:paraId="3E2413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丁持有某信托计划市值500万元</w:t>
      </w:r>
    </w:p>
    <w:p w14:paraId="237D0B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甲在某银行活期存款500万元</w:t>
      </w:r>
    </w:p>
    <w:p w14:paraId="52A3FF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丙名下房产经评估价值500万元</w:t>
      </w:r>
    </w:p>
    <w:p w14:paraId="332FED2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42、基金运作信息披露文件包括（）。</w:t>
      </w:r>
    </w:p>
    <w:p w14:paraId="05B5A7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招募说明书</w:t>
      </w:r>
    </w:p>
    <w:p w14:paraId="6A8D087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基金合同</w:t>
      </w:r>
    </w:p>
    <w:p w14:paraId="303763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上市交易公告书</w:t>
      </w:r>
    </w:p>
    <w:p w14:paraId="1842640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基金份额发售公告</w:t>
      </w:r>
    </w:p>
    <w:p w14:paraId="5E5962C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43、下列符合诚实守信规范要求的是（）。</w:t>
      </w:r>
    </w:p>
    <w:p w14:paraId="67BD7B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压低基金的收费水平</w:t>
      </w:r>
    </w:p>
    <w:p w14:paraId="1CA34E1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低于基金销售成本销售基金</w:t>
      </w:r>
    </w:p>
    <w:p w14:paraId="6060176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公平、合法、有序地进行竞争</w:t>
      </w:r>
    </w:p>
    <w:p w14:paraId="73DE72C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采取抽奖、回扣或者赠送实物、保险、基金份额等方式销售基金</w:t>
      </w:r>
    </w:p>
    <w:p w14:paraId="295E001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44、基金业协会性质上是（）。</w:t>
      </w:r>
    </w:p>
    <w:p w14:paraId="7E6AAC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证券投资人</w:t>
      </w:r>
    </w:p>
    <w:p w14:paraId="5C0DE4B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证券服务机构</w:t>
      </w:r>
    </w:p>
    <w:p w14:paraId="6727CE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自律性组织</w:t>
      </w:r>
    </w:p>
    <w:p w14:paraId="7FDFBC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证券监管机构</w:t>
      </w:r>
    </w:p>
    <w:p w14:paraId="5632B1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45、下列关于资本市场的说法，正确的有（）。</w:t>
      </w:r>
    </w:p>
    <w:p w14:paraId="5810FE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Ⅰ．资本市场又称中长期金融市场</w:t>
      </w:r>
    </w:p>
    <w:p w14:paraId="2CE39C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Ⅱ．资本市场是指以期限在一年以上的有价证券为交易工具进行长期资金交易的市场</w:t>
      </w:r>
    </w:p>
    <w:p w14:paraId="42836A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Ⅲ．广义的资本市场包括两大部分：一是银行中长期存贷款市场；二是股票市场</w:t>
      </w:r>
    </w:p>
    <w:p w14:paraId="1B5BBD7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Ⅳ．狭义的资本市场专指中长期债券市场和股票市场</w:t>
      </w:r>
    </w:p>
    <w:p w14:paraId="69FD8F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w:t>
      </w:r>
    </w:p>
    <w:p w14:paraId="3FB6B5C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Ⅲ，Ⅳ</w:t>
      </w:r>
    </w:p>
    <w:p w14:paraId="4131100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Ⅱ，Ⅳ</w:t>
      </w:r>
    </w:p>
    <w:p w14:paraId="30ECCFC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Ⅰ，Ⅲ</w:t>
      </w:r>
    </w:p>
    <w:p w14:paraId="6D175B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46、基金管理公司不能直接从事的资产管理业务是（）。</w:t>
      </w:r>
    </w:p>
    <w:p w14:paraId="11177D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私募股权基金管理业务</w:t>
      </w:r>
      <w:r>
        <w:rPr>
          <w:rFonts w:hint="eastAsia" w:ascii="黑体" w:hAnsi="黑体" w:eastAsia="黑体" w:cs="黑体"/>
          <w:color w:val="000000"/>
          <w:kern w:val="0"/>
          <w:sz w:val="24"/>
          <w:szCs w:val="24"/>
          <w:lang w:val="en-US" w:eastAsia="zh-CN" w:bidi="ar"/>
        </w:rPr>
        <w:t>9/18</w:t>
      </w:r>
    </w:p>
    <w:p w14:paraId="61D039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非公开募集证券投资基金业务</w:t>
      </w:r>
    </w:p>
    <w:p w14:paraId="6AB22A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公募证券投资基金管理业务</w:t>
      </w:r>
    </w:p>
    <w:p w14:paraId="7F7ED92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公募证券投资基金的募集业务</w:t>
      </w:r>
    </w:p>
    <w:p w14:paraId="528966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47、对公开募集基金销售活动的监管包括（）。</w:t>
      </w:r>
    </w:p>
    <w:p w14:paraId="36EC136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Ⅰ．基金销售适用性监管</w:t>
      </w:r>
    </w:p>
    <w:p w14:paraId="6C2EFA8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Ⅱ．对基金销售费用的监管</w:t>
      </w:r>
    </w:p>
    <w:p w14:paraId="08D8B70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Ⅲ．对基金募集对象的限制</w:t>
      </w:r>
    </w:p>
    <w:p w14:paraId="5CA3EF5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Ⅳ．对基金宣传推介材料的监管</w:t>
      </w:r>
    </w:p>
    <w:p w14:paraId="6E322CC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w:t>
      </w:r>
    </w:p>
    <w:p w14:paraId="665F87F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Ⅰ、Ⅱ、Ⅳ</w:t>
      </w:r>
    </w:p>
    <w:p w14:paraId="61B178B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Ⅰ、Ⅲ、Ⅳ</w:t>
      </w:r>
    </w:p>
    <w:p w14:paraId="6EE22F3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22F0F7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48、狭义的基金监管一般专指（）依法对基金市场、基金市场主体及其活动的监督和管理。</w:t>
      </w:r>
    </w:p>
    <w:p w14:paraId="40F384E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社会力量</w:t>
      </w:r>
    </w:p>
    <w:p w14:paraId="602B057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基金机构内部监督部门</w:t>
      </w:r>
    </w:p>
    <w:p w14:paraId="40A0828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基金行业自律组织</w:t>
      </w:r>
    </w:p>
    <w:p w14:paraId="1B4AC23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政府基金监管机构</w:t>
      </w:r>
    </w:p>
    <w:p w14:paraId="071B8F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49、中国证券投资基金业协会正式成立于（）。</w:t>
      </w:r>
    </w:p>
    <w:p w14:paraId="4582244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2014年6月</w:t>
      </w:r>
    </w:p>
    <w:p w14:paraId="65AC1F6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2012年6月</w:t>
      </w:r>
    </w:p>
    <w:p w14:paraId="7FE4B8E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2001年8月</w:t>
      </w:r>
    </w:p>
    <w:p w14:paraId="0AC59EB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2002年12月</w:t>
      </w:r>
    </w:p>
    <w:p w14:paraId="1B682AC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50、基金管理人对于持有期低于（）的投资人不得免收其后端申购费。</w:t>
      </w:r>
    </w:p>
    <w:p w14:paraId="155532B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3个月</w:t>
      </w:r>
    </w:p>
    <w:p w14:paraId="2B8618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6个月</w:t>
      </w:r>
    </w:p>
    <w:p w14:paraId="370D8E3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12个月</w:t>
      </w:r>
    </w:p>
    <w:p w14:paraId="139C607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36个月</w:t>
      </w:r>
    </w:p>
    <w:p w14:paraId="507D9D9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51、公共网站链接形式的宣传推介材料应当包括为时至少（）秒钟的影像显示，提示投资人注意风险并参考该基金的销售文件。</w:t>
      </w:r>
    </w:p>
    <w:p w14:paraId="646DAC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5</w:t>
      </w:r>
    </w:p>
    <w:p w14:paraId="14BA65A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10</w:t>
      </w:r>
    </w:p>
    <w:p w14:paraId="3E88B7E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15</w:t>
      </w:r>
    </w:p>
    <w:p w14:paraId="2CD7DBD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20</w:t>
      </w:r>
    </w:p>
    <w:p w14:paraId="4312D95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52、下列（）不符合基金销售从业人员应具有的条件。</w:t>
      </w:r>
    </w:p>
    <w:p w14:paraId="04385FD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取得基金从业资格</w:t>
      </w:r>
    </w:p>
    <w:p w14:paraId="32BB5EC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必须具备相关的基金从业经验</w:t>
      </w:r>
    </w:p>
    <w:p w14:paraId="64B63F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由所在机构进行执业注册登记</w:t>
      </w:r>
    </w:p>
    <w:p w14:paraId="5CE44E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经基金管理人或者基金销售机构聘任</w:t>
      </w:r>
    </w:p>
    <w:p w14:paraId="19C8A32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53、投资者保护工作是一项（）的工作。</w:t>
      </w:r>
    </w:p>
    <w:p w14:paraId="23D895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①长期的②基础性③常规性④稳定性</w:t>
      </w:r>
    </w:p>
    <w:p w14:paraId="35B5B22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②③④</w:t>
      </w:r>
    </w:p>
    <w:p w14:paraId="6599135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①③④</w:t>
      </w:r>
    </w:p>
    <w:p w14:paraId="07631D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①②③</w:t>
      </w:r>
    </w:p>
    <w:p w14:paraId="7749BD3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①②③④</w:t>
      </w:r>
    </w:p>
    <w:p w14:paraId="4CAF65B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54、某基金销售机构在关于投资者教育工作的通知中，以下要求正确的是（）。</w:t>
      </w:r>
    </w:p>
    <w:p w14:paraId="4F9B5AC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投资者教育应当遵守广泛适用的投资者教育计划</w:t>
      </w:r>
    </w:p>
    <w:p w14:paraId="21B7AD1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投资者教育应当纳入本公司各项业务环节</w:t>
      </w:r>
    </w:p>
    <w:p w14:paraId="5FE28D0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投资者教育应当采用监管部门统一要求的模式</w:t>
      </w:r>
    </w:p>
    <w:p w14:paraId="79025D4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投资者教育应当与本公司提供的具体产品和服务有机结合</w:t>
      </w:r>
    </w:p>
    <w:p w14:paraId="3A6E206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55、在内部控制的主要内容中，关于销售业务控制，以下说法错误的是（）。</w:t>
      </w:r>
    </w:p>
    <w:p w14:paraId="1D3F31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宣传推介材料必须经过审核</w:t>
      </w:r>
    </w:p>
    <w:p w14:paraId="4CDEED6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赎回和转换交易申请不需要客户的合理授权</w:t>
      </w:r>
    </w:p>
    <w:p w14:paraId="21B56F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客户开户资料符合反洗钱与销售适用性规定</w:t>
      </w:r>
    </w:p>
    <w:p w14:paraId="46BFB31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客户投诉得到及时、恰当的记录和处理</w:t>
      </w:r>
    </w:p>
    <w:p w14:paraId="4051B0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56、客户服务人员应站在客户的角度，理解客户。在出现分歧时，急客户之所急，耐心细致地与客户沟通好具体细节，不能臆测客户需求。这体现了基金</w:t>
      </w:r>
    </w:p>
    <w:p w14:paraId="3640FE6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客户服务（）的原则。</w:t>
      </w:r>
    </w:p>
    <w:p w14:paraId="079BEC0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客户至上</w:t>
      </w:r>
    </w:p>
    <w:p w14:paraId="2CA85E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有效沟通</w:t>
      </w:r>
    </w:p>
    <w:p w14:paraId="31E1A9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安全第一</w:t>
      </w:r>
    </w:p>
    <w:p w14:paraId="5697F5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专业规范</w:t>
      </w:r>
    </w:p>
    <w:p w14:paraId="3F464ED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57、关于不存在母基金份额的分级基金所具有的特点，以下说法不正确的是（）。</w:t>
      </w:r>
    </w:p>
    <w:p w14:paraId="2D0FD81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必然不采取份额配对转换机制</w:t>
      </w:r>
    </w:p>
    <w:p w14:paraId="383EC39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必然采取份额配对转换机制</w:t>
      </w:r>
    </w:p>
    <w:p w14:paraId="48CC78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其披露的基础份额净值并不代表基金整体的投资收益情况</w:t>
      </w:r>
    </w:p>
    <w:p w14:paraId="00C6B5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存在一定的失真</w:t>
      </w:r>
    </w:p>
    <w:p w14:paraId="05E3F3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58、基金持有的金融资产和承担金融负债常归类为（）和金融负债。</w:t>
      </w:r>
    </w:p>
    <w:p w14:paraId="52631B7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持有至到期投资</w:t>
      </w:r>
    </w:p>
    <w:p w14:paraId="1D3A8D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贷款和应收款项</w:t>
      </w:r>
    </w:p>
    <w:p w14:paraId="04BF5C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以公允价值计量目其变动计入当期损益的金融资产</w:t>
      </w:r>
    </w:p>
    <w:p w14:paraId="1A4F0F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可供出售的金融资产</w:t>
      </w:r>
    </w:p>
    <w:p w14:paraId="61BE91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59、（），经中国证监会批准，新成立的南方基金管理公司和国泰基金管理公司分别发起设立了规模均为20亿元的两只封闭式基金——“基金开元”和</w:t>
      </w:r>
    </w:p>
    <w:p w14:paraId="2E6EF4F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“基金金泰”。</w:t>
      </w:r>
    </w:p>
    <w:p w14:paraId="2674E2A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1997年11月27日</w:t>
      </w:r>
    </w:p>
    <w:p w14:paraId="69D3BB4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1998年3月27日</w:t>
      </w:r>
    </w:p>
    <w:p w14:paraId="1014F84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2000年10月8日</w:t>
      </w:r>
    </w:p>
    <w:p w14:paraId="27EE71F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2003年10月28日</w:t>
      </w:r>
    </w:p>
    <w:p w14:paraId="7EC43FE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60、根据忠诚尽责的职业道德要求，基金从业人员在工作中需要做到（）。</w:t>
      </w:r>
    </w:p>
    <w:p w14:paraId="2600ED4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Ⅰ．忠诚</w:t>
      </w:r>
    </w:p>
    <w:p w14:paraId="4FD83CF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Ⅱ．勤勉</w:t>
      </w:r>
    </w:p>
    <w:p w14:paraId="26D4455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Ⅲ．廉洁</w:t>
      </w:r>
    </w:p>
    <w:p w14:paraId="73FE47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Ⅳ．正直</w:t>
      </w:r>
    </w:p>
    <w:p w14:paraId="00BA53C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w:t>
      </w:r>
    </w:p>
    <w:p w14:paraId="1CEFBEF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w:t>
      </w:r>
    </w:p>
    <w:p w14:paraId="02C25D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Ⅱ、Ⅲ</w:t>
      </w:r>
    </w:p>
    <w:p w14:paraId="20C753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788A64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61、根据《基金管理公司风险管理指引（试行〉》，投资合规性风险管理主要措施包括（）。</w:t>
      </w:r>
    </w:p>
    <w:p w14:paraId="110A4F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Ⅰ.建立有效的投资流程和投资授权制度</w:t>
      </w:r>
    </w:p>
    <w:p w14:paraId="27DAB12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Ⅱ.通过在交易系统中设置风险参数，对投资资的合规风险进行自动控制，对于无法在交易系统自动控制的投资合规限制，应通过加强手工监控、多人复核</w:t>
      </w:r>
    </w:p>
    <w:p w14:paraId="249FA1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等措施予以控制</w:t>
      </w:r>
    </w:p>
    <w:p w14:paraId="6FD4B6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Ⅲ.重点监控投资组合投资中是否存在内幕交易、利益输送和不公平对待不同投资者等行为</w:t>
      </w:r>
    </w:p>
    <w:p w14:paraId="23BBCAF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Ⅳ.制定适当的销售政策和监晉措施，防范销售人员违法违规和违反职业操守</w:t>
      </w:r>
    </w:p>
    <w:p w14:paraId="4768710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Ⅰ、Ⅱ、Ⅲ</w:t>
      </w:r>
    </w:p>
    <w:p w14:paraId="5A8FF07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Ⅱ、Ⅳ</w:t>
      </w:r>
    </w:p>
    <w:p w14:paraId="2E73E9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Ⅰ、Ⅲ</w:t>
      </w:r>
    </w:p>
    <w:p w14:paraId="7B2B34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53C1075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62、关于ETF和LOF份额的认购，下列说法不正确的是（）。</w:t>
      </w:r>
    </w:p>
    <w:p w14:paraId="2A8EBDE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根据投资者认购ETF份额所支付的对价种类，ETF份额的认购又可分为现金认购和证券认购</w:t>
      </w:r>
    </w:p>
    <w:p w14:paraId="0DADD7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场内现金认购是指投资者通过基金管理人及其指定的发售代理机构(证券公司)以现金进行的认购</w:t>
      </w:r>
    </w:p>
    <w:p w14:paraId="5456166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目前，我国只有深圳证券交易所开办LOF业务</w:t>
      </w:r>
    </w:p>
    <w:p w14:paraId="1C9925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场内认购LOF份额，应持深圳证券交易所人民币普通证券账户或证券投资基金账户</w:t>
      </w:r>
    </w:p>
    <w:p w14:paraId="0C6068B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63、货币市场基金的收益公告包括（）。</w:t>
      </w:r>
    </w:p>
    <w:p w14:paraId="6079A13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每万份基金收益和最近7日年化收益率</w:t>
      </w:r>
    </w:p>
    <w:p w14:paraId="14CE232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每份基金收益和最近7日年化收益</w:t>
      </w:r>
    </w:p>
    <w:p w14:paraId="0DD9AB0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每万份基金收益和最近7日收益率</w:t>
      </w:r>
    </w:p>
    <w:p w14:paraId="174AE40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每份基金收益和最近7日收益率</w:t>
      </w:r>
    </w:p>
    <w:p w14:paraId="040009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64、在基金定期公告中，基金管理人需要编制当期季度报告、中期报告和年度报告。只有在基金合同生效不足（）个月的情况下，才可以不编制。</w:t>
      </w:r>
    </w:p>
    <w:p w14:paraId="630DE61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5</w:t>
      </w:r>
    </w:p>
    <w:p w14:paraId="08E5560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3</w:t>
      </w:r>
    </w:p>
    <w:p w14:paraId="594BE52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2</w:t>
      </w:r>
    </w:p>
    <w:p w14:paraId="6BE9E9F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4</w:t>
      </w:r>
    </w:p>
    <w:p w14:paraId="4FC489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65、既注重资本增值又注重当期收入的基金是（）。</w:t>
      </w:r>
    </w:p>
    <w:p w14:paraId="0D14A91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指数基金</w:t>
      </w:r>
    </w:p>
    <w:p w14:paraId="7D612E4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增长型基金</w:t>
      </w:r>
    </w:p>
    <w:p w14:paraId="5DB92C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收入型基金</w:t>
      </w:r>
    </w:p>
    <w:p w14:paraId="027405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平衡型基金</w:t>
      </w:r>
    </w:p>
    <w:p w14:paraId="466180E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66、转换基金的运作方式，应当经参加基金份额持有人大会的基金份额持有人所持表决权的（）以上通过。</w:t>
      </w:r>
    </w:p>
    <w:p w14:paraId="37F3CC4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1／2</w:t>
      </w:r>
    </w:p>
    <w:p w14:paraId="3345A15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1／3</w:t>
      </w:r>
    </w:p>
    <w:p w14:paraId="070EA94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2／3</w:t>
      </w:r>
    </w:p>
    <w:p w14:paraId="0E67394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1／4</w:t>
      </w:r>
    </w:p>
    <w:p w14:paraId="48474BB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67、根据相关规定，高级管理人员、基金管理公司基金经理应当维护所管理基金的合法利益，在基金份额持有人的利益与基金管理公司、基金托管银行的</w:t>
      </w:r>
    </w:p>
    <w:p w14:paraId="23E6246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利益发生冲突时，应当坚持（）利益优先的原则。</w:t>
      </w:r>
    </w:p>
    <w:p w14:paraId="4D6571A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基金管理公司</w:t>
      </w:r>
    </w:p>
    <w:p w14:paraId="76B8029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基金份额持有人</w:t>
      </w:r>
    </w:p>
    <w:p w14:paraId="162B14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基金托管银行</w:t>
      </w:r>
    </w:p>
    <w:p w14:paraId="64750F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自身</w:t>
      </w:r>
    </w:p>
    <w:p w14:paraId="55390B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68、基金管理公司投资管理人员，不包括（）。</w:t>
      </w:r>
    </w:p>
    <w:p w14:paraId="12E6759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公司投资决策委员会成员</w:t>
      </w:r>
    </w:p>
    <w:p w14:paraId="6E4E3FD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基金营销人员</w:t>
      </w:r>
    </w:p>
    <w:p w14:paraId="03806B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公司投资、研究、交易部门的负责人</w:t>
      </w:r>
    </w:p>
    <w:p w14:paraId="76ACEA9D">
      <w:pPr>
        <w:keepNext w:val="0"/>
        <w:keepLines w:val="0"/>
        <w:widowControl/>
        <w:suppressLineNumbers w:val="0"/>
        <w:spacing w:line="360" w:lineRule="auto"/>
        <w:jc w:val="left"/>
        <w:rPr>
          <w:rFonts w:hint="eastAsia" w:ascii="黑体" w:hAnsi="黑体" w:eastAsia="黑体" w:cs="黑体"/>
          <w:color w:val="000000"/>
          <w:kern w:val="0"/>
          <w:sz w:val="24"/>
          <w:szCs w:val="24"/>
          <w:lang w:val="en-US" w:eastAsia="zh-CN" w:bidi="ar"/>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基金经理助理</w:t>
      </w:r>
    </w:p>
    <w:p w14:paraId="22AC82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69、基金销售机构可以收取一定的基金销售费用，关于基金销售费用中所包含的具体费用项目，以下表达错误的是（）。</w:t>
      </w:r>
    </w:p>
    <w:p w14:paraId="7349704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包括认购费</w:t>
      </w:r>
    </w:p>
    <w:p w14:paraId="397F164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包括申购费</w:t>
      </w:r>
    </w:p>
    <w:p w14:paraId="1DDFA35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包括销售服务费</w:t>
      </w:r>
    </w:p>
    <w:p w14:paraId="4E8452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包括管理费</w:t>
      </w:r>
    </w:p>
    <w:p w14:paraId="0D9E1C9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70、证券投资基金管理公司是经（）批准的在中国境内设立，从事证券投资基金管理业务和其他业务的企业法人。</w:t>
      </w:r>
    </w:p>
    <w:p w14:paraId="199295E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中国证券业协会</w:t>
      </w:r>
    </w:p>
    <w:p w14:paraId="084AFF7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中国证券监督管理委员会</w:t>
      </w:r>
    </w:p>
    <w:p w14:paraId="13D98D6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国务院</w:t>
      </w:r>
    </w:p>
    <w:p w14:paraId="348CF33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国务院证券监督管理机构</w:t>
      </w:r>
    </w:p>
    <w:p w14:paraId="5E39C3D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71、（）不属于基金销售结算资金。</w:t>
      </w:r>
    </w:p>
    <w:p w14:paraId="3EC0F4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基金赎回资金</w:t>
      </w:r>
    </w:p>
    <w:p w14:paraId="5D88F1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基金申购资金</w:t>
      </w:r>
    </w:p>
    <w:p w14:paraId="17A2B92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基金投资收益</w:t>
      </w:r>
    </w:p>
    <w:p w14:paraId="513F87A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基金现金分红</w:t>
      </w:r>
    </w:p>
    <w:p w14:paraId="7E92F7B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72、某银行理财经理小王准备向刘大妈销售A基金，关于小王应遵循的基金销售服务原则，以下表述错误的是（）。</w:t>
      </w:r>
    </w:p>
    <w:p w14:paraId="1D1B453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小王应该详细了解刘大妈的相关背景及过往投资经验再做推荐</w:t>
      </w:r>
    </w:p>
    <w:p w14:paraId="3CE4E2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小王也想买A基金,但是A基金的额度有限，小王应该优先让刘大妈先买</w:t>
      </w:r>
    </w:p>
    <w:p w14:paraId="079F2BD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小王根据刘大妈5年前的风险承受能力测评做了产品推荐</w:t>
      </w:r>
    </w:p>
    <w:p w14:paraId="18680E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小王向刘大妈详细介绍了A基金的投资范围和基金经理简介</w:t>
      </w:r>
    </w:p>
    <w:p w14:paraId="5DC464A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73、关于私募基金的管理人登记和基金备案，以下表述正确的是（）。</w:t>
      </w:r>
    </w:p>
    <w:p w14:paraId="7AFFD96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目的在于防止滥用基金或者基金管理人的名义进行非法集资等违法活动</w:t>
      </w:r>
    </w:p>
    <w:p w14:paraId="56EBC7A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私募基金管理人完成登记后，即成为合法的持牌金融机构</w:t>
      </w:r>
    </w:p>
    <w:p w14:paraId="4AEB2CE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在法律层面有效保证了私募基金管理人的资金实力和专业能力</w:t>
      </w:r>
    </w:p>
    <w:p w14:paraId="7897855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有利于强化事中事后监督，确保投资人的财产不受损失</w:t>
      </w:r>
    </w:p>
    <w:p w14:paraId="01BFF63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74、下列关于道德的说法正确的有（）。</w:t>
      </w:r>
    </w:p>
    <w:p w14:paraId="48FCC1B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Ⅰ．不同的社会有不同的道德</w:t>
      </w:r>
    </w:p>
    <w:p w14:paraId="1C4FC2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Ⅱ．现代道德都深深烙有传统道德的印记</w:t>
      </w:r>
    </w:p>
    <w:p w14:paraId="39278E3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Ⅲ．道德约束全体社会成员可以做什么、不可以做什么和怎样做</w:t>
      </w:r>
    </w:p>
    <w:p w14:paraId="047A54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Ⅳ．道德规范只能表现为制定的“公约”“守则”“行为准则”“行为规则”“行为规范”等</w:t>
      </w:r>
    </w:p>
    <w:p w14:paraId="3BE0757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w:t>
      </w:r>
    </w:p>
    <w:p w14:paraId="53047D0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w:t>
      </w:r>
    </w:p>
    <w:p w14:paraId="5274BE8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Ⅰ、Ⅱ、Ⅲ</w:t>
      </w:r>
    </w:p>
    <w:p w14:paraId="680396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Ⅰ、Ⅱ、Ⅲ、Ⅳ</w:t>
      </w:r>
    </w:p>
    <w:p w14:paraId="6456A2C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75、基金管理人对基金销售机构的业务规范和监督，不包括（）。</w:t>
      </w:r>
    </w:p>
    <w:p w14:paraId="0389967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投资管理</w:t>
      </w:r>
    </w:p>
    <w:p w14:paraId="535FFE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信息传输</w:t>
      </w:r>
    </w:p>
    <w:p w14:paraId="2109105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资金归集</w:t>
      </w:r>
    </w:p>
    <w:p w14:paraId="470650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销售服务</w:t>
      </w:r>
    </w:p>
    <w:p w14:paraId="26EDD05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76、根据相关法规，私募投资基金可以投资的金融品种包括（）。</w:t>
      </w:r>
    </w:p>
    <w:p w14:paraId="1AB1B6E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Ⅰ.上市公司股票</w:t>
      </w:r>
    </w:p>
    <w:p w14:paraId="01B8376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Ⅱ.交易所债券</w:t>
      </w:r>
    </w:p>
    <w:p w14:paraId="3A11B83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Ⅲ.银行间债券</w:t>
      </w:r>
    </w:p>
    <w:p w14:paraId="517CEFE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Ⅳ.证券投资基金</w:t>
      </w:r>
    </w:p>
    <w:p w14:paraId="773DFA4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Ⅰ、Ⅱ、Ⅳ</w:t>
      </w:r>
    </w:p>
    <w:p w14:paraId="32C4D31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Ⅰ、Ⅱ、Ⅲ、Ⅳ</w:t>
      </w:r>
    </w:p>
    <w:p w14:paraId="510F908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Ⅰ、Ⅱ、Ⅲ</w:t>
      </w:r>
    </w:p>
    <w:p w14:paraId="59E870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Ⅱ、Ⅲ、Ⅳ</w:t>
      </w:r>
    </w:p>
    <w:p w14:paraId="04A78CF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77、利率上行导致的债券价格下跌风险属于基金管理公司所面临的（）。</w:t>
      </w:r>
    </w:p>
    <w:p w14:paraId="049EAD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道德风险</w:t>
      </w:r>
    </w:p>
    <w:p w14:paraId="540F6D8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市场风险</w:t>
      </w:r>
    </w:p>
    <w:p w14:paraId="42DA7FD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操作风险</w:t>
      </w:r>
    </w:p>
    <w:p w14:paraId="7ECEC1F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业务持续风险</w:t>
      </w:r>
    </w:p>
    <w:p w14:paraId="6D13722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78、确认基金份额持有人权利及其法律效力的行为是（）。</w:t>
      </w:r>
    </w:p>
    <w:p w14:paraId="539001B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基金信息披露</w:t>
      </w:r>
    </w:p>
    <w:p w14:paraId="075F15B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基金的收益分配</w:t>
      </w:r>
    </w:p>
    <w:p w14:paraId="3743B93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基金的投资</w:t>
      </w:r>
    </w:p>
    <w:p w14:paraId="1EB3F3F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基金份额登记</w:t>
      </w:r>
    </w:p>
    <w:p w14:paraId="7202ED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79、某开放式基金的基金总份额为1亿份，下列情形中未构成巨额赎回的是()。</w:t>
      </w:r>
    </w:p>
    <w:p w14:paraId="22CE760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赎回1500万份，申购1300万份；通过基金转换转出1800万份，转入900万份</w:t>
      </w:r>
    </w:p>
    <w:p w14:paraId="146EB1A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赎回2000万份，申购1500万份；通过基金转换转出1300万份，转入700万份</w:t>
      </w:r>
    </w:p>
    <w:p w14:paraId="0450256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赎回1000万份，申购100万份；通过基金转换转出800万份，转入900万份</w:t>
      </w:r>
    </w:p>
    <w:p w14:paraId="45B0526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赎回700万份，申购100万份；通过基金转换转出1500万份，转入1000万份</w:t>
      </w:r>
    </w:p>
    <w:p w14:paraId="4B8A360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80、每一位客户服务人员都应站在客户的角度，理解客户，尊重客户，一切为客户着想，为客户提供高品质、高效率的服务，这体现了基金客户服务的</w:t>
      </w:r>
    </w:p>
    <w:p w14:paraId="0B07739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w:t>
      </w:r>
    </w:p>
    <w:p w14:paraId="771A721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有效沟通原则</w:t>
      </w:r>
    </w:p>
    <w:p w14:paraId="31AC0F5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适当性管理原则</w:t>
      </w:r>
    </w:p>
    <w:p w14:paraId="5453CA1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安全第一原则</w:t>
      </w:r>
    </w:p>
    <w:p w14:paraId="2FDABCC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专业规范原则</w:t>
      </w:r>
    </w:p>
    <w:p w14:paraId="61D5F2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81、一般认为，道德调整的范围比法律调整的范围更为（）。</w:t>
      </w:r>
    </w:p>
    <w:p w14:paraId="512D33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狭小</w:t>
      </w:r>
    </w:p>
    <w:p w14:paraId="553A638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广泛</w:t>
      </w:r>
    </w:p>
    <w:p w14:paraId="2F787F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相同</w:t>
      </w:r>
    </w:p>
    <w:p w14:paraId="06AD5B2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不确定</w:t>
      </w:r>
    </w:p>
    <w:p w14:paraId="5A347A6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82、关于基金管理人内部控制基本要素，以下表述错误的是（）。</w:t>
      </w:r>
    </w:p>
    <w:p w14:paraId="4433284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内部监控是指督察长对公司内控制度的执行情况进行持续的监督</w:t>
      </w:r>
    </w:p>
    <w:p w14:paraId="5A958C7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控制活动可以通过授权控制来进行</w:t>
      </w:r>
    </w:p>
    <w:p w14:paraId="0FED5EF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控制环境包括经营理念、内控文化、公司治理结构、组织结构、员工道德素质等</w:t>
      </w:r>
    </w:p>
    <w:p w14:paraId="6D5A24A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风险评估是指对公司内外部风险进行识别、评估和分析，及时防范和化解风险</w:t>
      </w:r>
    </w:p>
    <w:p w14:paraId="25ED6C7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83、下列不属于促进资产管理业务规范健康发展途径的是（）。</w:t>
      </w:r>
    </w:p>
    <w:p w14:paraId="0A79777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分类统一标准规制，逐步消除套利空间</w:t>
      </w:r>
    </w:p>
    <w:p w14:paraId="39D189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引导资产管理业务向新行业发展，有序打破刚性兑付</w:t>
      </w:r>
    </w:p>
    <w:p w14:paraId="6846D69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加强流动性风险管控，控制杠杆水平</w:t>
      </w:r>
    </w:p>
    <w:p w14:paraId="62802AC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消除多层嵌套，抑制通道业务</w:t>
      </w:r>
    </w:p>
    <w:p w14:paraId="161916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84、关于基金管理公司的风险管理，以下表述错误的是（）。</w:t>
      </w:r>
    </w:p>
    <w:p w14:paraId="3A0DCF6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基金管理公司应树立内控优先和全员风险管理理念</w:t>
      </w:r>
    </w:p>
    <w:p w14:paraId="171E96F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风险管理是公司风险管理部门的责任，其它业务部门只需提供配合</w:t>
      </w:r>
    </w:p>
    <w:p w14:paraId="63F7391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基金管理公司应将风险管理纳入各部门和所有员工年度绩效考核范围</w:t>
      </w:r>
    </w:p>
    <w:p w14:paraId="5CF681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公司所有员工是本岗位风险管理的直接责任人</w:t>
      </w:r>
    </w:p>
    <w:p w14:paraId="7F5C226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85、（）是整个投资者教育体系的基础。</w:t>
      </w:r>
    </w:p>
    <w:p w14:paraId="6C8282A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投资决策</w:t>
      </w:r>
    </w:p>
    <w:p w14:paraId="0082565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资产配置教育</w:t>
      </w:r>
    </w:p>
    <w:p w14:paraId="511077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权益保护教育</w:t>
      </w:r>
    </w:p>
    <w:p w14:paraId="11568E2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以上都是</w:t>
      </w:r>
    </w:p>
    <w:p w14:paraId="5EC2E6D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86、关于加强基金管理人的内部控制，以下说法错误的是（）。</w:t>
      </w:r>
    </w:p>
    <w:p w14:paraId="004174E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可以保障基金财产的安全</w:t>
      </w:r>
    </w:p>
    <w:p w14:paraId="6794EDE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可以消除投资者和基金管理人的信息不对称</w:t>
      </w:r>
    </w:p>
    <w:p w14:paraId="37B2E51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可以防范基金管理人做出违背投资者利益的行为</w:t>
      </w:r>
    </w:p>
    <w:p w14:paraId="2A54199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可以保障投资者和基金管理人双方的利益</w:t>
      </w:r>
    </w:p>
    <w:p w14:paraId="144935C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87、关于基金管理公司的风险管理。以下表述错误的是（）。</w:t>
      </w:r>
    </w:p>
    <w:p w14:paraId="599BC6B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基金管理公司应树立内控优先和全员风险管理理念</w:t>
      </w:r>
    </w:p>
    <w:p w14:paraId="778DC27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风险管理是公司风险管理部门的责任，其它业务部门只需提供配合</w:t>
      </w:r>
    </w:p>
    <w:p w14:paraId="5AE5C59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基金管理公司应将风险管理纳入各部门和所有员工年度绩效考核范围</w:t>
      </w:r>
    </w:p>
    <w:p w14:paraId="1D4F37B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公司所有员工是本岗位风险管理的直接责任人</w:t>
      </w:r>
    </w:p>
    <w:p w14:paraId="4E25B5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88、基金管理人的基金宣传推介材料在取得合规意见书后，并自向公众分发或者发布之日起（）个工作日内报主要经营活动所在地中国证监会派出机构备</w:t>
      </w:r>
    </w:p>
    <w:p w14:paraId="0B106C7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案。</w:t>
      </w:r>
    </w:p>
    <w:p w14:paraId="2B965B5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5</w:t>
      </w:r>
    </w:p>
    <w:p w14:paraId="76EFB8B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10</w:t>
      </w:r>
    </w:p>
    <w:p w14:paraId="5F1C60B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15</w:t>
      </w:r>
    </w:p>
    <w:p w14:paraId="3BE37D5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20</w:t>
      </w:r>
    </w:p>
    <w:p w14:paraId="6815F3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89、职业道德是职业行为规范，告诫从业人员应该做什么、不应该做什么以及应该如何做，从而引导和规范从业人员的职业行为，发挥（）的作用。</w:t>
      </w:r>
    </w:p>
    <w:p w14:paraId="2C5532F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提升职业素养</w:t>
      </w:r>
    </w:p>
    <w:p w14:paraId="2408ABE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调整职业关系</w:t>
      </w:r>
    </w:p>
    <w:p w14:paraId="0D9864E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促进行业发展</w:t>
      </w:r>
    </w:p>
    <w:p w14:paraId="05D4240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评价职业行为</w:t>
      </w:r>
    </w:p>
    <w:p w14:paraId="609E0D2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90、中国证监会和基金业协会还建立、健全了私募基金发行、运作等监管制度，各类私募基金的统一监测系统，强化（）监管，打击以私募基金为名的各类非法集资活动。</w:t>
      </w:r>
    </w:p>
    <w:p w14:paraId="467FC7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市场</w:t>
      </w:r>
    </w:p>
    <w:p w14:paraId="02EA189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内部</w:t>
      </w:r>
    </w:p>
    <w:p w14:paraId="0626C02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事前</w:t>
      </w:r>
    </w:p>
    <w:p w14:paraId="299AC1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事中事后</w:t>
      </w:r>
    </w:p>
    <w:p w14:paraId="21065E9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91、下列不属于避险策略基金分析指标的是（）。</w:t>
      </w:r>
    </w:p>
    <w:p w14:paraId="70FF5FB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担保人</w:t>
      </w:r>
    </w:p>
    <w:p w14:paraId="630BB99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保本比例</w:t>
      </w:r>
    </w:p>
    <w:p w14:paraId="2184B0F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安全垫</w:t>
      </w:r>
    </w:p>
    <w:p w14:paraId="2A2B136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久期</w:t>
      </w:r>
    </w:p>
    <w:p w14:paraId="7BF2A94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92、私募基金是（）向特定投资者募集的基金。</w:t>
      </w:r>
    </w:p>
    <w:p w14:paraId="49C2D8B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私下</w:t>
      </w:r>
    </w:p>
    <w:p w14:paraId="651EBD4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直接</w:t>
      </w:r>
    </w:p>
    <w:p w14:paraId="63B4D9A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私下或直接</w:t>
      </w:r>
    </w:p>
    <w:p w14:paraId="2FAA893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以上都不是</w:t>
      </w:r>
    </w:p>
    <w:p w14:paraId="558A9887">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93、关于基金客户投诉的处理体系，以下说法错误的是（）。</w:t>
      </w:r>
    </w:p>
    <w:p w14:paraId="6EE3BFA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受理客户投诉，确有必要的情况下对投诉电话进行录音</w:t>
      </w:r>
    </w:p>
    <w:p w14:paraId="7559704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需公布电话、邮箱及投诉处理流程</w:t>
      </w:r>
    </w:p>
    <w:p w14:paraId="016815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应设立独立的投诉受理与处理部门</w:t>
      </w:r>
    </w:p>
    <w:p w14:paraId="5F81DB6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应不断总结经验、防范风险、完善内控制度</w:t>
      </w:r>
    </w:p>
    <w:p w14:paraId="359AC1A0">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94、关于证券投资基金分类的意义，以下表述不正确的是（）。</w:t>
      </w:r>
    </w:p>
    <w:p w14:paraId="5358D88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有利于监督部门针对不同基金的特点实施更有效的分类监管</w:t>
      </w:r>
    </w:p>
    <w:p w14:paraId="6E6053D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基金分类是基金研究评价机构进行基金评级的基础</w:t>
      </w:r>
    </w:p>
    <w:p w14:paraId="625725F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有助于投资者对基金风险收益特征的把握</w:t>
      </w:r>
    </w:p>
    <w:p w14:paraId="064D111E">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有助于确保投资者投资基金获利</w:t>
      </w:r>
    </w:p>
    <w:p w14:paraId="49DF783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95、开放式基金合同生效需满足的条件是（）。</w:t>
      </w:r>
    </w:p>
    <w:p w14:paraId="06F4F09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募集份额总额不少于1亿份，基金募集金额不少于1亿元人民币</w:t>
      </w:r>
    </w:p>
    <w:p w14:paraId="100B3FB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募集份额总额不少于5亿份，基金募集金额不少于5亿元人民币</w:t>
      </w:r>
    </w:p>
    <w:p w14:paraId="5BA6888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募集份额总额不少于3亿份，基金募集金额不少于3亿元人民币</w:t>
      </w:r>
    </w:p>
    <w:p w14:paraId="52405F2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募集份额总额不少于2亿份，基金募集金额不少于2亿元人民币</w:t>
      </w:r>
    </w:p>
    <w:p w14:paraId="3B4CC8DD">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96、基金职业道德教育的内容包括（）。</w:t>
      </w:r>
    </w:p>
    <w:p w14:paraId="086B0B4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培养基金职业道德观念</w:t>
      </w:r>
    </w:p>
    <w:p w14:paraId="4171DD4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岗前职业道德教育</w:t>
      </w:r>
    </w:p>
    <w:p w14:paraId="43C6492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岗位职业道德教育</w:t>
      </w:r>
    </w:p>
    <w:p w14:paraId="515AF08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基金业协会的自律</w:t>
      </w:r>
    </w:p>
    <w:p w14:paraId="7FB3A70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97、基金年度报告中管理人报告披露的内容不包括（）。</w:t>
      </w:r>
    </w:p>
    <w:p w14:paraId="4EA06F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基金财务报表的编制与披露</w:t>
      </w:r>
    </w:p>
    <w:p w14:paraId="1BD3FB3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管理人内部监察稽核工作情况</w:t>
      </w:r>
    </w:p>
    <w:p w14:paraId="55519473">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报告期内基金运作遵规守信情况说明</w:t>
      </w:r>
    </w:p>
    <w:p w14:paraId="502FE956">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管理人及基金经理情况简介</w:t>
      </w:r>
    </w:p>
    <w:p w14:paraId="2347959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98、基金募集期限届满，封闭式基金募集的基金份额总额达到准予注册规模的（）以上，可办理基金备案手续，并予以公告。</w:t>
      </w:r>
    </w:p>
    <w:p w14:paraId="0653397A">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0.5</w:t>
      </w:r>
    </w:p>
    <w:p w14:paraId="055F9171">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0.6</w:t>
      </w:r>
    </w:p>
    <w:p w14:paraId="0902C48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0.8</w:t>
      </w:r>
    </w:p>
    <w:p w14:paraId="698B30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1</w:t>
      </w:r>
    </w:p>
    <w:p w14:paraId="373BA2D9">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99、基金募集销售机构向普通投资者销售最高风险等级的基金产品时，应当向投资者揭示的事项不包括（）。</w:t>
      </w:r>
    </w:p>
    <w:p w14:paraId="45043C1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普通投资者诉讼方式及纠纷解决安排</w:t>
      </w:r>
    </w:p>
    <w:p w14:paraId="3E3D190F">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基金产品的详细信息、重点特征和风险</w:t>
      </w:r>
    </w:p>
    <w:p w14:paraId="16C8F4C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该产品的历史业绩、分红以及投资计划</w:t>
      </w:r>
    </w:p>
    <w:p w14:paraId="6A624272">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普通投资者可能承担的损失</w:t>
      </w:r>
    </w:p>
    <w:p w14:paraId="49B287D4">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100、下列不属于欺诈行为的是（）。</w:t>
      </w:r>
    </w:p>
    <w:p w14:paraId="244BDA4B">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A.</w:t>
      </w:r>
      <w:r>
        <w:rPr>
          <w:rFonts w:hint="eastAsia" w:ascii="黑体" w:hAnsi="黑体" w:eastAsia="黑体" w:cs="黑体"/>
          <w:color w:val="000000"/>
          <w:kern w:val="0"/>
          <w:sz w:val="24"/>
          <w:szCs w:val="24"/>
          <w:lang w:val="en-US" w:eastAsia="zh-CN" w:bidi="ar"/>
        </w:rPr>
        <w:t>虚假陈述</w:t>
      </w:r>
    </w:p>
    <w:p w14:paraId="581A42AC">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B.</w:t>
      </w:r>
      <w:r>
        <w:rPr>
          <w:rFonts w:hint="eastAsia" w:ascii="黑体" w:hAnsi="黑体" w:eastAsia="黑体" w:cs="黑体"/>
          <w:color w:val="000000"/>
          <w:kern w:val="0"/>
          <w:sz w:val="24"/>
          <w:szCs w:val="24"/>
          <w:lang w:val="en-US" w:eastAsia="zh-CN" w:bidi="ar"/>
        </w:rPr>
        <w:t>隐瞒真相</w:t>
      </w:r>
    </w:p>
    <w:p w14:paraId="7ED9A415">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C.</w:t>
      </w:r>
      <w:r>
        <w:rPr>
          <w:rFonts w:hint="eastAsia" w:ascii="黑体" w:hAnsi="黑体" w:eastAsia="黑体" w:cs="黑体"/>
          <w:color w:val="000000"/>
          <w:kern w:val="0"/>
          <w:sz w:val="24"/>
          <w:szCs w:val="24"/>
          <w:lang w:val="en-US" w:eastAsia="zh-CN" w:bidi="ar"/>
        </w:rPr>
        <w:t>舞弊行为</w:t>
      </w:r>
    </w:p>
    <w:p w14:paraId="4499F4E8">
      <w:pPr>
        <w:keepNext w:val="0"/>
        <w:keepLines w:val="0"/>
        <w:widowControl/>
        <w:suppressLineNumbers w:val="0"/>
        <w:spacing w:line="360" w:lineRule="auto"/>
        <w:jc w:val="left"/>
        <w:rPr>
          <w:rFonts w:hint="eastAsia" w:ascii="黑体" w:hAnsi="黑体" w:eastAsia="黑体" w:cs="黑体"/>
          <w:sz w:val="24"/>
          <w:szCs w:val="24"/>
        </w:rPr>
      </w:pPr>
      <w:r>
        <w:rPr>
          <w:rFonts w:hint="eastAsia" w:ascii="黑体" w:hAnsi="黑体" w:eastAsia="黑体" w:cs="黑体"/>
          <w:b/>
          <w:bCs/>
          <w:color w:val="FF0000"/>
          <w:kern w:val="0"/>
          <w:sz w:val="24"/>
          <w:szCs w:val="24"/>
          <w:lang w:val="en-US" w:eastAsia="zh-CN" w:bidi="ar"/>
        </w:rPr>
        <w:t>D.</w:t>
      </w:r>
      <w:r>
        <w:rPr>
          <w:rFonts w:hint="eastAsia" w:ascii="黑体" w:hAnsi="黑体" w:eastAsia="黑体" w:cs="黑体"/>
          <w:color w:val="000000"/>
          <w:kern w:val="0"/>
          <w:sz w:val="24"/>
          <w:szCs w:val="24"/>
          <w:lang w:val="en-US" w:eastAsia="zh-CN" w:bidi="ar"/>
        </w:rPr>
        <w:t>不承诺收益</w:t>
      </w:r>
    </w:p>
    <w:p w14:paraId="1D2DC01C">
      <w:pPr>
        <w:spacing w:line="360" w:lineRule="auto"/>
        <w:rPr>
          <w:rFonts w:hint="eastAsia" w:ascii="黑体" w:hAnsi="黑体" w:eastAsia="黑体" w:cs="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ksdb">
    <w:panose1 w:val="020005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31005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13</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2024-10-23T05:27:32Z</dcterms:created>
  <dc:creator>86134</dc:creator>
  <cp:lastModifiedBy>8237476691</cp:lastModifiedBy>
  <dcterms:modified xsi:type="dcterms:W3CDTF">2024-10-23T05:41:41Z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F2B6504CE57945478070289F7ED073B3_12</vt:lpwstr>
  </property>
</Properties>
</file>