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4952" w14:textId="77777777" w:rsidR="0082448A" w:rsidRDefault="0082448A">
      <w:pPr>
        <w:spacing w:line="360" w:lineRule="auto"/>
        <w:rPr>
          <w:rFonts w:ascii="黑体" w:eastAsia="黑体" w:hAnsi="黑体" w:cs="黑体"/>
        </w:rPr>
      </w:pPr>
    </w:p>
    <w:p w14:paraId="0691A2AD" w14:textId="77777777" w:rsidR="0082448A" w:rsidRDefault="0082448A">
      <w:pPr>
        <w:spacing w:line="360" w:lineRule="auto"/>
        <w:rPr>
          <w:rFonts w:ascii="黑体" w:eastAsia="黑体" w:hAnsi="黑体" w:cs="黑体"/>
        </w:rPr>
      </w:pPr>
    </w:p>
    <w:p w14:paraId="1C1A7468" w14:textId="77777777" w:rsidR="0082448A" w:rsidRDefault="00054E88">
      <w:pPr>
        <w:spacing w:line="360" w:lineRule="auto"/>
        <w:jc w:val="center"/>
        <w:rPr>
          <w:rFonts w:ascii="黑体" w:eastAsia="黑体" w:hAnsi="黑体" w:cs="黑体"/>
          <w:lang w:eastAsia="zh-CN"/>
        </w:rPr>
      </w:pPr>
      <w:r>
        <w:rPr>
          <w:rFonts w:ascii="黑体" w:eastAsia="黑体" w:hAnsi="黑体" w:cs="黑体" w:hint="eastAsia"/>
          <w:lang w:eastAsia="zh-CN"/>
        </w:rPr>
        <w:t>基金法律法规、职业道德与业务规范</w:t>
      </w:r>
      <w:r>
        <w:rPr>
          <w:rFonts w:ascii="黑体" w:eastAsia="黑体" w:hAnsi="黑体" w:cs="黑体" w:hint="eastAsia"/>
          <w:lang w:eastAsia="zh-CN"/>
        </w:rPr>
        <w:t>（</w:t>
      </w:r>
      <w:r>
        <w:rPr>
          <w:rFonts w:ascii="黑体" w:eastAsia="黑体" w:hAnsi="黑体" w:cs="黑体" w:hint="eastAsia"/>
          <w:lang w:eastAsia="zh-CN"/>
        </w:rPr>
        <w:t>一）</w:t>
      </w:r>
    </w:p>
    <w:p w14:paraId="3DF07E0B" w14:textId="77777777" w:rsidR="0082448A" w:rsidRDefault="0082448A">
      <w:pPr>
        <w:spacing w:line="360" w:lineRule="auto"/>
        <w:rPr>
          <w:rFonts w:ascii="黑体" w:eastAsia="黑体" w:hAnsi="黑体" w:cs="黑体"/>
          <w:lang w:eastAsia="zh-CN"/>
        </w:rPr>
      </w:pPr>
    </w:p>
    <w:p w14:paraId="4E2031A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题目类型：单选题</w:t>
      </w:r>
    </w:p>
    <w:p w14:paraId="441EB73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、下列不属于招募说明书包含的重要信息的是</w:t>
      </w:r>
      <w:r>
        <w:rPr>
          <w:rFonts w:ascii="黑体" w:eastAsia="黑体" w:hAnsi="黑体" w:cs="黑体" w:hint="eastAsia"/>
          <w:lang w:eastAsia="zh-CN"/>
        </w:rPr>
        <w:t>（）</w:t>
      </w:r>
      <w:r>
        <w:rPr>
          <w:rFonts w:ascii="黑体" w:eastAsia="黑体" w:hAnsi="黑体" w:cs="黑体" w:hint="eastAsia"/>
          <w:lang w:eastAsia="zh-CN"/>
        </w:rPr>
        <w:t>。</w:t>
      </w:r>
    </w:p>
    <w:p w14:paraId="69671B4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基金运作方式</w:t>
      </w:r>
    </w:p>
    <w:p w14:paraId="338F823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sidRPr="007B733A">
        <w:rPr>
          <w:rFonts w:ascii="黑体" w:eastAsia="黑体" w:hAnsi="黑体" w:cs="黑体" w:hint="eastAsia"/>
          <w:highlight w:val="yellow"/>
          <w:lang w:eastAsia="zh-CN"/>
        </w:rPr>
        <w:t>基金收益分配原则和执行方式</w:t>
      </w:r>
    </w:p>
    <w:p w14:paraId="23841E2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基金份额的发售、交易、申购、赎回的约定</w:t>
      </w:r>
    </w:p>
    <w:p w14:paraId="1E85764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从基金资产中列支的费用的种类、计提标准和方式</w:t>
      </w:r>
    </w:p>
    <w:p w14:paraId="0117D0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09AA3D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【试题解析】：招募说明书包含的重要信息有：</w:t>
      </w:r>
      <w:r>
        <w:rPr>
          <w:rFonts w:ascii="黑体" w:eastAsia="黑体" w:hAnsi="黑体" w:cs="黑体" w:hint="eastAsia"/>
          <w:lang w:eastAsia="zh-CN"/>
        </w:rPr>
        <w:t>(1)</w:t>
      </w:r>
      <w:r>
        <w:rPr>
          <w:rFonts w:ascii="黑体" w:eastAsia="黑体" w:hAnsi="黑体" w:cs="黑体" w:hint="eastAsia"/>
          <w:lang w:eastAsia="zh-CN"/>
        </w:rPr>
        <w:t>基金运作方式；</w:t>
      </w:r>
      <w:r>
        <w:rPr>
          <w:rFonts w:ascii="黑体" w:eastAsia="黑体" w:hAnsi="黑体" w:cs="黑体" w:hint="eastAsia"/>
          <w:lang w:eastAsia="zh-CN"/>
        </w:rPr>
        <w:t>(2)</w:t>
      </w:r>
      <w:r>
        <w:rPr>
          <w:rFonts w:ascii="黑体" w:eastAsia="黑体" w:hAnsi="黑体" w:cs="黑体" w:hint="eastAsia"/>
          <w:lang w:eastAsia="zh-CN"/>
        </w:rPr>
        <w:t>从基金资产中列支的费用的种类、计提标准和方式；</w:t>
      </w:r>
      <w:r>
        <w:rPr>
          <w:rFonts w:ascii="黑体" w:eastAsia="黑体" w:hAnsi="黑体" w:cs="黑体" w:hint="eastAsia"/>
          <w:lang w:eastAsia="zh-CN"/>
        </w:rPr>
        <w:t>(3)</w:t>
      </w:r>
      <w:r>
        <w:rPr>
          <w:rFonts w:ascii="黑体" w:eastAsia="黑体" w:hAnsi="黑体" w:cs="黑体" w:hint="eastAsia"/>
          <w:lang w:eastAsia="zh-CN"/>
        </w:rPr>
        <w:t>基金份额的发售、交易、申购、赎回的约定，特别是买卖基金费用的相关条款；</w:t>
      </w:r>
      <w:r>
        <w:rPr>
          <w:rFonts w:ascii="黑体" w:eastAsia="黑体" w:hAnsi="黑体" w:cs="黑体" w:hint="eastAsia"/>
          <w:lang w:eastAsia="zh-CN"/>
        </w:rPr>
        <w:t>(4)</w:t>
      </w:r>
      <w:r>
        <w:rPr>
          <w:rFonts w:ascii="黑体" w:eastAsia="黑体" w:hAnsi="黑体" w:cs="黑体" w:hint="eastAsia"/>
          <w:lang w:eastAsia="zh-CN"/>
        </w:rPr>
        <w:t>基金投资目标、投资范围、投资策略、业绩比较基准、风险收益特征、投资限制等；</w:t>
      </w:r>
      <w:r>
        <w:rPr>
          <w:rFonts w:ascii="黑体" w:eastAsia="黑体" w:hAnsi="黑体" w:cs="黑体" w:hint="eastAsia"/>
          <w:lang w:eastAsia="zh-CN"/>
        </w:rPr>
        <w:t>(5)</w:t>
      </w:r>
      <w:r>
        <w:rPr>
          <w:rFonts w:ascii="黑体" w:eastAsia="黑体" w:hAnsi="黑体" w:cs="黑体" w:hint="eastAsia"/>
          <w:lang w:eastAsia="zh-CN"/>
        </w:rPr>
        <w:t>基金资产净值的计算方法和公告方式；</w:t>
      </w:r>
      <w:r>
        <w:rPr>
          <w:rFonts w:ascii="黑体" w:eastAsia="黑体" w:hAnsi="黑体" w:cs="黑体" w:hint="eastAsia"/>
          <w:lang w:eastAsia="zh-CN"/>
        </w:rPr>
        <w:t>(6)</w:t>
      </w:r>
      <w:r>
        <w:rPr>
          <w:rFonts w:ascii="黑体" w:eastAsia="黑体" w:hAnsi="黑体" w:cs="黑体" w:hint="eastAsia"/>
          <w:lang w:eastAsia="zh-CN"/>
        </w:rPr>
        <w:t>基金风险提示；</w:t>
      </w:r>
      <w:r>
        <w:rPr>
          <w:rFonts w:ascii="黑体" w:eastAsia="黑体" w:hAnsi="黑体" w:cs="黑体" w:hint="eastAsia"/>
          <w:lang w:eastAsia="zh-CN"/>
        </w:rPr>
        <w:t>(7)</w:t>
      </w:r>
      <w:r>
        <w:rPr>
          <w:rFonts w:ascii="黑体" w:eastAsia="黑体" w:hAnsi="黑体" w:cs="黑体" w:hint="eastAsia"/>
          <w:lang w:eastAsia="zh-CN"/>
        </w:rPr>
        <w:t>招募说明书摘要。</w:t>
      </w:r>
      <w:r>
        <w:rPr>
          <w:rFonts w:ascii="黑体" w:eastAsia="黑体" w:hAnsi="黑体" w:cs="黑体" w:hint="eastAsia"/>
          <w:lang w:eastAsia="zh-CN"/>
        </w:rPr>
        <w:t>B</w:t>
      </w:r>
      <w:r>
        <w:rPr>
          <w:rFonts w:ascii="黑体" w:eastAsia="黑体" w:hAnsi="黑体" w:cs="黑体" w:hint="eastAsia"/>
          <w:lang w:eastAsia="zh-CN"/>
        </w:rPr>
        <w:t>项基金收益分配原则和执行方式属于基金合同的主要披露事项。</w:t>
      </w:r>
    </w:p>
    <w:p w14:paraId="630BC86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Pr>
          <w:rFonts w:ascii="黑体" w:eastAsia="黑体" w:hAnsi="黑体" w:cs="黑体" w:hint="eastAsia"/>
          <w:lang w:eastAsia="zh-CN"/>
        </w:rPr>
        <w:t>、基金管理人的</w:t>
      </w:r>
      <w:r>
        <w:rPr>
          <w:rFonts w:ascii="黑体" w:eastAsia="黑体" w:hAnsi="黑体" w:cs="黑体" w:hint="eastAsia"/>
          <w:lang w:eastAsia="zh-CN"/>
        </w:rPr>
        <w:t>（）</w:t>
      </w:r>
      <w:r>
        <w:rPr>
          <w:rFonts w:ascii="黑体" w:eastAsia="黑体" w:hAnsi="黑体" w:cs="黑体" w:hint="eastAsia"/>
          <w:lang w:eastAsia="zh-CN"/>
        </w:rPr>
        <w:t>，应当事先经基金管理人负责基金销售业务的高级管理人员和督察长检查，出具合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意见书</w:t>
      </w:r>
      <w:r>
        <w:rPr>
          <w:rFonts w:ascii="黑体" w:eastAsia="黑体" w:hAnsi="黑体" w:cs="黑体" w:hint="eastAsia"/>
          <w:lang w:eastAsia="zh-CN"/>
        </w:rPr>
        <w:t>。</w:t>
      </w:r>
    </w:p>
    <w:p w14:paraId="5613ADC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基金宣传推介材料</w:t>
      </w:r>
      <w:r>
        <w:rPr>
          <w:rFonts w:ascii="黑体" w:eastAsia="黑体" w:hAnsi="黑体" w:cs="黑体" w:hint="eastAsia"/>
          <w:lang w:eastAsia="zh-CN"/>
        </w:rPr>
        <w:t>B.</w:t>
      </w:r>
      <w:r>
        <w:rPr>
          <w:rFonts w:ascii="黑体" w:eastAsia="黑体" w:hAnsi="黑体" w:cs="黑体" w:hint="eastAsia"/>
          <w:lang w:eastAsia="zh-CN"/>
        </w:rPr>
        <w:t>基金招募说明书</w:t>
      </w:r>
    </w:p>
    <w:p w14:paraId="4BFEC72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托管协议</w:t>
      </w:r>
    </w:p>
    <w:p w14:paraId="082AA91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基金合同</w:t>
      </w:r>
    </w:p>
    <w:p w14:paraId="67A5983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56CE67E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【试题解析】：依据《证券投资基金销售管理办法》的规定，基金管理人的基金宣传推介材料，应当事先经基金管理人负责基金销售业务的高级管理人员和督察长检查，出具合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意见书，并自向公众分发或者发布之日起</w:t>
      </w:r>
      <w:r>
        <w:rPr>
          <w:rFonts w:ascii="黑体" w:eastAsia="黑体" w:hAnsi="黑体" w:cs="黑体" w:hint="eastAsia"/>
          <w:lang w:eastAsia="zh-CN"/>
        </w:rPr>
        <w:t>5</w:t>
      </w:r>
      <w:r>
        <w:rPr>
          <w:rFonts w:ascii="黑体" w:eastAsia="黑体" w:hAnsi="黑体" w:cs="黑体" w:hint="eastAsia"/>
          <w:lang w:eastAsia="zh-CN"/>
        </w:rPr>
        <w:t>个工作日内报主要经营活动所在地中国证监会派出机构备案。</w:t>
      </w:r>
    </w:p>
    <w:p w14:paraId="4774D98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、下列关于分级基金的分类，不正确的是</w:t>
      </w:r>
      <w:r>
        <w:rPr>
          <w:rFonts w:ascii="黑体" w:eastAsia="黑体" w:hAnsi="黑体" w:cs="黑体" w:hint="eastAsia"/>
          <w:lang w:eastAsia="zh-CN"/>
        </w:rPr>
        <w:t>（）</w:t>
      </w:r>
      <w:r>
        <w:rPr>
          <w:rFonts w:ascii="黑体" w:eastAsia="黑体" w:hAnsi="黑体" w:cs="黑体" w:hint="eastAsia"/>
          <w:lang w:eastAsia="zh-CN"/>
        </w:rPr>
        <w:t>。</w:t>
      </w:r>
    </w:p>
    <w:p w14:paraId="68CA6E0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proofErr w:type="gramStart"/>
      <w:r>
        <w:rPr>
          <w:rFonts w:ascii="黑体" w:eastAsia="黑体" w:hAnsi="黑体" w:cs="黑体" w:hint="eastAsia"/>
          <w:lang w:eastAsia="zh-CN"/>
        </w:rPr>
        <w:t>按运作</w:t>
      </w:r>
      <w:proofErr w:type="gramEnd"/>
      <w:r>
        <w:rPr>
          <w:rFonts w:ascii="黑体" w:eastAsia="黑体" w:hAnsi="黑体" w:cs="黑体" w:hint="eastAsia"/>
          <w:lang w:eastAsia="zh-CN"/>
        </w:rPr>
        <w:t>方式，可以将分级基金分为封闭式分级基金与开放式分级基金</w:t>
      </w:r>
    </w:p>
    <w:p w14:paraId="38ECF0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按是否具有折算条款，可以将分级基金分为具有折算条款的分级</w:t>
      </w:r>
      <w:r>
        <w:rPr>
          <w:rFonts w:ascii="黑体" w:eastAsia="黑体" w:hAnsi="黑体" w:cs="黑体" w:hint="eastAsia"/>
          <w:lang w:eastAsia="zh-CN"/>
        </w:rPr>
        <w:t>基金和不具有折算条款的分级基金</w:t>
      </w:r>
    </w:p>
    <w:p w14:paraId="74D8B07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按投资风格的不同，可以将分级基金分为主动投资</w:t>
      </w:r>
      <w:r>
        <w:rPr>
          <w:rFonts w:ascii="黑体" w:eastAsia="黑体" w:hAnsi="黑体" w:cs="黑体" w:hint="eastAsia"/>
          <w:lang w:eastAsia="zh-CN"/>
        </w:rPr>
        <w:t>(</w:t>
      </w:r>
      <w:r>
        <w:rPr>
          <w:rFonts w:ascii="黑体" w:eastAsia="黑体" w:hAnsi="黑体" w:cs="黑体" w:hint="eastAsia"/>
          <w:lang w:eastAsia="zh-CN"/>
        </w:rPr>
        <w:t>指数化</w:t>
      </w:r>
      <w:r>
        <w:rPr>
          <w:rFonts w:ascii="黑体" w:eastAsia="黑体" w:hAnsi="黑体" w:cs="黑体" w:hint="eastAsia"/>
          <w:lang w:eastAsia="zh-CN"/>
        </w:rPr>
        <w:t>)</w:t>
      </w:r>
      <w:r>
        <w:rPr>
          <w:rFonts w:ascii="黑体" w:eastAsia="黑体" w:hAnsi="黑体" w:cs="黑体" w:hint="eastAsia"/>
          <w:lang w:eastAsia="zh-CN"/>
        </w:rPr>
        <w:t>型分级基金与被动投资型分级基金</w:t>
      </w:r>
    </w:p>
    <w:p w14:paraId="37F602B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按投资对象的不同，可以将分级基金分为股票型分级基金、债券型分级基金</w:t>
      </w:r>
      <w:r>
        <w:rPr>
          <w:rFonts w:ascii="黑体" w:eastAsia="黑体" w:hAnsi="黑体" w:cs="黑体" w:hint="eastAsia"/>
          <w:lang w:eastAsia="zh-CN"/>
        </w:rPr>
        <w:t>(</w:t>
      </w:r>
      <w:r>
        <w:rPr>
          <w:rFonts w:ascii="黑体" w:eastAsia="黑体" w:hAnsi="黑体" w:cs="黑体" w:hint="eastAsia"/>
          <w:lang w:eastAsia="zh-CN"/>
        </w:rPr>
        <w:t>包括转债分级基金</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QDII</w:t>
      </w:r>
      <w:r>
        <w:rPr>
          <w:rFonts w:ascii="黑体" w:eastAsia="黑体" w:hAnsi="黑体" w:cs="黑体" w:hint="eastAsia"/>
          <w:lang w:eastAsia="zh-CN"/>
        </w:rPr>
        <w:t>分级基金等</w:t>
      </w:r>
    </w:p>
    <w:p w14:paraId="73D235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624C7A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【试题解析】：按投资风格的不同，可以将分级基金分为主动投资型分级基金与被动投资</w:t>
      </w:r>
      <w:r>
        <w:rPr>
          <w:rFonts w:ascii="黑体" w:eastAsia="黑体" w:hAnsi="黑体" w:cs="黑体" w:hint="eastAsia"/>
          <w:lang w:eastAsia="zh-CN"/>
        </w:rPr>
        <w:t>(</w:t>
      </w:r>
      <w:r>
        <w:rPr>
          <w:rFonts w:ascii="黑体" w:eastAsia="黑体" w:hAnsi="黑体" w:cs="黑体" w:hint="eastAsia"/>
          <w:lang w:eastAsia="zh-CN"/>
        </w:rPr>
        <w:t>指数化</w:t>
      </w:r>
      <w:r>
        <w:rPr>
          <w:rFonts w:ascii="黑体" w:eastAsia="黑体" w:hAnsi="黑体" w:cs="黑体" w:hint="eastAsia"/>
          <w:lang w:eastAsia="zh-CN"/>
        </w:rPr>
        <w:t>)</w:t>
      </w:r>
      <w:r>
        <w:rPr>
          <w:rFonts w:ascii="黑体" w:eastAsia="黑体" w:hAnsi="黑体" w:cs="黑体" w:hint="eastAsia"/>
          <w:lang w:eastAsia="zh-CN"/>
        </w:rPr>
        <w:t>型分级基金。故</w:t>
      </w:r>
      <w:r>
        <w:rPr>
          <w:rFonts w:ascii="黑体" w:eastAsia="黑体" w:hAnsi="黑体" w:cs="黑体" w:hint="eastAsia"/>
          <w:lang w:eastAsia="zh-CN"/>
        </w:rPr>
        <w:t>C</w:t>
      </w:r>
      <w:r>
        <w:rPr>
          <w:rFonts w:ascii="黑体" w:eastAsia="黑体" w:hAnsi="黑体" w:cs="黑体" w:hint="eastAsia"/>
          <w:lang w:eastAsia="zh-CN"/>
        </w:rPr>
        <w:t>项说法错误</w:t>
      </w:r>
    </w:p>
    <w:p w14:paraId="2AF88FE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是一种既可以在场外市场进行基金份额申购、赎回，又可以在交易所</w:t>
      </w:r>
      <w:r>
        <w:rPr>
          <w:rFonts w:ascii="黑体" w:eastAsia="黑体" w:hAnsi="黑体" w:cs="黑体" w:hint="eastAsia"/>
          <w:lang w:eastAsia="zh-CN"/>
        </w:rPr>
        <w:t>(</w:t>
      </w:r>
      <w:r>
        <w:rPr>
          <w:rFonts w:ascii="黑体" w:eastAsia="黑体" w:hAnsi="黑体" w:cs="黑体" w:hint="eastAsia"/>
          <w:lang w:eastAsia="zh-CN"/>
        </w:rPr>
        <w:t>场内市场</w:t>
      </w:r>
      <w:r>
        <w:rPr>
          <w:rFonts w:ascii="黑体" w:eastAsia="黑体" w:hAnsi="黑体" w:cs="黑体" w:hint="eastAsia"/>
          <w:lang w:eastAsia="zh-CN"/>
        </w:rPr>
        <w:t>)</w:t>
      </w:r>
      <w:r>
        <w:rPr>
          <w:rFonts w:ascii="黑体" w:eastAsia="黑体" w:hAnsi="黑体" w:cs="黑体" w:hint="eastAsia"/>
          <w:lang w:eastAsia="zh-CN"/>
        </w:rPr>
        <w:t>进行基金份额交易和基金份额申购或赎回的开放式基金。</w:t>
      </w:r>
    </w:p>
    <w:p w14:paraId="1CB6670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系列基金</w:t>
      </w:r>
    </w:p>
    <w:p w14:paraId="1C9BD2B6" w14:textId="07E63504"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交易型开放式指数基金</w:t>
      </w:r>
      <w:r w:rsidR="007B733A">
        <w:rPr>
          <w:rFonts w:ascii="黑体" w:eastAsia="黑体" w:hAnsi="黑体" w:cs="黑体" w:hint="eastAsia"/>
          <w:lang w:eastAsia="zh-CN"/>
        </w:rPr>
        <w:t>（</w:t>
      </w:r>
      <w:r w:rsidR="007B733A">
        <w:rPr>
          <w:rFonts w:ascii="黑体" w:eastAsia="黑体" w:hAnsi="黑体" w:cs="黑体"/>
          <w:lang w:eastAsia="zh-CN"/>
        </w:rPr>
        <w:t>ETF</w:t>
      </w:r>
      <w:r w:rsidR="007B733A">
        <w:rPr>
          <w:rFonts w:ascii="黑体" w:eastAsia="黑体" w:hAnsi="黑体" w:cs="黑体" w:hint="eastAsia"/>
          <w:lang w:eastAsia="zh-CN"/>
        </w:rPr>
        <w:t>）</w:t>
      </w:r>
    </w:p>
    <w:p w14:paraId="20EF4F0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避险策略基金</w:t>
      </w:r>
    </w:p>
    <w:p w14:paraId="17B8BC1B" w14:textId="724E82A2"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上市开放式基金</w:t>
      </w:r>
      <w:r w:rsidR="007B733A">
        <w:rPr>
          <w:rFonts w:ascii="黑体" w:eastAsia="黑体" w:hAnsi="黑体" w:cs="黑体" w:hint="eastAsia"/>
          <w:lang w:eastAsia="zh-CN"/>
        </w:rPr>
        <w:t>（L</w:t>
      </w:r>
      <w:r w:rsidR="007B733A">
        <w:rPr>
          <w:rFonts w:ascii="黑体" w:eastAsia="黑体" w:hAnsi="黑体" w:cs="黑体"/>
          <w:lang w:eastAsia="zh-CN"/>
        </w:rPr>
        <w:t>OF</w:t>
      </w:r>
      <w:r w:rsidR="007B733A">
        <w:rPr>
          <w:rFonts w:ascii="黑体" w:eastAsia="黑体" w:hAnsi="黑体" w:cs="黑体" w:hint="eastAsia"/>
          <w:lang w:eastAsia="zh-CN"/>
        </w:rPr>
        <w:t>）</w:t>
      </w:r>
    </w:p>
    <w:p w14:paraId="2515207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368C3C9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w:t>
      </w:r>
      <w:r w:rsidRPr="007B733A">
        <w:rPr>
          <w:rFonts w:ascii="黑体" w:eastAsia="黑体" w:hAnsi="黑体" w:cs="黑体" w:hint="eastAsia"/>
          <w:highlight w:val="yellow"/>
          <w:lang w:eastAsia="zh-CN"/>
        </w:rPr>
        <w:t>上市开放式基金</w:t>
      </w:r>
      <w:r w:rsidRPr="007B733A">
        <w:rPr>
          <w:rFonts w:ascii="黑体" w:eastAsia="黑体" w:hAnsi="黑体" w:cs="黑体" w:hint="eastAsia"/>
          <w:highlight w:val="yellow"/>
          <w:lang w:eastAsia="zh-CN"/>
        </w:rPr>
        <w:t>(LOF)</w:t>
      </w:r>
      <w:r w:rsidRPr="007B733A">
        <w:rPr>
          <w:rFonts w:ascii="黑体" w:eastAsia="黑体" w:hAnsi="黑体" w:cs="黑体" w:hint="eastAsia"/>
          <w:highlight w:val="yellow"/>
          <w:lang w:eastAsia="zh-CN"/>
        </w:rPr>
        <w:t>是一种既可以在场外市场进行基金份额申购、赎回，又可以在交易所</w:t>
      </w:r>
      <w:r w:rsidRPr="007B733A">
        <w:rPr>
          <w:rFonts w:ascii="黑体" w:eastAsia="黑体" w:hAnsi="黑体" w:cs="黑体" w:hint="eastAsia"/>
          <w:highlight w:val="yellow"/>
          <w:lang w:eastAsia="zh-CN"/>
        </w:rPr>
        <w:t>(</w:t>
      </w:r>
      <w:r w:rsidRPr="007B733A">
        <w:rPr>
          <w:rFonts w:ascii="黑体" w:eastAsia="黑体" w:hAnsi="黑体" w:cs="黑体" w:hint="eastAsia"/>
          <w:highlight w:val="yellow"/>
          <w:lang w:eastAsia="zh-CN"/>
        </w:rPr>
        <w:t>场内市场</w:t>
      </w:r>
      <w:r w:rsidRPr="007B733A">
        <w:rPr>
          <w:rFonts w:ascii="黑体" w:eastAsia="黑体" w:hAnsi="黑体" w:cs="黑体" w:hint="eastAsia"/>
          <w:highlight w:val="yellow"/>
          <w:lang w:eastAsia="zh-CN"/>
        </w:rPr>
        <w:t>)</w:t>
      </w:r>
      <w:r w:rsidRPr="007B733A">
        <w:rPr>
          <w:rFonts w:ascii="黑体" w:eastAsia="黑体" w:hAnsi="黑体" w:cs="黑体" w:hint="eastAsia"/>
          <w:highlight w:val="yellow"/>
          <w:lang w:eastAsia="zh-CN"/>
        </w:rPr>
        <w:t>进行基金份额交易和基金份额申购或赎回的开放式基金。</w:t>
      </w:r>
    </w:p>
    <w:p w14:paraId="3CFD5D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w:t>
      </w:r>
      <w:r>
        <w:rPr>
          <w:rFonts w:ascii="黑体" w:eastAsia="黑体" w:hAnsi="黑体" w:cs="黑体" w:hint="eastAsia"/>
          <w:lang w:eastAsia="zh-CN"/>
        </w:rPr>
        <w:t>、在基金公司风险管理中，危机处理应遵循的原则不包括</w:t>
      </w:r>
      <w:r>
        <w:rPr>
          <w:rFonts w:ascii="黑体" w:eastAsia="黑体" w:hAnsi="黑体" w:cs="黑体" w:hint="eastAsia"/>
          <w:lang w:eastAsia="zh-CN"/>
        </w:rPr>
        <w:t>（）</w:t>
      </w:r>
      <w:r>
        <w:rPr>
          <w:rFonts w:ascii="黑体" w:eastAsia="黑体" w:hAnsi="黑体" w:cs="黑体" w:hint="eastAsia"/>
          <w:lang w:eastAsia="zh-CN"/>
        </w:rPr>
        <w:t>。</w:t>
      </w:r>
    </w:p>
    <w:p w14:paraId="5EEF25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完备性原则</w:t>
      </w:r>
    </w:p>
    <w:p w14:paraId="177AF9B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预防为主的原则</w:t>
      </w:r>
    </w:p>
    <w:p w14:paraId="63CAFA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及时报告原则</w:t>
      </w:r>
    </w:p>
    <w:p w14:paraId="7CE9DE1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相互隔离原则</w:t>
      </w:r>
    </w:p>
    <w:p w14:paraId="32F9CAA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33DF7E3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【试题解析】：在基金公司风险管理中，</w:t>
      </w:r>
      <w:r w:rsidRPr="007B733A">
        <w:rPr>
          <w:rFonts w:ascii="黑体" w:eastAsia="黑体" w:hAnsi="黑体" w:cs="黑体" w:hint="eastAsia"/>
          <w:highlight w:val="yellow"/>
          <w:lang w:eastAsia="zh-CN"/>
        </w:rPr>
        <w:t>危机处理应遵循的原则包括：完备性原则、预防为主的原则、及时报告原则、优先性原则、相互协作原则、尽快恢复原则、积极沟通原则、认真总结的原则。</w:t>
      </w:r>
    </w:p>
    <w:p w14:paraId="1FF919B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不是封闭式基金和开放式基金的主要表现。</w:t>
      </w:r>
    </w:p>
    <w:p w14:paraId="325D05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期限不同</w:t>
      </w:r>
    </w:p>
    <w:p w14:paraId="35A544E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份额限制不同</w:t>
      </w:r>
    </w:p>
    <w:p w14:paraId="2050BE10"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交割月份不同</w:t>
      </w:r>
      <w:proofErr w:type="spellEnd"/>
    </w:p>
    <w:p w14:paraId="5498407B"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价格形成方式不同</w:t>
      </w:r>
      <w:proofErr w:type="spellEnd"/>
    </w:p>
    <w:p w14:paraId="6FEE924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2E6DFD8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【试题解析】：封闭式基金和开放式基金的不同包括：</w:t>
      </w:r>
      <w:r w:rsidRPr="00F75917">
        <w:rPr>
          <w:rFonts w:ascii="黑体" w:eastAsia="黑体" w:hAnsi="黑体" w:cs="黑体" w:hint="eastAsia"/>
          <w:highlight w:val="yellow"/>
          <w:lang w:eastAsia="zh-CN"/>
        </w:rPr>
        <w:t>期限不同、份额限制不同、交易场所不同、价格形成方式不同以及激励约束机制与投资策略不同</w:t>
      </w:r>
      <w:r>
        <w:rPr>
          <w:rFonts w:ascii="黑体" w:eastAsia="黑体" w:hAnsi="黑体" w:cs="黑体" w:hint="eastAsia"/>
          <w:lang w:eastAsia="zh-CN"/>
        </w:rPr>
        <w:t>。</w:t>
      </w:r>
    </w:p>
    <w:p w14:paraId="4CA471D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w:t>
      </w:r>
      <w:r>
        <w:rPr>
          <w:rFonts w:ascii="黑体" w:eastAsia="黑体" w:hAnsi="黑体" w:cs="黑体" w:hint="eastAsia"/>
          <w:lang w:eastAsia="zh-CN"/>
        </w:rPr>
        <w:t>、下列不属于基金合同当事人的是</w:t>
      </w:r>
      <w:r>
        <w:rPr>
          <w:rFonts w:ascii="黑体" w:eastAsia="黑体" w:hAnsi="黑体" w:cs="黑体" w:hint="eastAsia"/>
          <w:lang w:eastAsia="zh-CN"/>
        </w:rPr>
        <w:t>（）</w:t>
      </w:r>
      <w:r>
        <w:rPr>
          <w:rFonts w:ascii="黑体" w:eastAsia="黑体" w:hAnsi="黑体" w:cs="黑体" w:hint="eastAsia"/>
          <w:lang w:eastAsia="zh-CN"/>
        </w:rPr>
        <w:t>。</w:t>
      </w:r>
    </w:p>
    <w:p w14:paraId="5BB1509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基金份额持有人</w:t>
      </w:r>
    </w:p>
    <w:p w14:paraId="3C6D0C1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w:t>
      </w:r>
      <w:r>
        <w:rPr>
          <w:rFonts w:ascii="黑体" w:eastAsia="黑体" w:hAnsi="黑体" w:cs="黑体" w:hint="eastAsia"/>
          <w:lang w:eastAsia="zh-CN"/>
        </w:rPr>
        <w:t>基金管理人</w:t>
      </w:r>
    </w:p>
    <w:p w14:paraId="3E74BAE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基金销售机构</w:t>
      </w:r>
    </w:p>
    <w:p w14:paraId="1F32D16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基金托管人</w:t>
      </w:r>
    </w:p>
    <w:p w14:paraId="7B988A6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2602626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【试题解析】：我国的证券投资基金依据基金合同设立，基金份额持有人、基金管理人与基金托管人是基金合同的当事人，简称基金当事人。</w:t>
      </w:r>
    </w:p>
    <w:p w14:paraId="448663F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w:t>
      </w:r>
      <w:r>
        <w:rPr>
          <w:rFonts w:ascii="黑体" w:eastAsia="黑体" w:hAnsi="黑体" w:cs="黑体" w:hint="eastAsia"/>
          <w:lang w:eastAsia="zh-CN"/>
        </w:rPr>
        <w:t>、境内个人基金投资者开立基金账户出示的有效身份证件原件不包括</w:t>
      </w:r>
      <w:r>
        <w:rPr>
          <w:rFonts w:ascii="黑体" w:eastAsia="黑体" w:hAnsi="黑体" w:cs="黑体" w:hint="eastAsia"/>
          <w:lang w:eastAsia="zh-CN"/>
        </w:rPr>
        <w:t>（）</w:t>
      </w:r>
      <w:r>
        <w:rPr>
          <w:rFonts w:ascii="黑体" w:eastAsia="黑体" w:hAnsi="黑体" w:cs="黑体" w:hint="eastAsia"/>
          <w:lang w:eastAsia="zh-CN"/>
        </w:rPr>
        <w:t>。</w:t>
      </w:r>
    </w:p>
    <w:p w14:paraId="72B68E7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驾驶证</w:t>
      </w:r>
    </w:p>
    <w:p w14:paraId="608455D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护照</w:t>
      </w:r>
    </w:p>
    <w:p w14:paraId="4FDE785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军官证</w:t>
      </w:r>
    </w:p>
    <w:p w14:paraId="24BA996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警官证</w:t>
      </w:r>
    </w:p>
    <w:p w14:paraId="259B3C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4F63B3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【试题解析】：境内个人基金投资者开立基金账户时需要出示有效身份证件原件，提供复印件（身份证件包括中华人民共和国居民身份证、中华人民共和国护照、</w:t>
      </w:r>
      <w:r w:rsidRPr="00F75917">
        <w:rPr>
          <w:rFonts w:ascii="黑体" w:eastAsia="黑体" w:hAnsi="黑体" w:cs="黑体" w:hint="eastAsia"/>
          <w:highlight w:val="yellow"/>
          <w:lang w:eastAsia="zh-CN"/>
        </w:rPr>
        <w:t>军官证、士兵证、文职证及警官证</w:t>
      </w:r>
      <w:r>
        <w:rPr>
          <w:rFonts w:ascii="黑体" w:eastAsia="黑体" w:hAnsi="黑体" w:cs="黑体" w:hint="eastAsia"/>
          <w:lang w:eastAsia="zh-CN"/>
        </w:rPr>
        <w:t>）</w:t>
      </w:r>
    </w:p>
    <w:p w14:paraId="3EE0811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是指公司内部控制的核心是风险控制，制定内部控制制度要以审慎经营、防范和化解风险为出发点。</w:t>
      </w:r>
    </w:p>
    <w:p w14:paraId="45C4CC8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合法、合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w:t>
      </w:r>
    </w:p>
    <w:p w14:paraId="29E674D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全面性</w:t>
      </w:r>
    </w:p>
    <w:p w14:paraId="091C246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审慎性</w:t>
      </w:r>
    </w:p>
    <w:p w14:paraId="17AC8EC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D.</w:t>
      </w:r>
      <w:r>
        <w:rPr>
          <w:rFonts w:ascii="黑体" w:eastAsia="黑体" w:hAnsi="黑体" w:cs="黑体" w:hint="eastAsia"/>
          <w:lang w:eastAsia="zh-CN"/>
        </w:rPr>
        <w:t>适时性</w:t>
      </w:r>
    </w:p>
    <w:p w14:paraId="51ED631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1AFE850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【试题解析】：审慎性原则要求公司内部控制的核心是风险控制，制定内部控制制度要以审慎经营，防范和化解风险为出发点。</w:t>
      </w:r>
    </w:p>
    <w:p w14:paraId="31422F1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10</w:t>
      </w:r>
      <w:r>
        <w:rPr>
          <w:rFonts w:ascii="黑体" w:eastAsia="黑体" w:hAnsi="黑体" w:cs="黑体" w:hint="eastAsia"/>
          <w:lang w:eastAsia="zh-CN"/>
        </w:rPr>
        <w:t>、下列不属于危机处理应遵循的原则是</w:t>
      </w:r>
      <w:r>
        <w:rPr>
          <w:rFonts w:ascii="黑体" w:eastAsia="黑体" w:hAnsi="黑体" w:cs="黑体" w:hint="eastAsia"/>
          <w:lang w:eastAsia="zh-CN"/>
        </w:rPr>
        <w:t>（）</w:t>
      </w:r>
      <w:r>
        <w:rPr>
          <w:rFonts w:ascii="黑体" w:eastAsia="黑体" w:hAnsi="黑体" w:cs="黑体" w:hint="eastAsia"/>
          <w:lang w:eastAsia="zh-CN"/>
        </w:rPr>
        <w:t>。</w:t>
      </w:r>
    </w:p>
    <w:p w14:paraId="53146AA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完</w:t>
      </w:r>
      <w:r>
        <w:rPr>
          <w:rFonts w:ascii="黑体" w:eastAsia="黑体" w:hAnsi="黑体" w:cs="黑体" w:hint="eastAsia"/>
          <w:lang w:eastAsia="zh-CN"/>
        </w:rPr>
        <w:t>备性原则</w:t>
      </w:r>
    </w:p>
    <w:p w14:paraId="514B78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时效性原则</w:t>
      </w:r>
    </w:p>
    <w:p w14:paraId="576C1A0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及时报告原则</w:t>
      </w:r>
    </w:p>
    <w:p w14:paraId="692E91B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优先性原则</w:t>
      </w:r>
    </w:p>
    <w:p w14:paraId="3A9A301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4834BFA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【试题解析】：总结起来，危机处理应遵循的原则是：</w:t>
      </w:r>
      <w:r>
        <w:rPr>
          <w:rFonts w:ascii="黑体" w:eastAsia="黑体" w:hAnsi="黑体" w:cs="黑体" w:hint="eastAsia"/>
          <w:lang w:eastAsia="zh-CN"/>
        </w:rPr>
        <w:t>(1)</w:t>
      </w:r>
      <w:r>
        <w:rPr>
          <w:rFonts w:ascii="黑体" w:eastAsia="黑体" w:hAnsi="黑体" w:cs="黑体" w:hint="eastAsia"/>
          <w:lang w:eastAsia="zh-CN"/>
        </w:rPr>
        <w:t>完备性原则。</w:t>
      </w:r>
      <w:r>
        <w:rPr>
          <w:rFonts w:ascii="黑体" w:eastAsia="黑体" w:hAnsi="黑体" w:cs="黑体" w:hint="eastAsia"/>
          <w:lang w:eastAsia="zh-CN"/>
        </w:rPr>
        <w:t>(2)</w:t>
      </w:r>
      <w:r>
        <w:rPr>
          <w:rFonts w:ascii="黑体" w:eastAsia="黑体" w:hAnsi="黑体" w:cs="黑体" w:hint="eastAsia"/>
          <w:lang w:eastAsia="zh-CN"/>
        </w:rPr>
        <w:t>预防为主的原则。</w:t>
      </w:r>
      <w:r>
        <w:rPr>
          <w:rFonts w:ascii="黑体" w:eastAsia="黑体" w:hAnsi="黑体" w:cs="黑体" w:hint="eastAsia"/>
          <w:lang w:eastAsia="zh-CN"/>
        </w:rPr>
        <w:t>(3)</w:t>
      </w:r>
      <w:r>
        <w:rPr>
          <w:rFonts w:ascii="黑体" w:eastAsia="黑体" w:hAnsi="黑体" w:cs="黑体" w:hint="eastAsia"/>
          <w:lang w:eastAsia="zh-CN"/>
        </w:rPr>
        <w:t>及时报告原则。</w:t>
      </w:r>
      <w:r>
        <w:rPr>
          <w:rFonts w:ascii="黑体" w:eastAsia="黑体" w:hAnsi="黑体" w:cs="黑体" w:hint="eastAsia"/>
          <w:lang w:eastAsia="zh-CN"/>
        </w:rPr>
        <w:t>(4)</w:t>
      </w:r>
      <w:r>
        <w:rPr>
          <w:rFonts w:ascii="黑体" w:eastAsia="黑体" w:hAnsi="黑体" w:cs="黑体" w:hint="eastAsia"/>
          <w:lang w:eastAsia="zh-CN"/>
        </w:rPr>
        <w:t>优先性原则。</w:t>
      </w:r>
      <w:r>
        <w:rPr>
          <w:rFonts w:ascii="黑体" w:eastAsia="黑体" w:hAnsi="黑体" w:cs="黑体" w:hint="eastAsia"/>
          <w:lang w:eastAsia="zh-CN"/>
        </w:rPr>
        <w:t>(5)</w:t>
      </w:r>
      <w:r>
        <w:rPr>
          <w:rFonts w:ascii="黑体" w:eastAsia="黑体" w:hAnsi="黑体" w:cs="黑体" w:hint="eastAsia"/>
          <w:lang w:eastAsia="zh-CN"/>
        </w:rPr>
        <w:t>相互协作原则。</w:t>
      </w:r>
      <w:r>
        <w:rPr>
          <w:rFonts w:ascii="黑体" w:eastAsia="黑体" w:hAnsi="黑体" w:cs="黑体" w:hint="eastAsia"/>
          <w:lang w:eastAsia="zh-CN"/>
        </w:rPr>
        <w:t>(6)</w:t>
      </w:r>
      <w:r>
        <w:rPr>
          <w:rFonts w:ascii="黑体" w:eastAsia="黑体" w:hAnsi="黑体" w:cs="黑体" w:hint="eastAsia"/>
          <w:lang w:eastAsia="zh-CN"/>
        </w:rPr>
        <w:t>尽快恢复原则。</w:t>
      </w:r>
      <w:r>
        <w:rPr>
          <w:rFonts w:ascii="黑体" w:eastAsia="黑体" w:hAnsi="黑体" w:cs="黑体" w:hint="eastAsia"/>
          <w:lang w:eastAsia="zh-CN"/>
        </w:rPr>
        <w:t>(7)</w:t>
      </w:r>
      <w:r>
        <w:rPr>
          <w:rFonts w:ascii="黑体" w:eastAsia="黑体" w:hAnsi="黑体" w:cs="黑体" w:hint="eastAsia"/>
          <w:lang w:eastAsia="zh-CN"/>
        </w:rPr>
        <w:t>积极沟通原则。</w:t>
      </w:r>
      <w:r>
        <w:rPr>
          <w:rFonts w:ascii="黑体" w:eastAsia="黑体" w:hAnsi="黑体" w:cs="黑体" w:hint="eastAsia"/>
          <w:lang w:eastAsia="zh-CN"/>
        </w:rPr>
        <w:t>(8)</w:t>
      </w:r>
      <w:r>
        <w:rPr>
          <w:rFonts w:ascii="黑体" w:eastAsia="黑体" w:hAnsi="黑体" w:cs="黑体" w:hint="eastAsia"/>
          <w:lang w:eastAsia="zh-CN"/>
        </w:rPr>
        <w:t>认真总结的原则。</w:t>
      </w:r>
    </w:p>
    <w:p w14:paraId="2AA9FBF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11</w:t>
      </w:r>
      <w:r>
        <w:rPr>
          <w:rFonts w:ascii="黑体" w:eastAsia="黑体" w:hAnsi="黑体" w:cs="黑体" w:hint="eastAsia"/>
          <w:lang w:eastAsia="zh-CN"/>
        </w:rPr>
        <w:t>、在对基金投资人的风险承受能力进行调查和评价前，基金销售机构应当开展下列工作</w:t>
      </w:r>
      <w:r>
        <w:rPr>
          <w:rFonts w:ascii="黑体" w:eastAsia="黑体" w:hAnsi="黑体" w:cs="黑体" w:hint="eastAsia"/>
          <w:lang w:eastAsia="zh-CN"/>
        </w:rPr>
        <w:t>（）</w:t>
      </w:r>
      <w:r>
        <w:rPr>
          <w:rFonts w:ascii="黑体" w:eastAsia="黑体" w:hAnsi="黑体" w:cs="黑体" w:hint="eastAsia"/>
          <w:lang w:eastAsia="zh-CN"/>
        </w:rPr>
        <w:t>。</w:t>
      </w:r>
    </w:p>
    <w:p w14:paraId="5634A57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执行基金投资人身份认证程序Ⅱ</w:t>
      </w:r>
      <w:r>
        <w:rPr>
          <w:rFonts w:ascii="黑体" w:eastAsia="黑体" w:hAnsi="黑体" w:cs="黑体" w:hint="eastAsia"/>
          <w:lang w:eastAsia="zh-CN"/>
        </w:rPr>
        <w:t>.</w:t>
      </w:r>
      <w:r>
        <w:rPr>
          <w:rFonts w:ascii="黑体" w:eastAsia="黑体" w:hAnsi="黑体" w:cs="黑体" w:hint="eastAsia"/>
          <w:lang w:eastAsia="zh-CN"/>
        </w:rPr>
        <w:t>核查基金投资人的投资资格</w:t>
      </w:r>
    </w:p>
    <w:p w14:paraId="3CBDE6C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切实履行反洗钱等法律义务</w:t>
      </w:r>
    </w:p>
    <w:p w14:paraId="5C4A705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评价基金投资人的风险承受能力</w:t>
      </w:r>
    </w:p>
    <w:p w14:paraId="2EC4F84D"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w:t>
      </w:r>
      <w:proofErr w:type="spellEnd"/>
    </w:p>
    <w:p w14:paraId="55766003"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Ⅰ、Ⅱ</w:t>
      </w:r>
      <w:proofErr w:type="spellEnd"/>
    </w:p>
    <w:p w14:paraId="394E3C37"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Ⅰ、Ⅱ、Ⅲ</w:t>
      </w:r>
      <w:proofErr w:type="spellEnd"/>
    </w:p>
    <w:p w14:paraId="0968DDC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Ⅰ、Ⅱ、Ⅲ、Ⅳ</w:t>
      </w:r>
    </w:p>
    <w:p w14:paraId="170FEB7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58C7F5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【试题解析】：在对基金投资人的风险承受能力进行调查和评价前，基金销售机构应当执行基金投资人身份认证程序，核查基金投资人的投资资格，切实履行反洗钱等法律义务。</w:t>
      </w:r>
    </w:p>
    <w:p w14:paraId="0A265E4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12</w:t>
      </w:r>
      <w:r>
        <w:rPr>
          <w:rFonts w:ascii="黑体" w:eastAsia="黑体" w:hAnsi="黑体" w:cs="黑体" w:hint="eastAsia"/>
          <w:lang w:eastAsia="zh-CN"/>
        </w:rPr>
        <w:t>、基金管理公司变更持有</w:t>
      </w:r>
      <w:r>
        <w:rPr>
          <w:rFonts w:ascii="黑体" w:eastAsia="黑体" w:hAnsi="黑体" w:cs="黑体" w:hint="eastAsia"/>
          <w:lang w:eastAsia="zh-CN"/>
        </w:rPr>
        <w:t>5%</w:t>
      </w:r>
      <w:r>
        <w:rPr>
          <w:rFonts w:ascii="黑体" w:eastAsia="黑体" w:hAnsi="黑体" w:cs="黑体" w:hint="eastAsia"/>
          <w:lang w:eastAsia="zh-CN"/>
        </w:rPr>
        <w:t>以上股权的股东，变更公司的实际控制人，或者变更其他重大事项，应当报经</w:t>
      </w:r>
      <w:r>
        <w:rPr>
          <w:rFonts w:ascii="黑体" w:eastAsia="黑体" w:hAnsi="黑体" w:cs="黑体" w:hint="eastAsia"/>
          <w:lang w:eastAsia="zh-CN"/>
        </w:rPr>
        <w:t>（）</w:t>
      </w:r>
      <w:r>
        <w:rPr>
          <w:rFonts w:ascii="黑体" w:eastAsia="黑体" w:hAnsi="黑体" w:cs="黑体" w:hint="eastAsia"/>
          <w:lang w:eastAsia="zh-CN"/>
        </w:rPr>
        <w:t>批准。</w:t>
      </w:r>
    </w:p>
    <w:p w14:paraId="7CFBA6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证券交易所</w:t>
      </w:r>
    </w:p>
    <w:p w14:paraId="5D25EA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银行业协会</w:t>
      </w:r>
    </w:p>
    <w:p w14:paraId="12B51B5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基金业协会</w:t>
      </w:r>
    </w:p>
    <w:p w14:paraId="48E5D4B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国务院证券监督管理机构</w:t>
      </w:r>
    </w:p>
    <w:p w14:paraId="341EEFC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21E0DFE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基金管理公司变更持有</w:t>
      </w:r>
      <w:r w:rsidRPr="00F75917">
        <w:rPr>
          <w:rFonts w:ascii="黑体" w:eastAsia="黑体" w:hAnsi="黑体" w:cs="黑体" w:hint="eastAsia"/>
          <w:highlight w:val="yellow"/>
          <w:lang w:eastAsia="zh-CN"/>
        </w:rPr>
        <w:t>5%</w:t>
      </w:r>
      <w:r w:rsidRPr="00F75917">
        <w:rPr>
          <w:rFonts w:ascii="黑体" w:eastAsia="黑体" w:hAnsi="黑体" w:cs="黑体" w:hint="eastAsia"/>
          <w:highlight w:val="yellow"/>
          <w:lang w:eastAsia="zh-CN"/>
        </w:rPr>
        <w:t>以上股权的股东，变更公司的实际控制人，或者变更其他重大事项，应当报经国务院证券监督管理机构批准。</w:t>
      </w:r>
    </w:p>
    <w:p w14:paraId="4AFABFD7" w14:textId="77777777" w:rsidR="0082448A" w:rsidRDefault="00054E88">
      <w:pPr>
        <w:numPr>
          <w:ilvl w:val="0"/>
          <w:numId w:val="1"/>
        </w:numPr>
        <w:spacing w:line="360" w:lineRule="auto"/>
        <w:rPr>
          <w:rFonts w:ascii="黑体" w:eastAsia="黑体" w:hAnsi="黑体" w:cs="黑体"/>
          <w:lang w:eastAsia="zh-CN"/>
        </w:rPr>
      </w:pPr>
      <w:r>
        <w:rPr>
          <w:rFonts w:ascii="黑体" w:eastAsia="黑体" w:hAnsi="黑体" w:cs="黑体" w:hint="eastAsia"/>
          <w:lang w:eastAsia="zh-CN"/>
        </w:rPr>
        <w:t>在我国，传统的资产管理行业主要是</w:t>
      </w:r>
      <w:r>
        <w:rPr>
          <w:rFonts w:ascii="黑体" w:eastAsia="黑体" w:hAnsi="黑体" w:cs="黑体" w:hint="eastAsia"/>
          <w:lang w:eastAsia="zh-CN"/>
        </w:rPr>
        <w:t>（）</w:t>
      </w:r>
      <w:r>
        <w:rPr>
          <w:rFonts w:ascii="黑体" w:eastAsia="黑体" w:hAnsi="黑体" w:cs="黑体" w:hint="eastAsia"/>
          <w:lang w:eastAsia="zh-CN"/>
        </w:rPr>
        <w:t>。</w:t>
      </w:r>
    </w:p>
    <w:p w14:paraId="109E7EEA" w14:textId="77777777" w:rsidR="0082448A" w:rsidRDefault="00054E88">
      <w:pPr>
        <w:numPr>
          <w:ilvl w:val="0"/>
          <w:numId w:val="1"/>
        </w:numPr>
        <w:spacing w:line="360" w:lineRule="auto"/>
        <w:rPr>
          <w:rFonts w:ascii="黑体" w:eastAsia="黑体" w:hAnsi="黑体" w:cs="黑体"/>
        </w:rPr>
      </w:pPr>
      <w:proofErr w:type="spellStart"/>
      <w:proofErr w:type="gramStart"/>
      <w:r>
        <w:rPr>
          <w:rFonts w:ascii="黑体" w:eastAsia="黑体" w:hAnsi="黑体" w:cs="黑体" w:hint="eastAsia"/>
        </w:rPr>
        <w:t>Ⅰ</w:t>
      </w:r>
      <w:r>
        <w:rPr>
          <w:rFonts w:ascii="黑体" w:eastAsia="黑体" w:hAnsi="黑体" w:cs="黑体" w:hint="eastAsia"/>
        </w:rPr>
        <w:t>.</w:t>
      </w:r>
      <w:r>
        <w:rPr>
          <w:rFonts w:ascii="黑体" w:eastAsia="黑体" w:hAnsi="黑体" w:cs="黑体" w:hint="eastAsia"/>
        </w:rPr>
        <w:t>基金管理公司</w:t>
      </w:r>
      <w:proofErr w:type="spellEnd"/>
      <w:proofErr w:type="gramEnd"/>
    </w:p>
    <w:p w14:paraId="2B778863" w14:textId="77777777" w:rsidR="0082448A" w:rsidRDefault="00054E88">
      <w:pPr>
        <w:spacing w:line="360" w:lineRule="auto"/>
        <w:rPr>
          <w:rFonts w:ascii="黑体" w:eastAsia="黑体" w:hAnsi="黑体" w:cs="黑体"/>
        </w:rPr>
      </w:pPr>
      <w:proofErr w:type="spellStart"/>
      <w:proofErr w:type="gramStart"/>
      <w:r>
        <w:rPr>
          <w:rFonts w:ascii="黑体" w:eastAsia="黑体" w:hAnsi="黑体" w:cs="黑体" w:hint="eastAsia"/>
        </w:rPr>
        <w:t>Ⅱ</w:t>
      </w:r>
      <w:r>
        <w:rPr>
          <w:rFonts w:ascii="黑体" w:eastAsia="黑体" w:hAnsi="黑体" w:cs="黑体" w:hint="eastAsia"/>
        </w:rPr>
        <w:t>.</w:t>
      </w:r>
      <w:r>
        <w:rPr>
          <w:rFonts w:ascii="黑体" w:eastAsia="黑体" w:hAnsi="黑体" w:cs="黑体" w:hint="eastAsia"/>
        </w:rPr>
        <w:t>商业银行</w:t>
      </w:r>
      <w:proofErr w:type="spellEnd"/>
      <w:proofErr w:type="gramEnd"/>
    </w:p>
    <w:p w14:paraId="23B80C58" w14:textId="77777777" w:rsidR="0082448A" w:rsidRDefault="00054E88">
      <w:pPr>
        <w:spacing w:line="360" w:lineRule="auto"/>
        <w:rPr>
          <w:rFonts w:ascii="黑体" w:eastAsia="黑体" w:hAnsi="黑体" w:cs="黑体"/>
        </w:rPr>
      </w:pPr>
      <w:proofErr w:type="spellStart"/>
      <w:proofErr w:type="gramStart"/>
      <w:r>
        <w:rPr>
          <w:rFonts w:ascii="黑体" w:eastAsia="黑体" w:hAnsi="黑体" w:cs="黑体" w:hint="eastAsia"/>
        </w:rPr>
        <w:t>Ⅲ</w:t>
      </w:r>
      <w:r>
        <w:rPr>
          <w:rFonts w:ascii="黑体" w:eastAsia="黑体" w:hAnsi="黑体" w:cs="黑体" w:hint="eastAsia"/>
        </w:rPr>
        <w:t>.</w:t>
      </w:r>
      <w:r>
        <w:rPr>
          <w:rFonts w:ascii="黑体" w:eastAsia="黑体" w:hAnsi="黑体" w:cs="黑体" w:hint="eastAsia"/>
        </w:rPr>
        <w:t>信托公司</w:t>
      </w:r>
      <w:proofErr w:type="spellEnd"/>
      <w:proofErr w:type="gramEnd"/>
    </w:p>
    <w:p w14:paraId="66BE3F4B" w14:textId="77777777" w:rsidR="0082448A" w:rsidRDefault="00054E88">
      <w:pPr>
        <w:spacing w:line="360" w:lineRule="auto"/>
        <w:rPr>
          <w:rFonts w:ascii="黑体" w:eastAsia="黑体" w:hAnsi="黑体" w:cs="黑体"/>
        </w:rPr>
      </w:pPr>
      <w:proofErr w:type="spellStart"/>
      <w:proofErr w:type="gramStart"/>
      <w:r>
        <w:rPr>
          <w:rFonts w:ascii="黑体" w:eastAsia="黑体" w:hAnsi="黑体" w:cs="黑体" w:hint="eastAsia"/>
        </w:rPr>
        <w:t>Ⅳ</w:t>
      </w:r>
      <w:r>
        <w:rPr>
          <w:rFonts w:ascii="黑体" w:eastAsia="黑体" w:hAnsi="黑体" w:cs="黑体" w:hint="eastAsia"/>
        </w:rPr>
        <w:t>.</w:t>
      </w:r>
      <w:r>
        <w:rPr>
          <w:rFonts w:ascii="黑体" w:eastAsia="黑体" w:hAnsi="黑体" w:cs="黑体" w:hint="eastAsia"/>
        </w:rPr>
        <w:t>证券公司</w:t>
      </w:r>
      <w:proofErr w:type="spellEnd"/>
      <w:proofErr w:type="gramEnd"/>
    </w:p>
    <w:p w14:paraId="2B8F0A59"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Ⅰ、Ⅲ</w:t>
      </w:r>
      <w:proofErr w:type="spellEnd"/>
    </w:p>
    <w:p w14:paraId="298CB39A"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Ⅱ、Ⅲ、Ⅳ</w:t>
      </w:r>
      <w:proofErr w:type="spellEnd"/>
    </w:p>
    <w:p w14:paraId="15D2E86D"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lastRenderedPageBreak/>
        <w:t>C.</w:t>
      </w:r>
      <w:r>
        <w:rPr>
          <w:rFonts w:ascii="黑体" w:eastAsia="黑体" w:hAnsi="黑体" w:cs="黑体" w:hint="eastAsia"/>
        </w:rPr>
        <w:t>Ⅰ、Ⅲ、Ⅳ</w:t>
      </w:r>
      <w:proofErr w:type="spellEnd"/>
    </w:p>
    <w:p w14:paraId="572B4A07"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w:t>
      </w:r>
      <w:proofErr w:type="spellEnd"/>
    </w:p>
    <w:p w14:paraId="32C3E3BB" w14:textId="77777777" w:rsidR="0082448A" w:rsidRDefault="00054E88">
      <w:pPr>
        <w:spacing w:line="360" w:lineRule="auto"/>
        <w:rPr>
          <w:rFonts w:ascii="黑体" w:eastAsia="黑体" w:hAnsi="黑体" w:cs="黑体"/>
          <w:lang w:eastAsia="zh-CN"/>
        </w:rPr>
      </w:pP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A</w:t>
      </w:r>
    </w:p>
    <w:p w14:paraId="20045A1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【试题解析】：在我国，</w:t>
      </w:r>
      <w:r w:rsidRPr="00F75917">
        <w:rPr>
          <w:rFonts w:ascii="黑体" w:eastAsia="黑体" w:hAnsi="黑体" w:cs="黑体" w:hint="eastAsia"/>
          <w:highlight w:val="yellow"/>
          <w:lang w:eastAsia="zh-CN"/>
        </w:rPr>
        <w:t>传统的资产管理行业主要是基金管理公司和信托公司</w:t>
      </w:r>
      <w:r>
        <w:rPr>
          <w:rFonts w:ascii="黑体" w:eastAsia="黑体" w:hAnsi="黑体" w:cs="黑体" w:hint="eastAsia"/>
          <w:lang w:eastAsia="zh-CN"/>
        </w:rPr>
        <w:t>。它们作为资产管理机构提供</w:t>
      </w:r>
      <w:proofErr w:type="gramStart"/>
      <w:r>
        <w:rPr>
          <w:rFonts w:ascii="黑体" w:eastAsia="黑体" w:hAnsi="黑体" w:cs="黑体" w:hint="eastAsia"/>
          <w:lang w:eastAsia="zh-CN"/>
        </w:rPr>
        <w:t>各类公募</w:t>
      </w:r>
      <w:proofErr w:type="gramEnd"/>
      <w:r>
        <w:rPr>
          <w:rFonts w:ascii="黑体" w:eastAsia="黑体" w:hAnsi="黑体" w:cs="黑体" w:hint="eastAsia"/>
          <w:lang w:eastAsia="zh-CN"/>
        </w:rPr>
        <w:t>基金、私募基金、信托计划等资产管理产品。</w:t>
      </w:r>
    </w:p>
    <w:p w14:paraId="620035E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14</w:t>
      </w:r>
      <w:r>
        <w:rPr>
          <w:rFonts w:ascii="黑体" w:eastAsia="黑体" w:hAnsi="黑体" w:cs="黑体" w:hint="eastAsia"/>
          <w:lang w:eastAsia="zh-CN"/>
        </w:rPr>
        <w:t>、基金业协会应当在私募基金登记材料齐备后的</w:t>
      </w:r>
      <w:r>
        <w:rPr>
          <w:rFonts w:ascii="黑体" w:eastAsia="黑体" w:hAnsi="黑体" w:cs="黑体" w:hint="eastAsia"/>
          <w:lang w:eastAsia="zh-CN"/>
        </w:rPr>
        <w:t>（）</w:t>
      </w:r>
      <w:proofErr w:type="gramStart"/>
      <w:r>
        <w:rPr>
          <w:rFonts w:ascii="黑体" w:eastAsia="黑体" w:hAnsi="黑体" w:cs="黑体" w:hint="eastAsia"/>
          <w:lang w:eastAsia="zh-CN"/>
        </w:rPr>
        <w:t>个</w:t>
      </w:r>
      <w:proofErr w:type="gramEnd"/>
      <w:r>
        <w:rPr>
          <w:rFonts w:ascii="黑体" w:eastAsia="黑体" w:hAnsi="黑体" w:cs="黑体" w:hint="eastAsia"/>
          <w:lang w:eastAsia="zh-CN"/>
        </w:rPr>
        <w:t>工作日</w:t>
      </w:r>
      <w:r>
        <w:rPr>
          <w:rFonts w:ascii="黑体" w:eastAsia="黑体" w:hAnsi="黑体" w:cs="黑体" w:hint="eastAsia"/>
          <w:lang w:eastAsia="zh-CN"/>
        </w:rPr>
        <w:t>内，通过网站公告私募基金名单及其基本情况的方式，为私募基金办结登记手续。</w:t>
      </w:r>
    </w:p>
    <w:p w14:paraId="3D210F8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A.30</w:t>
      </w:r>
    </w:p>
    <w:p w14:paraId="385D666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B.20</w:t>
      </w:r>
    </w:p>
    <w:p w14:paraId="722DD49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C.15</w:t>
      </w:r>
    </w:p>
    <w:p w14:paraId="634132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D.10</w:t>
      </w:r>
    </w:p>
    <w:p w14:paraId="572F688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50C9DE0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【试题解析】：基金业协会应当在私募基金登记材料齐备后的</w:t>
      </w:r>
      <w:r>
        <w:rPr>
          <w:rFonts w:ascii="黑体" w:eastAsia="黑体" w:hAnsi="黑体" w:cs="黑体" w:hint="eastAsia"/>
          <w:lang w:eastAsia="zh-CN"/>
        </w:rPr>
        <w:t>20</w:t>
      </w:r>
      <w:r>
        <w:rPr>
          <w:rFonts w:ascii="黑体" w:eastAsia="黑体" w:hAnsi="黑体" w:cs="黑体" w:hint="eastAsia"/>
          <w:lang w:eastAsia="zh-CN"/>
        </w:rPr>
        <w:t>个工作日内，通过网站公告私募基金名单及其基本情况的方式，为私募基金办结登记手续。</w:t>
      </w:r>
    </w:p>
    <w:p w14:paraId="6B56B9D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15</w:t>
      </w:r>
      <w:r>
        <w:rPr>
          <w:rFonts w:ascii="黑体" w:eastAsia="黑体" w:hAnsi="黑体" w:cs="黑体" w:hint="eastAsia"/>
          <w:lang w:eastAsia="zh-CN"/>
        </w:rPr>
        <w:t>、下列关于基金监管体制的叙述中，错误的是</w:t>
      </w:r>
      <w:r>
        <w:rPr>
          <w:rFonts w:ascii="黑体" w:eastAsia="黑体" w:hAnsi="黑体" w:cs="黑体" w:hint="eastAsia"/>
          <w:lang w:eastAsia="zh-CN"/>
        </w:rPr>
        <w:t>（）</w:t>
      </w:r>
      <w:r>
        <w:rPr>
          <w:rFonts w:ascii="黑体" w:eastAsia="黑体" w:hAnsi="黑体" w:cs="黑体" w:hint="eastAsia"/>
          <w:lang w:eastAsia="zh-CN"/>
        </w:rPr>
        <w:t>。</w:t>
      </w:r>
    </w:p>
    <w:p w14:paraId="792408A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狭义的监管方式通常包括市场准入监管和检查及其后续的处置措施</w:t>
      </w:r>
    </w:p>
    <w:p w14:paraId="766DCF0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狭义的基金监管一般专指政府基金监管机构依法对基金市场、基金市场主体及其活动的监督和管理</w:t>
      </w:r>
    </w:p>
    <w:p w14:paraId="6DAD2FD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社会力量包括各种独立的专业评估机构、审计机构，以及社会媒体、基金投资者和普通公众等</w:t>
      </w:r>
    </w:p>
    <w:p w14:paraId="281035C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基金市场主体进入基金市场，进行证券投资基金活动，是基金市场活力的源泉</w:t>
      </w:r>
    </w:p>
    <w:p w14:paraId="10EBC67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4029C5C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狭义的监管方式，通常不包括市场准入监管，而仅包括检查及其后续的处置措施。</w:t>
      </w:r>
    </w:p>
    <w:p w14:paraId="1D9466F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16</w:t>
      </w:r>
      <w:r>
        <w:rPr>
          <w:rFonts w:ascii="黑体" w:eastAsia="黑体" w:hAnsi="黑体" w:cs="黑体" w:hint="eastAsia"/>
          <w:lang w:eastAsia="zh-CN"/>
        </w:rPr>
        <w:t>、合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风险的主要种类包括</w:t>
      </w:r>
      <w:r>
        <w:rPr>
          <w:rFonts w:ascii="黑体" w:eastAsia="黑体" w:hAnsi="黑体" w:cs="黑体" w:hint="eastAsia"/>
          <w:lang w:eastAsia="zh-CN"/>
        </w:rPr>
        <w:t>（）</w:t>
      </w:r>
      <w:r>
        <w:rPr>
          <w:rFonts w:ascii="黑体" w:eastAsia="黑体" w:hAnsi="黑体" w:cs="黑体" w:hint="eastAsia"/>
          <w:lang w:eastAsia="zh-CN"/>
        </w:rPr>
        <w:t>。</w:t>
      </w:r>
    </w:p>
    <w:p w14:paraId="613FC4A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投资合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w:t>
      </w:r>
    </w:p>
    <w:p w14:paraId="66677B0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销售合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w:t>
      </w:r>
    </w:p>
    <w:p w14:paraId="1148BC8F" w14:textId="77777777" w:rsidR="00F75917"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信息披露合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w:t>
      </w:r>
    </w:p>
    <w:p w14:paraId="2AE899C2" w14:textId="03C40036"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监管合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w:t>
      </w:r>
    </w:p>
    <w:p w14:paraId="385F80D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Ⅴ</w:t>
      </w:r>
      <w:r>
        <w:rPr>
          <w:rFonts w:ascii="黑体" w:eastAsia="黑体" w:hAnsi="黑体" w:cs="黑体" w:hint="eastAsia"/>
          <w:lang w:eastAsia="zh-CN"/>
        </w:rPr>
        <w:t>.</w:t>
      </w:r>
      <w:r>
        <w:rPr>
          <w:rFonts w:ascii="黑体" w:eastAsia="黑体" w:hAnsi="黑体" w:cs="黑体" w:hint="eastAsia"/>
          <w:lang w:eastAsia="zh-CN"/>
        </w:rPr>
        <w:t>反洗钱合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w:t>
      </w:r>
    </w:p>
    <w:p w14:paraId="42DF92E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Ⅰ、Ⅱ、Ⅲ、Ⅳ、Ⅴ</w:t>
      </w:r>
    </w:p>
    <w:p w14:paraId="16126721"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Ⅱ、Ⅲ、Ⅳ、Ⅴ</w:t>
      </w:r>
      <w:proofErr w:type="spellEnd"/>
    </w:p>
    <w:p w14:paraId="5B0B28F7"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Ⅰ、Ⅱ、Ⅲ、Ⅴ</w:t>
      </w:r>
      <w:proofErr w:type="spellEnd"/>
    </w:p>
    <w:p w14:paraId="562F6C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Ⅰ、Ⅲ、Ⅳ、Ⅴ</w:t>
      </w:r>
    </w:p>
    <w:p w14:paraId="7466978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1ED0F83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合</w:t>
      </w:r>
      <w:proofErr w:type="gramStart"/>
      <w:r w:rsidRPr="00F75917">
        <w:rPr>
          <w:rFonts w:ascii="黑体" w:eastAsia="黑体" w:hAnsi="黑体" w:cs="黑体" w:hint="eastAsia"/>
          <w:highlight w:val="yellow"/>
          <w:lang w:eastAsia="zh-CN"/>
        </w:rPr>
        <w:t>规</w:t>
      </w:r>
      <w:proofErr w:type="gramEnd"/>
      <w:r w:rsidRPr="00F75917">
        <w:rPr>
          <w:rFonts w:ascii="黑体" w:eastAsia="黑体" w:hAnsi="黑体" w:cs="黑体" w:hint="eastAsia"/>
          <w:highlight w:val="yellow"/>
          <w:lang w:eastAsia="zh-CN"/>
        </w:rPr>
        <w:t>风险的主要种类包括投资合</w:t>
      </w:r>
      <w:proofErr w:type="gramStart"/>
      <w:r w:rsidRPr="00F75917">
        <w:rPr>
          <w:rFonts w:ascii="黑体" w:eastAsia="黑体" w:hAnsi="黑体" w:cs="黑体" w:hint="eastAsia"/>
          <w:highlight w:val="yellow"/>
          <w:lang w:eastAsia="zh-CN"/>
        </w:rPr>
        <w:t>规</w:t>
      </w:r>
      <w:proofErr w:type="gramEnd"/>
      <w:r w:rsidRPr="00F75917">
        <w:rPr>
          <w:rFonts w:ascii="黑体" w:eastAsia="黑体" w:hAnsi="黑体" w:cs="黑体" w:hint="eastAsia"/>
          <w:highlight w:val="yellow"/>
          <w:lang w:eastAsia="zh-CN"/>
        </w:rPr>
        <w:t>性风险、销售合</w:t>
      </w:r>
      <w:proofErr w:type="gramStart"/>
      <w:r w:rsidRPr="00F75917">
        <w:rPr>
          <w:rFonts w:ascii="黑体" w:eastAsia="黑体" w:hAnsi="黑体" w:cs="黑体" w:hint="eastAsia"/>
          <w:highlight w:val="yellow"/>
          <w:lang w:eastAsia="zh-CN"/>
        </w:rPr>
        <w:t>规</w:t>
      </w:r>
      <w:proofErr w:type="gramEnd"/>
      <w:r w:rsidRPr="00F75917">
        <w:rPr>
          <w:rFonts w:ascii="黑体" w:eastAsia="黑体" w:hAnsi="黑体" w:cs="黑体" w:hint="eastAsia"/>
          <w:highlight w:val="yellow"/>
          <w:lang w:eastAsia="zh-CN"/>
        </w:rPr>
        <w:t>性风险、信息披露合</w:t>
      </w:r>
      <w:proofErr w:type="gramStart"/>
      <w:r w:rsidRPr="00F75917">
        <w:rPr>
          <w:rFonts w:ascii="黑体" w:eastAsia="黑体" w:hAnsi="黑体" w:cs="黑体" w:hint="eastAsia"/>
          <w:highlight w:val="yellow"/>
          <w:lang w:eastAsia="zh-CN"/>
        </w:rPr>
        <w:t>规</w:t>
      </w:r>
      <w:proofErr w:type="gramEnd"/>
      <w:r w:rsidRPr="00F75917">
        <w:rPr>
          <w:rFonts w:ascii="黑体" w:eastAsia="黑体" w:hAnsi="黑体" w:cs="黑体" w:hint="eastAsia"/>
          <w:highlight w:val="yellow"/>
          <w:lang w:eastAsia="zh-CN"/>
        </w:rPr>
        <w:t>性风险和反洗钱合</w:t>
      </w:r>
      <w:proofErr w:type="gramStart"/>
      <w:r w:rsidRPr="00F75917">
        <w:rPr>
          <w:rFonts w:ascii="黑体" w:eastAsia="黑体" w:hAnsi="黑体" w:cs="黑体" w:hint="eastAsia"/>
          <w:highlight w:val="yellow"/>
          <w:lang w:eastAsia="zh-CN"/>
        </w:rPr>
        <w:t>规</w:t>
      </w:r>
      <w:proofErr w:type="gramEnd"/>
      <w:r w:rsidRPr="00F75917">
        <w:rPr>
          <w:rFonts w:ascii="黑体" w:eastAsia="黑体" w:hAnsi="黑体" w:cs="黑体" w:hint="eastAsia"/>
          <w:highlight w:val="yellow"/>
          <w:lang w:eastAsia="zh-CN"/>
        </w:rPr>
        <w:t>性风险。</w:t>
      </w:r>
    </w:p>
    <w:p w14:paraId="51CFBA96" w14:textId="77777777" w:rsidR="0082448A" w:rsidRDefault="00054E88">
      <w:pPr>
        <w:numPr>
          <w:ilvl w:val="0"/>
          <w:numId w:val="2"/>
        </w:numPr>
        <w:spacing w:line="360" w:lineRule="auto"/>
        <w:rPr>
          <w:rFonts w:ascii="黑体" w:eastAsia="黑体" w:hAnsi="黑体" w:cs="黑体"/>
          <w:lang w:eastAsia="zh-CN"/>
        </w:rPr>
      </w:pPr>
      <w:r>
        <w:rPr>
          <w:rFonts w:ascii="黑体" w:eastAsia="黑体" w:hAnsi="黑体" w:cs="黑体" w:hint="eastAsia"/>
          <w:lang w:eastAsia="zh-CN"/>
        </w:rPr>
        <w:t>从运作模式而言，</w:t>
      </w:r>
      <w:r>
        <w:rPr>
          <w:rFonts w:ascii="黑体" w:eastAsia="黑体" w:hAnsi="黑体" w:cs="黑体" w:hint="eastAsia"/>
          <w:lang w:eastAsia="zh-CN"/>
        </w:rPr>
        <w:t>FOF</w:t>
      </w:r>
      <w:r>
        <w:rPr>
          <w:rFonts w:ascii="黑体" w:eastAsia="黑体" w:hAnsi="黑体" w:cs="黑体" w:hint="eastAsia"/>
          <w:lang w:eastAsia="zh-CN"/>
        </w:rPr>
        <w:t>产品可以归纳为</w:t>
      </w:r>
      <w:r>
        <w:rPr>
          <w:rFonts w:ascii="黑体" w:eastAsia="黑体" w:hAnsi="黑体" w:cs="黑体" w:hint="eastAsia"/>
          <w:lang w:eastAsia="zh-CN"/>
        </w:rPr>
        <w:t>（）</w:t>
      </w:r>
      <w:r>
        <w:rPr>
          <w:rFonts w:ascii="黑体" w:eastAsia="黑体" w:hAnsi="黑体" w:cs="黑体" w:hint="eastAsia"/>
          <w:lang w:eastAsia="zh-CN"/>
        </w:rPr>
        <w:t>。</w:t>
      </w:r>
    </w:p>
    <w:p w14:paraId="2935ED7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主动管理主动型</w:t>
      </w:r>
      <w:r>
        <w:rPr>
          <w:rFonts w:ascii="黑体" w:eastAsia="黑体" w:hAnsi="黑体" w:cs="黑体" w:hint="eastAsia"/>
          <w:lang w:eastAsia="zh-CN"/>
        </w:rPr>
        <w:t>FOF</w:t>
      </w:r>
    </w:p>
    <w:p w14:paraId="14E330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主动管理被动型</w:t>
      </w:r>
      <w:r>
        <w:rPr>
          <w:rFonts w:ascii="黑体" w:eastAsia="黑体" w:hAnsi="黑体" w:cs="黑体" w:hint="eastAsia"/>
          <w:lang w:eastAsia="zh-CN"/>
        </w:rPr>
        <w:t>FOF</w:t>
      </w:r>
      <w:r>
        <w:rPr>
          <w:rFonts w:ascii="黑体" w:eastAsia="黑体" w:hAnsi="黑体" w:cs="黑体" w:hint="eastAsia"/>
          <w:lang w:eastAsia="zh-CN"/>
        </w:rPr>
        <w:tab/>
      </w:r>
    </w:p>
    <w:p w14:paraId="6ABF7239" w14:textId="77777777" w:rsidR="0082448A" w:rsidRDefault="0082448A">
      <w:pPr>
        <w:spacing w:line="360" w:lineRule="auto"/>
        <w:rPr>
          <w:rFonts w:ascii="黑体" w:eastAsia="黑体" w:hAnsi="黑体" w:cs="黑体"/>
          <w:lang w:eastAsia="zh-CN"/>
        </w:rPr>
      </w:pPr>
    </w:p>
    <w:p w14:paraId="4D8DE686" w14:textId="77777777" w:rsidR="0082448A" w:rsidRDefault="0082448A">
      <w:pPr>
        <w:spacing w:line="360" w:lineRule="auto"/>
        <w:rPr>
          <w:rFonts w:ascii="黑体" w:eastAsia="黑体" w:hAnsi="黑体" w:cs="黑体"/>
          <w:lang w:eastAsia="zh-CN"/>
        </w:rPr>
      </w:pPr>
    </w:p>
    <w:p w14:paraId="57D1792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被动管理主动型</w:t>
      </w:r>
      <w:r>
        <w:rPr>
          <w:rFonts w:ascii="黑体" w:eastAsia="黑体" w:hAnsi="黑体" w:cs="黑体" w:hint="eastAsia"/>
          <w:lang w:eastAsia="zh-CN"/>
        </w:rPr>
        <w:t>FOF</w:t>
      </w:r>
    </w:p>
    <w:p w14:paraId="1A2171C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被动管理被动型</w:t>
      </w:r>
      <w:r>
        <w:rPr>
          <w:rFonts w:ascii="黑体" w:eastAsia="黑体" w:hAnsi="黑体" w:cs="黑体" w:hint="eastAsia"/>
          <w:lang w:eastAsia="zh-CN"/>
        </w:rPr>
        <w:t>FOF</w:t>
      </w:r>
    </w:p>
    <w:p w14:paraId="1017E539"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Ⅰ、Ⅱ</w:t>
      </w:r>
      <w:r>
        <w:rPr>
          <w:rFonts w:ascii="黑体" w:eastAsia="黑体" w:hAnsi="黑体" w:cs="黑体" w:hint="eastAsia"/>
        </w:rPr>
        <w:t>B.</w:t>
      </w:r>
      <w:r>
        <w:rPr>
          <w:rFonts w:ascii="黑体" w:eastAsia="黑体" w:hAnsi="黑体" w:cs="黑体" w:hint="eastAsia"/>
        </w:rPr>
        <w:t>Ⅲ、Ⅳ</w:t>
      </w:r>
      <w:r>
        <w:rPr>
          <w:rFonts w:ascii="黑体" w:eastAsia="黑体" w:hAnsi="黑体" w:cs="黑体" w:hint="eastAsia"/>
        </w:rPr>
        <w:t>C.</w:t>
      </w:r>
      <w:r>
        <w:rPr>
          <w:rFonts w:ascii="黑体" w:eastAsia="黑体" w:hAnsi="黑体" w:cs="黑体" w:hint="eastAsia"/>
        </w:rPr>
        <w:t>Ⅰ、Ⅳ</w:t>
      </w:r>
      <w:proofErr w:type="spellEnd"/>
    </w:p>
    <w:p w14:paraId="7FC1791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Ⅰ、Ⅱ、Ⅲ、Ⅳ</w:t>
      </w:r>
    </w:p>
    <w:p w14:paraId="3C4E9EA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2F2A257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从运作模式而言</w:t>
      </w:r>
      <w:r w:rsidRPr="00F75917">
        <w:rPr>
          <w:rFonts w:ascii="黑体" w:eastAsia="黑体" w:hAnsi="黑体" w:cs="黑体" w:hint="eastAsia"/>
          <w:highlight w:val="yellow"/>
          <w:lang w:eastAsia="zh-CN"/>
        </w:rPr>
        <w:t>FOF</w:t>
      </w:r>
      <w:r w:rsidRPr="00F75917">
        <w:rPr>
          <w:rFonts w:ascii="黑体" w:eastAsia="黑体" w:hAnsi="黑体" w:cs="黑体" w:hint="eastAsia"/>
          <w:highlight w:val="yellow"/>
          <w:lang w:eastAsia="zh-CN"/>
        </w:rPr>
        <w:t>产品可以归纳为主动管理主动型</w:t>
      </w:r>
      <w:r w:rsidRPr="00F75917">
        <w:rPr>
          <w:rFonts w:ascii="黑体" w:eastAsia="黑体" w:hAnsi="黑体" w:cs="黑体" w:hint="eastAsia"/>
          <w:highlight w:val="yellow"/>
          <w:lang w:eastAsia="zh-CN"/>
        </w:rPr>
        <w:t>FOF</w:t>
      </w:r>
      <w:r w:rsidRPr="00F75917">
        <w:rPr>
          <w:rFonts w:ascii="黑体" w:eastAsia="黑体" w:hAnsi="黑体" w:cs="黑体" w:hint="eastAsia"/>
          <w:highlight w:val="yellow"/>
          <w:lang w:eastAsia="zh-CN"/>
        </w:rPr>
        <w:t>、主动管理被动型</w:t>
      </w:r>
      <w:r w:rsidRPr="00F75917">
        <w:rPr>
          <w:rFonts w:ascii="黑体" w:eastAsia="黑体" w:hAnsi="黑体" w:cs="黑体" w:hint="eastAsia"/>
          <w:highlight w:val="yellow"/>
          <w:lang w:eastAsia="zh-CN"/>
        </w:rPr>
        <w:t>FOF</w:t>
      </w:r>
      <w:r w:rsidRPr="00F75917">
        <w:rPr>
          <w:rFonts w:ascii="黑体" w:eastAsia="黑体" w:hAnsi="黑体" w:cs="黑体" w:hint="eastAsia"/>
          <w:highlight w:val="yellow"/>
          <w:lang w:eastAsia="zh-CN"/>
        </w:rPr>
        <w:t>、被动管理主动型</w:t>
      </w:r>
      <w:r w:rsidRPr="00F75917">
        <w:rPr>
          <w:rFonts w:ascii="黑体" w:eastAsia="黑体" w:hAnsi="黑体" w:cs="黑体" w:hint="eastAsia"/>
          <w:highlight w:val="yellow"/>
          <w:lang w:eastAsia="zh-CN"/>
        </w:rPr>
        <w:t>FOF</w:t>
      </w:r>
      <w:r w:rsidRPr="00F75917">
        <w:rPr>
          <w:rFonts w:ascii="黑体" w:eastAsia="黑体" w:hAnsi="黑体" w:cs="黑体" w:hint="eastAsia"/>
          <w:highlight w:val="yellow"/>
          <w:lang w:eastAsia="zh-CN"/>
        </w:rPr>
        <w:t>、被动管理被动型</w:t>
      </w:r>
      <w:r w:rsidRPr="00F75917">
        <w:rPr>
          <w:rFonts w:ascii="黑体" w:eastAsia="黑体" w:hAnsi="黑体" w:cs="黑体" w:hint="eastAsia"/>
          <w:highlight w:val="yellow"/>
          <w:lang w:eastAsia="zh-CN"/>
        </w:rPr>
        <w:t>FOF</w:t>
      </w:r>
      <w:r w:rsidRPr="00F75917">
        <w:rPr>
          <w:rFonts w:ascii="黑体" w:eastAsia="黑体" w:hAnsi="黑体" w:cs="黑体" w:hint="eastAsia"/>
          <w:highlight w:val="yellow"/>
          <w:lang w:eastAsia="zh-CN"/>
        </w:rPr>
        <w:t>四类。</w:t>
      </w:r>
    </w:p>
    <w:p w14:paraId="7EED3A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18</w:t>
      </w:r>
      <w:r>
        <w:rPr>
          <w:rFonts w:ascii="黑体" w:eastAsia="黑体" w:hAnsi="黑体" w:cs="黑体" w:hint="eastAsia"/>
          <w:lang w:eastAsia="zh-CN"/>
        </w:rPr>
        <w:t>、下列关于证券投资基金的发展有助于防止市场的过度投机和炒作的原因，说法错误的是</w:t>
      </w:r>
      <w:r>
        <w:rPr>
          <w:rFonts w:ascii="黑体" w:eastAsia="黑体" w:hAnsi="黑体" w:cs="黑体" w:hint="eastAsia"/>
          <w:lang w:eastAsia="zh-CN"/>
        </w:rPr>
        <w:t>()</w:t>
      </w:r>
    </w:p>
    <w:p w14:paraId="6DD7DD8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证券投资基金推动市场价值判断体系的形成</w:t>
      </w:r>
    </w:p>
    <w:p w14:paraId="0D5B87A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证券投资基金给投资者带来稳定的收益</w:t>
      </w:r>
    </w:p>
    <w:p w14:paraId="0B6FB6E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证券投资基金倡导理性的投资理念和文化</w:t>
      </w:r>
    </w:p>
    <w:p w14:paraId="57C8C6A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证券投资基金管理人能发挥专业投资优势</w:t>
      </w:r>
    </w:p>
    <w:p w14:paraId="4C7B10B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283C76C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【试题解析】：证券投资基金发挥专业理财优势，推动市场价值判断体系的形成，倡导理性的投资文化，有助于防止市场的过度投机。</w:t>
      </w:r>
    </w:p>
    <w:p w14:paraId="32A64CC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19</w:t>
      </w:r>
      <w:r>
        <w:rPr>
          <w:rFonts w:ascii="黑体" w:eastAsia="黑体" w:hAnsi="黑体" w:cs="黑体" w:hint="eastAsia"/>
          <w:lang w:eastAsia="zh-CN"/>
        </w:rPr>
        <w:t>、关于开放式基金的冻结和解冻，以下描述正确的是</w:t>
      </w:r>
      <w:r>
        <w:rPr>
          <w:rFonts w:ascii="黑体" w:eastAsia="黑体" w:hAnsi="黑体" w:cs="黑体" w:hint="eastAsia"/>
          <w:lang w:eastAsia="zh-CN"/>
        </w:rPr>
        <w:t>（）</w:t>
      </w:r>
      <w:r>
        <w:rPr>
          <w:rFonts w:ascii="黑体" w:eastAsia="黑体" w:hAnsi="黑体" w:cs="黑体" w:hint="eastAsia"/>
          <w:lang w:eastAsia="zh-CN"/>
        </w:rPr>
        <w:t>。</w:t>
      </w:r>
    </w:p>
    <w:p w14:paraId="30DCFC0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可以由国家有关机关授权基金销售网点进行基金份额东结</w:t>
      </w:r>
    </w:p>
    <w:p w14:paraId="28BDBB8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基金注册登记机构可以根据基金销售网点的请求，对其销售的基金份额进行冻结</w:t>
      </w:r>
    </w:p>
    <w:p w14:paraId="11CF6D0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基金注册登记机构可以对基金账户或者基金份额进行冻结</w:t>
      </w:r>
    </w:p>
    <w:p w14:paraId="5D976B1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在冻结期间被冻结的账户或者份额所产生的权益，不在冻结的范围之内</w:t>
      </w:r>
    </w:p>
    <w:p w14:paraId="14F4CD6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E7936D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基金注册登记机构只受理国家有权机关依法要求的基金账户或基金份额的冻结与解冻。</w:t>
      </w:r>
      <w:r>
        <w:rPr>
          <w:rFonts w:ascii="黑体" w:eastAsia="黑体" w:hAnsi="黑体" w:cs="黑体" w:hint="eastAsia"/>
          <w:lang w:eastAsia="zh-CN"/>
        </w:rPr>
        <w:t>基金账户或基金份额被冻结的，被冻结部分产生的权益一并冻结。</w:t>
      </w:r>
    </w:p>
    <w:p w14:paraId="5B39E66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20</w:t>
      </w:r>
      <w:r>
        <w:rPr>
          <w:rFonts w:ascii="黑体" w:eastAsia="黑体" w:hAnsi="黑体" w:cs="黑体" w:hint="eastAsia"/>
          <w:lang w:eastAsia="zh-CN"/>
        </w:rPr>
        <w:t>、下列选项中，不属于封闭式基金内容的是</w:t>
      </w:r>
      <w:r>
        <w:rPr>
          <w:rFonts w:ascii="黑体" w:eastAsia="黑体" w:hAnsi="黑体" w:cs="黑体" w:hint="eastAsia"/>
          <w:lang w:eastAsia="zh-CN"/>
        </w:rPr>
        <w:t>（）</w:t>
      </w:r>
      <w:r>
        <w:rPr>
          <w:rFonts w:ascii="黑体" w:eastAsia="黑体" w:hAnsi="黑体" w:cs="黑体" w:hint="eastAsia"/>
          <w:lang w:eastAsia="zh-CN"/>
        </w:rPr>
        <w:t>。</w:t>
      </w:r>
    </w:p>
    <w:p w14:paraId="57496A9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基金份额不固定</w:t>
      </w:r>
    </w:p>
    <w:p w14:paraId="368A126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基金份额在基金合同期限内固定不变</w:t>
      </w:r>
    </w:p>
    <w:p w14:paraId="69F07EB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是在证券市场的投资者之间进行转让</w:t>
      </w:r>
    </w:p>
    <w:p w14:paraId="4A3AEE8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一般有一个固定的存续期</w:t>
      </w:r>
    </w:p>
    <w:p w14:paraId="51DD91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3C11872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F75917">
        <w:rPr>
          <w:rFonts w:ascii="黑体" w:eastAsia="黑体" w:hAnsi="黑体" w:cs="黑体" w:hint="eastAsia"/>
          <w:highlight w:val="yellow"/>
          <w:lang w:eastAsia="zh-CN"/>
        </w:rPr>
        <w:t>封闭式基金的基金份额是固定的</w:t>
      </w:r>
      <w:r>
        <w:rPr>
          <w:rFonts w:ascii="黑体" w:eastAsia="黑体" w:hAnsi="黑体" w:cs="黑体" w:hint="eastAsia"/>
          <w:lang w:eastAsia="zh-CN"/>
        </w:rPr>
        <w:t>，在封闭期限内未经法定程序认可不能增减</w:t>
      </w:r>
      <w:r>
        <w:rPr>
          <w:rFonts w:ascii="黑体" w:eastAsia="黑体" w:hAnsi="黑体" w:cs="黑体" w:hint="eastAsia"/>
          <w:lang w:eastAsia="zh-CN"/>
        </w:rPr>
        <w:t>;</w:t>
      </w:r>
      <w:r>
        <w:rPr>
          <w:rFonts w:ascii="黑体" w:eastAsia="黑体" w:hAnsi="黑体" w:cs="黑体" w:hint="eastAsia"/>
          <w:lang w:eastAsia="zh-CN"/>
        </w:rPr>
        <w:t>开放式基金规模不固定</w:t>
      </w:r>
      <w:r>
        <w:rPr>
          <w:rFonts w:ascii="黑体" w:eastAsia="黑体" w:hAnsi="黑体" w:cs="黑体" w:hint="eastAsia"/>
          <w:lang w:eastAsia="zh-CN"/>
        </w:rPr>
        <w:t>,</w:t>
      </w:r>
      <w:r>
        <w:rPr>
          <w:rFonts w:ascii="黑体" w:eastAsia="黑体" w:hAnsi="黑体" w:cs="黑体" w:hint="eastAsia"/>
          <w:lang w:eastAsia="zh-CN"/>
        </w:rPr>
        <w:t>投资者可随时提出申购或赎回申请，基金份额会随之增加或减少。</w:t>
      </w:r>
    </w:p>
    <w:p w14:paraId="077B5D5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21</w:t>
      </w:r>
      <w:r>
        <w:rPr>
          <w:rFonts w:ascii="黑体" w:eastAsia="黑体" w:hAnsi="黑体" w:cs="黑体" w:hint="eastAsia"/>
          <w:lang w:eastAsia="zh-CN"/>
        </w:rPr>
        <w:t>、</w:t>
      </w:r>
      <w:r>
        <w:rPr>
          <w:rFonts w:ascii="黑体" w:eastAsia="黑体" w:hAnsi="黑体" w:cs="黑体" w:hint="eastAsia"/>
          <w:lang w:eastAsia="zh-CN"/>
        </w:rPr>
        <w:t>基金客户服务“投资者利益优先”的宗旨体现的核心服务理念不包括</w:t>
      </w:r>
      <w:r>
        <w:rPr>
          <w:rFonts w:ascii="黑体" w:eastAsia="黑体" w:hAnsi="黑体" w:cs="黑体" w:hint="eastAsia"/>
          <w:lang w:eastAsia="zh-CN"/>
        </w:rPr>
        <w:t>（）</w:t>
      </w:r>
      <w:r>
        <w:rPr>
          <w:rFonts w:ascii="黑体" w:eastAsia="黑体" w:hAnsi="黑体" w:cs="黑体" w:hint="eastAsia"/>
          <w:lang w:eastAsia="zh-CN"/>
        </w:rPr>
        <w:t>。</w:t>
      </w:r>
    </w:p>
    <w:p w14:paraId="22B932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良好的客服形象</w:t>
      </w:r>
    </w:p>
    <w:p w14:paraId="35D89B7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良好的技术</w:t>
      </w:r>
    </w:p>
    <w:p w14:paraId="51D0EE8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良好的客户关系</w:t>
      </w:r>
    </w:p>
    <w:p w14:paraId="575CC4F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良好的客户体验</w:t>
      </w:r>
    </w:p>
    <w:p w14:paraId="1CFDB3A4" w14:textId="77777777" w:rsidR="0082448A" w:rsidRDefault="0082448A">
      <w:pPr>
        <w:spacing w:line="360" w:lineRule="auto"/>
        <w:rPr>
          <w:rFonts w:ascii="黑体" w:eastAsia="黑体" w:hAnsi="黑体" w:cs="黑体"/>
          <w:lang w:eastAsia="zh-CN"/>
        </w:rPr>
      </w:pPr>
    </w:p>
    <w:p w14:paraId="4BE167F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【标准答案】：</w:t>
      </w:r>
      <w:r>
        <w:rPr>
          <w:rFonts w:ascii="黑体" w:eastAsia="黑体" w:hAnsi="黑体" w:cs="黑体" w:hint="eastAsia"/>
          <w:lang w:eastAsia="zh-CN"/>
        </w:rPr>
        <w:t>D</w:t>
      </w:r>
    </w:p>
    <w:p w14:paraId="215ED40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【试题解析】：基金客户服务的宗旨是“投资者利益优先”，从客户的实际需求出发，为客户提供真正有价值的服务，帮助客户更好地使用产品。这一宗旨体现了“</w:t>
      </w:r>
      <w:r w:rsidRPr="00372F95">
        <w:rPr>
          <w:rFonts w:ascii="黑体" w:eastAsia="黑体" w:hAnsi="黑体" w:cs="黑体" w:hint="eastAsia"/>
          <w:highlight w:val="yellow"/>
          <w:lang w:eastAsia="zh-CN"/>
        </w:rPr>
        <w:t>良好的客服形象、良好的技术、良好的客户关系、良好的品牌</w:t>
      </w:r>
      <w:r>
        <w:rPr>
          <w:rFonts w:ascii="黑体" w:eastAsia="黑体" w:hAnsi="黑体" w:cs="黑体" w:hint="eastAsia"/>
          <w:lang w:eastAsia="zh-CN"/>
        </w:rPr>
        <w:t>”的核心服务理念。</w:t>
      </w:r>
    </w:p>
    <w:p w14:paraId="4DF84A09" w14:textId="77777777" w:rsidR="0082448A" w:rsidRDefault="00054E88">
      <w:pPr>
        <w:spacing w:line="360" w:lineRule="auto"/>
        <w:rPr>
          <w:rFonts w:ascii="黑体" w:eastAsia="黑体" w:hAnsi="黑体" w:cs="黑体"/>
        </w:rPr>
      </w:pPr>
      <w:r>
        <w:rPr>
          <w:rFonts w:ascii="黑体" w:eastAsia="黑体" w:hAnsi="黑体" w:cs="黑体" w:hint="eastAsia"/>
          <w:lang w:eastAsia="zh-CN"/>
        </w:rPr>
        <w:t>22</w:t>
      </w:r>
      <w:r>
        <w:rPr>
          <w:rFonts w:ascii="黑体" w:eastAsia="黑体" w:hAnsi="黑体" w:cs="黑体" w:hint="eastAsia"/>
          <w:lang w:eastAsia="zh-CN"/>
        </w:rPr>
        <w:t>、“</w:t>
      </w:r>
      <w:r>
        <w:rPr>
          <w:rFonts w:ascii="黑体" w:eastAsia="黑体" w:hAnsi="黑体" w:cs="黑体" w:hint="eastAsia"/>
          <w:lang w:eastAsia="zh-CN"/>
        </w:rPr>
        <w:t>A</w:t>
      </w:r>
      <w:r>
        <w:rPr>
          <w:rFonts w:ascii="黑体" w:eastAsia="黑体" w:hAnsi="黑体" w:cs="黑体" w:hint="eastAsia"/>
          <w:lang w:eastAsia="zh-CN"/>
        </w:rPr>
        <w:t>公司根据客户投诉总结相关问题，及时发现业务风险，并根据投资者的合理意见改进工作，完善内控制度。</w:t>
      </w:r>
      <w:r>
        <w:rPr>
          <w:rFonts w:ascii="黑体" w:eastAsia="黑体" w:hAnsi="黑体" w:cs="黑体" w:hint="eastAsia"/>
        </w:rPr>
        <w:t>”是</w:t>
      </w:r>
      <w:r>
        <w:rPr>
          <w:rFonts w:ascii="黑体" w:eastAsia="黑体" w:hAnsi="黑体" w:cs="黑体" w:hint="eastAsia"/>
          <w:lang w:eastAsia="zh-CN"/>
        </w:rPr>
        <w:t>（）</w:t>
      </w:r>
      <w:proofErr w:type="spellStart"/>
      <w:r>
        <w:rPr>
          <w:rFonts w:ascii="黑体" w:eastAsia="黑体" w:hAnsi="黑体" w:cs="黑体" w:hint="eastAsia"/>
        </w:rPr>
        <w:t>环节的内容</w:t>
      </w:r>
      <w:proofErr w:type="spellEnd"/>
      <w:r>
        <w:rPr>
          <w:rFonts w:ascii="黑体" w:eastAsia="黑体" w:hAnsi="黑体" w:cs="黑体" w:hint="eastAsia"/>
        </w:rPr>
        <w:t>。</w:t>
      </w:r>
    </w:p>
    <w:p w14:paraId="493D180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基金客户投诉处理</w:t>
      </w:r>
    </w:p>
    <w:p w14:paraId="47CFBFC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基金投资咨询与互动交流</w:t>
      </w:r>
    </w:p>
    <w:p w14:paraId="07FDED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基金客户服务宣传与推介</w:t>
      </w:r>
    </w:p>
    <w:p w14:paraId="3390BD0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基金投资跟踪与评价</w:t>
      </w:r>
    </w:p>
    <w:p w14:paraId="52B19DF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305414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处理客户投诉的过程中，基金销售机构一方面可从客户投诉中发现经营上的缺陷，改善和提高服务水平；另一方面，妥善处理投诉是再次赢得客户、建立和巩固企业形象的最好时机。因此，基金销售机构应建立完备的客户投诉处理体系，根据客户投诉总结相关问</w:t>
      </w:r>
    </w:p>
    <w:p w14:paraId="7BA61E0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题，及时发现业务风险，并根据投资者的合理意见改进工作，完善内控制度。</w:t>
      </w:r>
    </w:p>
    <w:p w14:paraId="2ED9E4B5" w14:textId="77777777" w:rsidR="0082448A" w:rsidRDefault="00054E88">
      <w:pPr>
        <w:numPr>
          <w:ilvl w:val="0"/>
          <w:numId w:val="3"/>
        </w:numPr>
        <w:spacing w:line="360" w:lineRule="auto"/>
        <w:rPr>
          <w:rFonts w:ascii="黑体" w:eastAsia="黑体" w:hAnsi="黑体" w:cs="黑体"/>
          <w:lang w:eastAsia="zh-CN"/>
        </w:rPr>
      </w:pPr>
      <w:r>
        <w:rPr>
          <w:rFonts w:ascii="黑体" w:eastAsia="黑体" w:hAnsi="黑体" w:cs="黑体" w:hint="eastAsia"/>
          <w:lang w:eastAsia="zh-CN"/>
        </w:rPr>
        <w:t>基金管理人内部控制机制不包括</w:t>
      </w:r>
      <w:r>
        <w:rPr>
          <w:rFonts w:ascii="黑体" w:eastAsia="黑体" w:hAnsi="黑体" w:cs="黑体" w:hint="eastAsia"/>
          <w:lang w:eastAsia="zh-CN"/>
        </w:rPr>
        <w:t>（）</w:t>
      </w:r>
      <w:r>
        <w:rPr>
          <w:rFonts w:ascii="黑体" w:eastAsia="黑体" w:hAnsi="黑体" w:cs="黑体" w:hint="eastAsia"/>
          <w:lang w:eastAsia="zh-CN"/>
        </w:rPr>
        <w:t>。</w:t>
      </w:r>
    </w:p>
    <w:p w14:paraId="7827C426" w14:textId="77777777" w:rsidR="0082448A" w:rsidRDefault="00054E88">
      <w:pPr>
        <w:numPr>
          <w:ilvl w:val="0"/>
          <w:numId w:val="4"/>
        </w:numPr>
        <w:spacing w:line="360" w:lineRule="auto"/>
        <w:rPr>
          <w:rFonts w:ascii="黑体" w:eastAsia="黑体" w:hAnsi="黑体" w:cs="黑体"/>
          <w:lang w:eastAsia="zh-CN"/>
        </w:rPr>
      </w:pPr>
      <w:r>
        <w:rPr>
          <w:rFonts w:ascii="黑体" w:eastAsia="黑体" w:hAnsi="黑体" w:cs="黑体" w:hint="eastAsia"/>
          <w:lang w:eastAsia="zh-CN"/>
        </w:rPr>
        <w:t>公司管理层对人员和业务的监督控制</w:t>
      </w:r>
    </w:p>
    <w:p w14:paraId="289CE23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员工自律</w:t>
      </w:r>
    </w:p>
    <w:p w14:paraId="259E12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部门主管的检查监督</w:t>
      </w:r>
      <w:r>
        <w:rPr>
          <w:rFonts w:ascii="黑体" w:eastAsia="黑体" w:hAnsi="黑体" w:cs="黑体" w:hint="eastAsia"/>
          <w:lang w:eastAsia="zh-CN"/>
        </w:rPr>
        <w:tab/>
      </w:r>
    </w:p>
    <w:p w14:paraId="3C4B86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证监会及派出机构检查、监督和指导</w:t>
      </w:r>
    </w:p>
    <w:p w14:paraId="38614F4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082BFC8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【试题解析】：基金管理人内部</w:t>
      </w:r>
      <w:r>
        <w:rPr>
          <w:rFonts w:ascii="黑体" w:eastAsia="黑体" w:hAnsi="黑体" w:cs="黑体" w:hint="eastAsia"/>
          <w:lang w:eastAsia="zh-CN"/>
        </w:rPr>
        <w:t>控制机制一般包括四个层次：①员工自律②各部门主管（包括监察稽核）的检查监督；③公司管理层对人员和业务的监督控制；④董事会或者其领导下的专门委员会的检查、监晉、控制和指导。</w:t>
      </w:r>
    </w:p>
    <w:p w14:paraId="1A8308A1" w14:textId="77777777" w:rsidR="0082448A" w:rsidRDefault="00054E88">
      <w:pPr>
        <w:numPr>
          <w:ilvl w:val="0"/>
          <w:numId w:val="3"/>
        </w:numPr>
        <w:spacing w:line="360" w:lineRule="auto"/>
        <w:rPr>
          <w:rFonts w:ascii="黑体" w:eastAsia="黑体" w:hAnsi="黑体" w:cs="黑体"/>
          <w:lang w:eastAsia="zh-CN"/>
        </w:rPr>
      </w:pPr>
      <w:r>
        <w:rPr>
          <w:rFonts w:ascii="黑体" w:eastAsia="黑体" w:hAnsi="黑体" w:cs="黑体" w:hint="eastAsia"/>
          <w:lang w:eastAsia="zh-CN"/>
        </w:rPr>
        <w:t>基金公司从专业角度设立各类委员会，下列关于该机制的表述中，正确的是</w:t>
      </w:r>
      <w:r>
        <w:rPr>
          <w:rFonts w:ascii="黑体" w:eastAsia="黑体" w:hAnsi="黑体" w:cs="黑体" w:hint="eastAsia"/>
          <w:lang w:eastAsia="zh-CN"/>
        </w:rPr>
        <w:t>（）</w:t>
      </w:r>
      <w:r>
        <w:rPr>
          <w:rFonts w:ascii="黑体" w:eastAsia="黑体" w:hAnsi="黑体" w:cs="黑体" w:hint="eastAsia"/>
          <w:lang w:eastAsia="zh-CN"/>
        </w:rPr>
        <w:t>。</w:t>
      </w:r>
    </w:p>
    <w:p w14:paraId="2FEED69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总经理办公会是公司投资的最高决策机构</w:t>
      </w:r>
    </w:p>
    <w:p w14:paraId="78AA367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投资委员会是公司内非常设的议事机构</w:t>
      </w:r>
    </w:p>
    <w:p w14:paraId="34F953F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投资委员会的会议，包括定期会议和临时会议</w:t>
      </w:r>
    </w:p>
    <w:p w14:paraId="5C1817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风险控制委员会，负责制定估值方法的重大调整</w:t>
      </w:r>
    </w:p>
    <w:p w14:paraId="2346CC58"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Ⅱ、Ⅲ</w:t>
      </w:r>
      <w:proofErr w:type="spellEnd"/>
    </w:p>
    <w:p w14:paraId="6E1A2475"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Ⅰ、Ⅱ</w:t>
      </w:r>
      <w:proofErr w:type="spellEnd"/>
    </w:p>
    <w:p w14:paraId="7BF58A32"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Ⅰ、Ⅱ、Ⅲ</w:t>
      </w:r>
      <w:proofErr w:type="spellEnd"/>
    </w:p>
    <w:p w14:paraId="15C39D5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Ⅱ、Ⅲ、Ⅳ</w:t>
      </w:r>
    </w:p>
    <w:p w14:paraId="0C790D1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1AF730E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【试题解析】：在公司层面，一般设有从管理角度设立的管理层会议或者总经理办公会等管理决策机制和从专业角度设立的各类专业委员会</w:t>
      </w:r>
      <w:r>
        <w:rPr>
          <w:rFonts w:ascii="黑体" w:eastAsia="黑体" w:hAnsi="黑体" w:cs="黑体" w:hint="eastAsia"/>
          <w:lang w:eastAsia="zh-CN"/>
        </w:rPr>
        <w:t>,</w:t>
      </w:r>
      <w:r>
        <w:rPr>
          <w:rFonts w:ascii="黑体" w:eastAsia="黑体" w:hAnsi="黑体" w:cs="黑体" w:hint="eastAsia"/>
          <w:lang w:eastAsia="zh-CN"/>
        </w:rPr>
        <w:t>向公司管理层报告。专业委员会包括：投资决策委员会、产品审批委员会、风险控制委员会和运营估值委员会。（法律法规只规定了基金管理公司必须设立投资决策委员会，其他委员会的设立由各家公司根据实际情况而定）</w:t>
      </w:r>
      <w:r w:rsidRPr="00372F95">
        <w:rPr>
          <w:rFonts w:ascii="黑体" w:eastAsia="黑体" w:hAnsi="黑体" w:cs="黑体" w:hint="eastAsia"/>
          <w:highlight w:val="yellow"/>
          <w:lang w:eastAsia="zh-CN"/>
        </w:rPr>
        <w:t>投资决策委员会是基金管理公司管理基金投资的最高决策机构，是非常设的议事机构。</w:t>
      </w:r>
      <w:r>
        <w:rPr>
          <w:rFonts w:ascii="黑体" w:eastAsia="黑体" w:hAnsi="黑体" w:cs="黑体" w:hint="eastAsia"/>
          <w:lang w:eastAsia="zh-CN"/>
        </w:rPr>
        <w:t>（选项</w:t>
      </w:r>
      <w:r>
        <w:rPr>
          <w:rFonts w:ascii="黑体" w:eastAsia="黑体" w:hAnsi="黑体" w:cs="黑体" w:hint="eastAsia"/>
          <w:lang w:eastAsia="zh-CN"/>
        </w:rPr>
        <w:t>I</w:t>
      </w:r>
      <w:r>
        <w:rPr>
          <w:rFonts w:ascii="黑体" w:eastAsia="黑体" w:hAnsi="黑体" w:cs="黑体" w:hint="eastAsia"/>
          <w:lang w:eastAsia="zh-CN"/>
        </w:rPr>
        <w:t>错误，</w:t>
      </w:r>
      <w:r>
        <w:rPr>
          <w:rFonts w:ascii="黑体" w:eastAsia="黑体" w:hAnsi="黑体" w:cs="黑体" w:hint="eastAsia"/>
          <w:lang w:eastAsia="zh-CN"/>
        </w:rPr>
        <w:t>II</w:t>
      </w:r>
      <w:r>
        <w:rPr>
          <w:rFonts w:ascii="黑体" w:eastAsia="黑体" w:hAnsi="黑体" w:cs="黑体" w:hint="eastAsia"/>
          <w:lang w:eastAsia="zh-CN"/>
        </w:rPr>
        <w:t>正确）投资决策委员会会议分为定期会议和临时会议。（选项</w:t>
      </w:r>
      <w:r>
        <w:rPr>
          <w:rFonts w:ascii="黑体" w:eastAsia="黑体" w:hAnsi="黑体" w:cs="黑体" w:hint="eastAsia"/>
          <w:lang w:eastAsia="zh-CN"/>
        </w:rPr>
        <w:t>III</w:t>
      </w:r>
      <w:r>
        <w:rPr>
          <w:rFonts w:ascii="黑体" w:eastAsia="黑体" w:hAnsi="黑体" w:cs="黑体" w:hint="eastAsia"/>
          <w:lang w:eastAsia="zh-CN"/>
        </w:rPr>
        <w:t>正确）选项</w:t>
      </w:r>
      <w:r>
        <w:rPr>
          <w:rFonts w:ascii="黑体" w:eastAsia="黑体" w:hAnsi="黑体" w:cs="黑体" w:hint="eastAsia"/>
          <w:lang w:eastAsia="zh-CN"/>
        </w:rPr>
        <w:t>IV</w:t>
      </w:r>
      <w:r>
        <w:rPr>
          <w:rFonts w:ascii="黑体" w:eastAsia="黑体" w:hAnsi="黑体" w:cs="黑体" w:hint="eastAsia"/>
          <w:lang w:eastAsia="zh-CN"/>
        </w:rPr>
        <w:t>属于运营估值委员会负责的</w:t>
      </w:r>
      <w:r>
        <w:rPr>
          <w:rFonts w:ascii="黑体" w:eastAsia="黑体" w:hAnsi="黑体" w:cs="黑体" w:hint="eastAsia"/>
          <w:lang w:eastAsia="zh-CN"/>
        </w:rPr>
        <w:t>事项。</w:t>
      </w:r>
    </w:p>
    <w:p w14:paraId="181CAF3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25</w:t>
      </w:r>
      <w:r>
        <w:rPr>
          <w:rFonts w:ascii="黑体" w:eastAsia="黑体" w:hAnsi="黑体" w:cs="黑体" w:hint="eastAsia"/>
          <w:lang w:eastAsia="zh-CN"/>
        </w:rPr>
        <w:t>、黄金</w:t>
      </w:r>
      <w:r>
        <w:rPr>
          <w:rFonts w:ascii="黑体" w:eastAsia="黑体" w:hAnsi="黑体" w:cs="黑体" w:hint="eastAsia"/>
          <w:lang w:eastAsia="zh-CN"/>
        </w:rPr>
        <w:t>ETF</w:t>
      </w:r>
      <w:r>
        <w:rPr>
          <w:rFonts w:ascii="黑体" w:eastAsia="黑体" w:hAnsi="黑体" w:cs="黑体" w:hint="eastAsia"/>
          <w:lang w:eastAsia="zh-CN"/>
        </w:rPr>
        <w:t>是指将绝大部分基金财产投资于</w:t>
      </w:r>
      <w:r>
        <w:rPr>
          <w:rFonts w:ascii="黑体" w:eastAsia="黑体" w:hAnsi="黑体" w:cs="黑体" w:hint="eastAsia"/>
          <w:lang w:eastAsia="zh-CN"/>
        </w:rPr>
        <w:t>（）</w:t>
      </w:r>
      <w:r>
        <w:rPr>
          <w:rFonts w:ascii="黑体" w:eastAsia="黑体" w:hAnsi="黑体" w:cs="黑体" w:hint="eastAsia"/>
          <w:lang w:eastAsia="zh-CN"/>
        </w:rPr>
        <w:t>挂盘交易的黄金品种。</w:t>
      </w:r>
    </w:p>
    <w:p w14:paraId="1F7AB6E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上海期货交易所</w:t>
      </w:r>
    </w:p>
    <w:p w14:paraId="41C6D7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上海黄金交易所</w:t>
      </w:r>
    </w:p>
    <w:p w14:paraId="04384E2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深圳期货交易所</w:t>
      </w:r>
    </w:p>
    <w:p w14:paraId="7F1B125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天津贵金属交易所</w:t>
      </w:r>
    </w:p>
    <w:p w14:paraId="4C9BB48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0C6A655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【试题解析】：黄金</w:t>
      </w:r>
      <w:r>
        <w:rPr>
          <w:rFonts w:ascii="黑体" w:eastAsia="黑体" w:hAnsi="黑体" w:cs="黑体" w:hint="eastAsia"/>
          <w:lang w:eastAsia="zh-CN"/>
        </w:rPr>
        <w:t>ETF</w:t>
      </w:r>
      <w:r>
        <w:rPr>
          <w:rFonts w:ascii="黑体" w:eastAsia="黑体" w:hAnsi="黑体" w:cs="黑体" w:hint="eastAsia"/>
          <w:lang w:eastAsia="zh-CN"/>
        </w:rPr>
        <w:t>是指将绝大部分基金财产投资于上海黄金交易所挂盘交易的黄金品种，紧密跟踪黄金价格，使用黄金品种组合或基金合同约定的方式进行申购赎回，并在证券交易所上市交易的开放式基金。</w:t>
      </w:r>
    </w:p>
    <w:p w14:paraId="68BF2F9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知识点：掌握基金的不同分类标准和基本分类；</w:t>
      </w:r>
    </w:p>
    <w:p w14:paraId="0992BF4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26</w:t>
      </w:r>
      <w:r>
        <w:rPr>
          <w:rFonts w:ascii="黑体" w:eastAsia="黑体" w:hAnsi="黑体" w:cs="黑体" w:hint="eastAsia"/>
          <w:lang w:eastAsia="zh-CN"/>
        </w:rPr>
        <w:t>、监事会对经营管理的业务监督不包括</w:t>
      </w:r>
      <w:r>
        <w:rPr>
          <w:rFonts w:ascii="黑体" w:eastAsia="黑体" w:hAnsi="黑体" w:cs="黑体" w:hint="eastAsia"/>
          <w:lang w:eastAsia="zh-CN"/>
        </w:rPr>
        <w:t>（）</w:t>
      </w:r>
      <w:r>
        <w:rPr>
          <w:rFonts w:ascii="黑体" w:eastAsia="黑体" w:hAnsi="黑体" w:cs="黑体" w:hint="eastAsia"/>
          <w:lang w:eastAsia="zh-CN"/>
        </w:rPr>
        <w:t>。</w:t>
      </w:r>
    </w:p>
    <w:p w14:paraId="5DBFE7F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评估合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管理有效性，督促解决合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管理中存在的问题</w:t>
      </w:r>
    </w:p>
    <w:p w14:paraId="263205C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随时调查公司的财务状况，审查账册文件，并有权要求董事会向其提供情况</w:t>
      </w:r>
    </w:p>
    <w:p w14:paraId="6813AAF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当监事会认为有必要时，一般是在公司出现重大问题时，可以提议召开股东会</w:t>
      </w:r>
    </w:p>
    <w:p w14:paraId="55925DC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通知业务机构停止其违法行为</w:t>
      </w:r>
    </w:p>
    <w:p w14:paraId="6B24A74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783174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【试题解析】：监事会对经营管理的业务监督包括以下方面：</w:t>
      </w:r>
    </w:p>
    <w:p w14:paraId="1C4F57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①</w:t>
      </w:r>
      <w:r w:rsidRPr="00372F95">
        <w:rPr>
          <w:rFonts w:ascii="黑体" w:eastAsia="黑体" w:hAnsi="黑体" w:cs="黑体" w:hint="eastAsia"/>
          <w:highlight w:val="yellow"/>
          <w:lang w:eastAsia="zh-CN"/>
        </w:rPr>
        <w:t>通知业务机构停止其违法行为。当董事或经理人员执行业务违反法律法规、公司章程以及从事登记营业范围之外的业务时，监事有权通知他们停止其行为</w:t>
      </w:r>
      <w:r>
        <w:rPr>
          <w:rFonts w:ascii="黑体" w:eastAsia="黑体" w:hAnsi="黑体" w:cs="黑体" w:hint="eastAsia"/>
          <w:lang w:eastAsia="zh-CN"/>
        </w:rPr>
        <w:t>；</w:t>
      </w:r>
    </w:p>
    <w:p w14:paraId="2ADC8CD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②随时调查公司的财务状况，审查账册文件，并有权要求董事会向其提供情况；</w:t>
      </w:r>
    </w:p>
    <w:p w14:paraId="6A14B91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③审核董事会编制的提供给股东会的各种报表，并把审核意见向股东会报告。</w:t>
      </w:r>
    </w:p>
    <w:p w14:paraId="380CEFF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④当监事会认为有必要时，一般是在公司出现重大问题时，可以提议召开股东会。</w:t>
      </w:r>
      <w:r>
        <w:rPr>
          <w:rFonts w:ascii="黑体" w:eastAsia="黑体" w:hAnsi="黑体" w:cs="黑体" w:hint="eastAsia"/>
          <w:lang w:eastAsia="zh-CN"/>
        </w:rPr>
        <w:t>A</w:t>
      </w:r>
      <w:proofErr w:type="gramStart"/>
      <w:r>
        <w:rPr>
          <w:rFonts w:ascii="黑体" w:eastAsia="黑体" w:hAnsi="黑体" w:cs="黑体" w:hint="eastAsia"/>
          <w:lang w:eastAsia="zh-CN"/>
        </w:rPr>
        <w:t>项属于</w:t>
      </w:r>
      <w:proofErr w:type="gramEnd"/>
      <w:r>
        <w:rPr>
          <w:rFonts w:ascii="黑体" w:eastAsia="黑体" w:hAnsi="黑体" w:cs="黑体" w:hint="eastAsia"/>
          <w:lang w:eastAsia="zh-CN"/>
        </w:rPr>
        <w:t>董事会的合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责任，故</w:t>
      </w:r>
      <w:r>
        <w:rPr>
          <w:rFonts w:ascii="黑体" w:eastAsia="黑体" w:hAnsi="黑体" w:cs="黑体" w:hint="eastAsia"/>
          <w:lang w:eastAsia="zh-CN"/>
        </w:rPr>
        <w:t>A</w:t>
      </w:r>
      <w:r>
        <w:rPr>
          <w:rFonts w:ascii="黑体" w:eastAsia="黑体" w:hAnsi="黑体" w:cs="黑体" w:hint="eastAsia"/>
          <w:lang w:eastAsia="zh-CN"/>
        </w:rPr>
        <w:t>项符合题意。</w:t>
      </w:r>
    </w:p>
    <w:p w14:paraId="635F677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27</w:t>
      </w:r>
      <w:r>
        <w:rPr>
          <w:rFonts w:ascii="黑体" w:eastAsia="黑体" w:hAnsi="黑体" w:cs="黑体" w:hint="eastAsia"/>
          <w:lang w:eastAsia="zh-CN"/>
        </w:rPr>
        <w:t>、基金客户个性化服务内容不包括</w:t>
      </w:r>
      <w:r>
        <w:rPr>
          <w:rFonts w:ascii="黑体" w:eastAsia="黑体" w:hAnsi="黑体" w:cs="黑体" w:hint="eastAsia"/>
          <w:lang w:eastAsia="zh-CN"/>
        </w:rPr>
        <w:t>（）</w:t>
      </w:r>
      <w:r>
        <w:rPr>
          <w:rFonts w:ascii="黑体" w:eastAsia="黑体" w:hAnsi="黑体" w:cs="黑体" w:hint="eastAsia"/>
          <w:lang w:eastAsia="zh-CN"/>
        </w:rPr>
        <w:t>。</w:t>
      </w:r>
    </w:p>
    <w:p w14:paraId="5E1147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做好客户的动态分析</w:t>
      </w:r>
    </w:p>
    <w:p w14:paraId="57DEA8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通过加强客户沟通了解客户深度需求</w:t>
      </w:r>
    </w:p>
    <w:p w14:paraId="13F77D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做好客户的参谋</w:t>
      </w:r>
    </w:p>
    <w:p w14:paraId="1892C7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为客户提供基金盈利预测服务</w:t>
      </w:r>
    </w:p>
    <w:p w14:paraId="52009AC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7C3F1F8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【试题解析】：本题考查基金客户个性化服务。基金客户个性化服务主要包括：（</w:t>
      </w:r>
      <w:r>
        <w:rPr>
          <w:rFonts w:ascii="黑体" w:eastAsia="黑体" w:hAnsi="黑体" w:cs="黑体" w:hint="eastAsia"/>
          <w:lang w:eastAsia="zh-CN"/>
        </w:rPr>
        <w:t>1</w:t>
      </w:r>
      <w:r>
        <w:rPr>
          <w:rFonts w:ascii="黑体" w:eastAsia="黑体" w:hAnsi="黑体" w:cs="黑体" w:hint="eastAsia"/>
          <w:lang w:eastAsia="zh-CN"/>
        </w:rPr>
        <w:t>）做好客户的动态分析；（</w:t>
      </w:r>
      <w:r>
        <w:rPr>
          <w:rFonts w:ascii="黑体" w:eastAsia="黑体" w:hAnsi="黑体" w:cs="黑体" w:hint="eastAsia"/>
          <w:lang w:eastAsia="zh-CN"/>
        </w:rPr>
        <w:t>2</w:t>
      </w:r>
      <w:r>
        <w:rPr>
          <w:rFonts w:ascii="黑体" w:eastAsia="黑体" w:hAnsi="黑体" w:cs="黑体" w:hint="eastAsia"/>
          <w:lang w:eastAsia="zh-CN"/>
        </w:rPr>
        <w:t>）通过加强客户沟通了解客户深度需求；（</w:t>
      </w:r>
      <w:r>
        <w:rPr>
          <w:rFonts w:ascii="黑体" w:eastAsia="黑体" w:hAnsi="黑体" w:cs="黑体" w:hint="eastAsia"/>
          <w:lang w:eastAsia="zh-CN"/>
        </w:rPr>
        <w:t>3</w:t>
      </w:r>
      <w:r>
        <w:rPr>
          <w:rFonts w:ascii="黑体" w:eastAsia="黑体" w:hAnsi="黑体" w:cs="黑体" w:hint="eastAsia"/>
          <w:lang w:eastAsia="zh-CN"/>
        </w:rPr>
        <w:t>）做好客户的参谋。</w:t>
      </w:r>
    </w:p>
    <w:p w14:paraId="1CA990A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28</w:t>
      </w:r>
      <w:r>
        <w:rPr>
          <w:rFonts w:ascii="黑体" w:eastAsia="黑体" w:hAnsi="黑体" w:cs="黑体" w:hint="eastAsia"/>
          <w:lang w:eastAsia="zh-CN"/>
        </w:rPr>
        <w:t>、下列关于道德与法律的说法，正确的是</w:t>
      </w:r>
      <w:r>
        <w:rPr>
          <w:rFonts w:ascii="黑体" w:eastAsia="黑体" w:hAnsi="黑体" w:cs="黑体" w:hint="eastAsia"/>
          <w:lang w:eastAsia="zh-CN"/>
        </w:rPr>
        <w:t>（）</w:t>
      </w:r>
      <w:r>
        <w:rPr>
          <w:rFonts w:ascii="黑体" w:eastAsia="黑体" w:hAnsi="黑体" w:cs="黑体" w:hint="eastAsia"/>
          <w:lang w:eastAsia="zh-CN"/>
        </w:rPr>
        <w:t>。</w:t>
      </w:r>
    </w:p>
    <w:p w14:paraId="302028D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表现形式不同</w:t>
      </w:r>
    </w:p>
    <w:p w14:paraId="5CCAD05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内容结构相同</w:t>
      </w:r>
    </w:p>
    <w:p w14:paraId="6BA666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调整范围相同</w:t>
      </w:r>
      <w:r>
        <w:rPr>
          <w:rFonts w:ascii="黑体" w:eastAsia="黑体" w:hAnsi="黑体" w:cs="黑体" w:hint="eastAsia"/>
          <w:lang w:eastAsia="zh-CN"/>
        </w:rPr>
        <w:tab/>
      </w:r>
    </w:p>
    <w:p w14:paraId="69BAFE1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调整手段相同</w:t>
      </w:r>
    </w:p>
    <w:p w14:paraId="45B33BD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80B350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B</w:t>
      </w:r>
      <w:r>
        <w:rPr>
          <w:rFonts w:ascii="黑体" w:eastAsia="黑体" w:hAnsi="黑体" w:cs="黑体" w:hint="eastAsia"/>
          <w:lang w:eastAsia="zh-CN"/>
        </w:rPr>
        <w:t>项，道德与法律内容结构不同，法律权利义务为内容，要求权利义务对等，而道德一般只以义务为内容，并不要求有对等的权利；</w:t>
      </w:r>
      <w:r>
        <w:rPr>
          <w:rFonts w:ascii="黑体" w:eastAsia="黑体" w:hAnsi="黑体" w:cs="黑体" w:hint="eastAsia"/>
          <w:lang w:eastAsia="zh-CN"/>
        </w:rPr>
        <w:t>C</w:t>
      </w:r>
      <w:r>
        <w:rPr>
          <w:rFonts w:ascii="黑体" w:eastAsia="黑体" w:hAnsi="黑体" w:cs="黑体" w:hint="eastAsia"/>
          <w:lang w:eastAsia="zh-CN"/>
        </w:rPr>
        <w:t>项，道德与法律调整范围不同，一般认为，道德调整的范围比法律调整的范围更为广泛</w:t>
      </w:r>
      <w:r>
        <w:rPr>
          <w:rFonts w:ascii="黑体" w:eastAsia="黑体" w:hAnsi="黑体" w:cs="黑体" w:hint="eastAsia"/>
          <w:lang w:eastAsia="zh-CN"/>
        </w:rPr>
        <w:lastRenderedPageBreak/>
        <w:t>；</w:t>
      </w:r>
      <w:r>
        <w:rPr>
          <w:rFonts w:ascii="黑体" w:eastAsia="黑体" w:hAnsi="黑体" w:cs="黑体" w:hint="eastAsia"/>
          <w:lang w:eastAsia="zh-CN"/>
        </w:rPr>
        <w:t>D</w:t>
      </w:r>
      <w:r>
        <w:rPr>
          <w:rFonts w:ascii="黑体" w:eastAsia="黑体" w:hAnsi="黑体" w:cs="黑体" w:hint="eastAsia"/>
          <w:lang w:eastAsia="zh-CN"/>
        </w:rPr>
        <w:t>项，道德与法律调整手段不同，法律主要依靠国家强制力保证实施，而道德主要依靠社会興论、传统习俗和内心信念等力量来实现其约束力。</w:t>
      </w:r>
    </w:p>
    <w:p w14:paraId="30FEB89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29</w:t>
      </w:r>
      <w:r>
        <w:rPr>
          <w:rFonts w:ascii="黑体" w:eastAsia="黑体" w:hAnsi="黑体" w:cs="黑体" w:hint="eastAsia"/>
          <w:lang w:eastAsia="zh-CN"/>
        </w:rPr>
        <w:t>、关于国际证监会组织为投资者保护工作设定的基本原则，以下表述错误的是</w:t>
      </w:r>
      <w:r>
        <w:rPr>
          <w:rFonts w:ascii="黑体" w:eastAsia="黑体" w:hAnsi="黑体" w:cs="黑体" w:hint="eastAsia"/>
          <w:lang w:eastAsia="zh-CN"/>
        </w:rPr>
        <w:t>（）</w:t>
      </w:r>
      <w:r>
        <w:rPr>
          <w:rFonts w:ascii="黑体" w:eastAsia="黑体" w:hAnsi="黑体" w:cs="黑体" w:hint="eastAsia"/>
          <w:lang w:eastAsia="zh-CN"/>
        </w:rPr>
        <w:t>。</w:t>
      </w:r>
    </w:p>
    <w:p w14:paraId="36FC71A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投资者教育应有助于监管者保护投资者</w:t>
      </w:r>
    </w:p>
    <w:p w14:paraId="0DA072E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投资者教育不应被视为是对市场参与者监管工作的替代</w:t>
      </w:r>
    </w:p>
    <w:p w14:paraId="5F65B97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投资者教育有一个固定的模式</w:t>
      </w:r>
    </w:p>
    <w:p w14:paraId="5C894CD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投资者教育不能也不应等同于投资咨询</w:t>
      </w:r>
    </w:p>
    <w:p w14:paraId="1A54E36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45A52C27" w14:textId="77777777" w:rsidR="0082448A" w:rsidRDefault="00054E88">
      <w:pPr>
        <w:spacing w:line="360" w:lineRule="auto"/>
        <w:rPr>
          <w:rFonts w:ascii="黑体" w:eastAsia="黑体" w:hAnsi="黑体" w:cs="黑体"/>
        </w:rPr>
      </w:pPr>
      <w:r>
        <w:rPr>
          <w:rFonts w:ascii="黑体" w:eastAsia="黑体" w:hAnsi="黑体" w:cs="黑体" w:hint="eastAsia"/>
          <w:lang w:eastAsia="zh-CN"/>
        </w:rPr>
        <w:t>【试题解析】：国际证监会组织为投资者保护工作设定的六个基本原则：①投资者教育应有助于监管者保护投资者。②投资者教育不应被视为是对市场参与者监管工作的替代。③证券经营机构应当承担各项产品和服务的投资者教育义务，将投资者教育纳入各业务环节。④投资者教育没有一个固定的模式。相反地，它可以有多种形式，这取决于监管者的特定目标、投资者的成熟度和可供使用的资源。⑤鉴于投资者的市</w:t>
      </w:r>
      <w:r>
        <w:rPr>
          <w:rFonts w:ascii="黑体" w:eastAsia="黑体" w:hAnsi="黑体" w:cs="黑体" w:hint="eastAsia"/>
          <w:lang w:eastAsia="zh-CN"/>
        </w:rPr>
        <w:t>场经验和投资行为成熟度的层次不一，因此并不存在广泛适用的投资者教育计划。</w:t>
      </w:r>
      <w:r>
        <w:rPr>
          <w:rFonts w:ascii="黑体" w:eastAsia="黑体" w:hAnsi="黑体" w:cs="黑体" w:hint="eastAsia"/>
        </w:rPr>
        <w:t>⑥</w:t>
      </w:r>
      <w:proofErr w:type="spellStart"/>
      <w:r>
        <w:rPr>
          <w:rFonts w:ascii="黑体" w:eastAsia="黑体" w:hAnsi="黑体" w:cs="黑体" w:hint="eastAsia"/>
        </w:rPr>
        <w:t>投资者教育不能也不应等同于投资咨询</w:t>
      </w:r>
      <w:proofErr w:type="spellEnd"/>
      <w:r>
        <w:rPr>
          <w:rFonts w:ascii="黑体" w:eastAsia="黑体" w:hAnsi="黑体" w:cs="黑体" w:hint="eastAsia"/>
        </w:rPr>
        <w:t>。</w:t>
      </w:r>
    </w:p>
    <w:p w14:paraId="6C9BBB6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30</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年，颁布了《证券投资基金管理暂行办法》。</w:t>
      </w:r>
    </w:p>
    <w:p w14:paraId="2D71DD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A.1995</w:t>
      </w:r>
    </w:p>
    <w:p w14:paraId="0441B0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B.1997</w:t>
      </w:r>
    </w:p>
    <w:p w14:paraId="672E25C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C.1998</w:t>
      </w:r>
    </w:p>
    <w:p w14:paraId="706D2D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D.1999</w:t>
      </w:r>
    </w:p>
    <w:p w14:paraId="276E9D5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5995D99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372F95">
        <w:rPr>
          <w:rFonts w:ascii="黑体" w:eastAsia="黑体" w:hAnsi="黑体" w:cs="黑体" w:hint="eastAsia"/>
          <w:highlight w:val="yellow"/>
          <w:lang w:eastAsia="zh-CN"/>
        </w:rPr>
        <w:t>1997</w:t>
      </w:r>
      <w:r w:rsidRPr="00372F95">
        <w:rPr>
          <w:rFonts w:ascii="黑体" w:eastAsia="黑体" w:hAnsi="黑体" w:cs="黑体" w:hint="eastAsia"/>
          <w:highlight w:val="yellow"/>
          <w:lang w:eastAsia="zh-CN"/>
        </w:rPr>
        <w:t>年</w:t>
      </w:r>
      <w:r w:rsidRPr="00372F95">
        <w:rPr>
          <w:rFonts w:ascii="黑体" w:eastAsia="黑体" w:hAnsi="黑体" w:cs="黑体" w:hint="eastAsia"/>
          <w:highlight w:val="yellow"/>
          <w:lang w:eastAsia="zh-CN"/>
        </w:rPr>
        <w:t>11</w:t>
      </w:r>
      <w:r w:rsidRPr="00372F95">
        <w:rPr>
          <w:rFonts w:ascii="黑体" w:eastAsia="黑体" w:hAnsi="黑体" w:cs="黑体" w:hint="eastAsia"/>
          <w:highlight w:val="yellow"/>
          <w:lang w:eastAsia="zh-CN"/>
        </w:rPr>
        <w:t>月，当时的国务院证券委员会颁布了《证券投资基金管理暂行办法》</w:t>
      </w:r>
      <w:r>
        <w:rPr>
          <w:rFonts w:ascii="黑体" w:eastAsia="黑体" w:hAnsi="黑体" w:cs="黑体" w:hint="eastAsia"/>
          <w:lang w:eastAsia="zh-CN"/>
        </w:rPr>
        <w:t>，为我国证券投资基金业的规范发展奠定了法律基础。</w:t>
      </w:r>
    </w:p>
    <w:p w14:paraId="64C9FD7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31</w:t>
      </w:r>
      <w:r>
        <w:rPr>
          <w:rFonts w:ascii="黑体" w:eastAsia="黑体" w:hAnsi="黑体" w:cs="黑体" w:hint="eastAsia"/>
          <w:lang w:eastAsia="zh-CN"/>
        </w:rPr>
        <w:t>、关于基金管理人加强合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文化建设努力的方向，以下说法错误的是</w:t>
      </w:r>
      <w:r>
        <w:rPr>
          <w:rFonts w:ascii="黑体" w:eastAsia="黑体" w:hAnsi="黑体" w:cs="黑体" w:hint="eastAsia"/>
          <w:lang w:eastAsia="zh-CN"/>
        </w:rPr>
        <w:t>()</w:t>
      </w:r>
      <w:r>
        <w:rPr>
          <w:rFonts w:ascii="黑体" w:eastAsia="黑体" w:hAnsi="黑体" w:cs="黑体" w:hint="eastAsia"/>
          <w:lang w:eastAsia="zh-CN"/>
        </w:rPr>
        <w:t>。</w:t>
      </w:r>
    </w:p>
    <w:p w14:paraId="340D256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管理部门与业务部门</w:t>
      </w:r>
      <w:r>
        <w:rPr>
          <w:rFonts w:ascii="黑体" w:eastAsia="黑体" w:hAnsi="黑体" w:cs="黑体" w:hint="eastAsia"/>
          <w:lang w:eastAsia="zh-CN"/>
        </w:rPr>
        <w:t>]</w:t>
      </w:r>
      <w:r>
        <w:rPr>
          <w:rFonts w:ascii="黑体" w:eastAsia="黑体" w:hAnsi="黑体" w:cs="黑体" w:hint="eastAsia"/>
          <w:lang w:eastAsia="zh-CN"/>
        </w:rPr>
        <w:t>建立良好的人际关系，合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部门要成为防</w:t>
      </w:r>
      <w:r>
        <w:rPr>
          <w:rFonts w:ascii="黑体" w:eastAsia="黑体" w:hAnsi="黑体" w:cs="黑体" w:hint="eastAsia"/>
          <w:lang w:eastAsia="zh-CN"/>
        </w:rPr>
        <w:t>范合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风险的第一道防线</w:t>
      </w:r>
    </w:p>
    <w:p w14:paraId="7761C21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通过完善公司治理来促进合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文化建设</w:t>
      </w:r>
    </w:p>
    <w:p w14:paraId="7C5F604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有效落实合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考核机制</w:t>
      </w:r>
    </w:p>
    <w:p w14:paraId="71FDEDC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积极推行全员合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，加强合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文化思想教育</w:t>
      </w:r>
    </w:p>
    <w:p w14:paraId="359868C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32F860A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【试题解析】：业务部门作为防范合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风险的第一道防线，应主动寻求合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部门的支持和帮助，并向其提供合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风险信息。</w:t>
      </w:r>
    </w:p>
    <w:p w14:paraId="7DA0AF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32</w:t>
      </w:r>
      <w:r>
        <w:rPr>
          <w:rFonts w:ascii="黑体" w:eastAsia="黑体" w:hAnsi="黑体" w:cs="黑体" w:hint="eastAsia"/>
          <w:lang w:eastAsia="zh-CN"/>
        </w:rPr>
        <w:t>、非跨境</w:t>
      </w:r>
      <w:r>
        <w:rPr>
          <w:rFonts w:ascii="黑体" w:eastAsia="黑体" w:hAnsi="黑体" w:cs="黑体" w:hint="eastAsia"/>
          <w:lang w:eastAsia="zh-CN"/>
        </w:rPr>
        <w:t>ETF</w:t>
      </w:r>
      <w:r>
        <w:rPr>
          <w:rFonts w:ascii="黑体" w:eastAsia="黑体" w:hAnsi="黑体" w:cs="黑体" w:hint="eastAsia"/>
          <w:lang w:eastAsia="zh-CN"/>
        </w:rPr>
        <w:t>其交易日的基金份额净值除了按规定于</w:t>
      </w:r>
      <w:r>
        <w:rPr>
          <w:rFonts w:ascii="黑体" w:eastAsia="黑体" w:hAnsi="黑体" w:cs="黑体" w:hint="eastAsia"/>
          <w:lang w:eastAsia="zh-CN"/>
        </w:rPr>
        <w:t>（）</w:t>
      </w:r>
      <w:r>
        <w:rPr>
          <w:rFonts w:ascii="黑体" w:eastAsia="黑体" w:hAnsi="黑体" w:cs="黑体" w:hint="eastAsia"/>
          <w:lang w:eastAsia="zh-CN"/>
        </w:rPr>
        <w:t>在指定报刊和管理人网站披露外，也将通过证券交易所的行情发布系统于次</w:t>
      </w:r>
      <w:r>
        <w:rPr>
          <w:rFonts w:ascii="黑体" w:eastAsia="黑体" w:hAnsi="黑体" w:cs="黑体" w:hint="eastAsia"/>
          <w:lang w:eastAsia="zh-CN"/>
        </w:rPr>
        <w:t>（）</w:t>
      </w:r>
      <w:proofErr w:type="gramStart"/>
      <w:r>
        <w:rPr>
          <w:rFonts w:ascii="黑体" w:eastAsia="黑体" w:hAnsi="黑体" w:cs="黑体" w:hint="eastAsia"/>
          <w:lang w:eastAsia="zh-CN"/>
        </w:rPr>
        <w:t>个</w:t>
      </w:r>
      <w:proofErr w:type="gramEnd"/>
      <w:r>
        <w:rPr>
          <w:rFonts w:ascii="黑体" w:eastAsia="黑体" w:hAnsi="黑体" w:cs="黑体" w:hint="eastAsia"/>
          <w:lang w:eastAsia="zh-CN"/>
        </w:rPr>
        <w:t>交易日揭示。</w:t>
      </w:r>
    </w:p>
    <w:p w14:paraId="187F4A0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次日；</w:t>
      </w:r>
      <w:r>
        <w:rPr>
          <w:rFonts w:ascii="黑体" w:eastAsia="黑体" w:hAnsi="黑体" w:cs="黑体" w:hint="eastAsia"/>
          <w:lang w:eastAsia="zh-CN"/>
        </w:rPr>
        <w:t>1</w:t>
      </w:r>
    </w:p>
    <w:p w14:paraId="66469B9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次日；</w:t>
      </w:r>
      <w:r>
        <w:rPr>
          <w:rFonts w:ascii="黑体" w:eastAsia="黑体" w:hAnsi="黑体" w:cs="黑体" w:hint="eastAsia"/>
          <w:lang w:eastAsia="zh-CN"/>
        </w:rPr>
        <w:t>2</w:t>
      </w:r>
    </w:p>
    <w:p w14:paraId="3DCCF06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次</w:t>
      </w:r>
      <w:r>
        <w:rPr>
          <w:rFonts w:ascii="黑体" w:eastAsia="黑体" w:hAnsi="黑体" w:cs="黑体" w:hint="eastAsia"/>
          <w:lang w:eastAsia="zh-CN"/>
        </w:rPr>
        <w:t>1</w:t>
      </w:r>
      <w:r>
        <w:rPr>
          <w:rFonts w:ascii="黑体" w:eastAsia="黑体" w:hAnsi="黑体" w:cs="黑体" w:hint="eastAsia"/>
          <w:lang w:eastAsia="zh-CN"/>
        </w:rPr>
        <w:t>个工作日；</w:t>
      </w:r>
      <w:r>
        <w:rPr>
          <w:rFonts w:ascii="黑体" w:eastAsia="黑体" w:hAnsi="黑体" w:cs="黑体" w:hint="eastAsia"/>
          <w:lang w:eastAsia="zh-CN"/>
        </w:rPr>
        <w:t>1</w:t>
      </w:r>
    </w:p>
    <w:p w14:paraId="7A2EE6B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次</w:t>
      </w:r>
      <w:r>
        <w:rPr>
          <w:rFonts w:ascii="黑体" w:eastAsia="黑体" w:hAnsi="黑体" w:cs="黑体" w:hint="eastAsia"/>
          <w:lang w:eastAsia="zh-CN"/>
        </w:rPr>
        <w:t>1</w:t>
      </w:r>
      <w:r>
        <w:rPr>
          <w:rFonts w:ascii="黑体" w:eastAsia="黑体" w:hAnsi="黑体" w:cs="黑体" w:hint="eastAsia"/>
          <w:lang w:eastAsia="zh-CN"/>
        </w:rPr>
        <w:t>个工作日；</w:t>
      </w:r>
      <w:r>
        <w:rPr>
          <w:rFonts w:ascii="黑体" w:eastAsia="黑体" w:hAnsi="黑体" w:cs="黑体" w:hint="eastAsia"/>
          <w:lang w:eastAsia="zh-CN"/>
        </w:rPr>
        <w:t>2</w:t>
      </w:r>
    </w:p>
    <w:p w14:paraId="7455279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1DD69B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w:t>
      </w:r>
      <w:r>
        <w:rPr>
          <w:rFonts w:ascii="黑体" w:eastAsia="黑体" w:hAnsi="黑体" w:cs="黑体" w:hint="eastAsia"/>
          <w:lang w:eastAsia="zh-CN"/>
        </w:rPr>
        <w:t>上市交易之后，需按交易所的要求，在每日开市前披露当日的申购、赎回清单，并在交易时间内即时揭示基金份额参考净值。</w:t>
      </w:r>
    </w:p>
    <w:p w14:paraId="262D1D1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①在每日开市前，基金管理人需向证券交易所、证券登记结算机构提供</w:t>
      </w:r>
      <w:r>
        <w:rPr>
          <w:rFonts w:ascii="黑体" w:eastAsia="黑体" w:hAnsi="黑体" w:cs="黑体" w:hint="eastAsia"/>
          <w:lang w:eastAsia="zh-CN"/>
        </w:rPr>
        <w:t>ETF</w:t>
      </w:r>
      <w:r>
        <w:rPr>
          <w:rFonts w:ascii="黑体" w:eastAsia="黑体" w:hAnsi="黑体" w:cs="黑体" w:hint="eastAsia"/>
          <w:lang w:eastAsia="zh-CN"/>
        </w:rPr>
        <w:t>的申购、赎回清单，并通过基金公司官方网站和证券交易所指定的信息发布渠道予以公告。对于当日发布的申购、赎回清单，当日不得修改。申购、赎回清单主要包括最小申购、赎回单位对应的各组合证券名称、证券代码及数量、现金替代标志等内容。②交易日的基金份额净值除了按规定于</w:t>
      </w:r>
      <w:r w:rsidRPr="00372F95">
        <w:rPr>
          <w:rFonts w:ascii="黑体" w:eastAsia="黑体" w:hAnsi="黑体" w:cs="黑体" w:hint="eastAsia"/>
          <w:highlight w:val="yellow"/>
          <w:lang w:eastAsia="zh-CN"/>
        </w:rPr>
        <w:t>次日</w:t>
      </w:r>
      <w:r>
        <w:rPr>
          <w:rFonts w:ascii="黑体" w:eastAsia="黑体" w:hAnsi="黑体" w:cs="黑体" w:hint="eastAsia"/>
          <w:lang w:eastAsia="zh-CN"/>
        </w:rPr>
        <w:t>(</w:t>
      </w:r>
      <w:r>
        <w:rPr>
          <w:rFonts w:ascii="黑体" w:eastAsia="黑体" w:hAnsi="黑体" w:cs="黑体" w:hint="eastAsia"/>
          <w:lang w:eastAsia="zh-CN"/>
        </w:rPr>
        <w:t>跨境</w:t>
      </w:r>
      <w:r>
        <w:rPr>
          <w:rFonts w:ascii="黑体" w:eastAsia="黑体" w:hAnsi="黑体" w:cs="黑体" w:hint="eastAsia"/>
          <w:lang w:eastAsia="zh-CN"/>
        </w:rPr>
        <w:t>ETF</w:t>
      </w:r>
      <w:r>
        <w:rPr>
          <w:rFonts w:ascii="黑体" w:eastAsia="黑体" w:hAnsi="黑体" w:cs="黑体" w:hint="eastAsia"/>
          <w:lang w:eastAsia="zh-CN"/>
        </w:rPr>
        <w:t>可以为次</w:t>
      </w:r>
      <w:r>
        <w:rPr>
          <w:rFonts w:ascii="黑体" w:eastAsia="黑体" w:hAnsi="黑体" w:cs="黑体" w:hint="eastAsia"/>
          <w:lang w:eastAsia="zh-CN"/>
        </w:rPr>
        <w:t>2</w:t>
      </w:r>
      <w:r>
        <w:rPr>
          <w:rFonts w:ascii="黑体" w:eastAsia="黑体" w:hAnsi="黑体" w:cs="黑体" w:hint="eastAsia"/>
          <w:lang w:eastAsia="zh-CN"/>
        </w:rPr>
        <w:t>个工作日</w:t>
      </w:r>
      <w:r>
        <w:rPr>
          <w:rFonts w:ascii="黑体" w:eastAsia="黑体" w:hAnsi="黑体" w:cs="黑体" w:hint="eastAsia"/>
          <w:lang w:eastAsia="zh-CN"/>
        </w:rPr>
        <w:t>)</w:t>
      </w:r>
      <w:r>
        <w:rPr>
          <w:rFonts w:ascii="黑体" w:eastAsia="黑体" w:hAnsi="黑体" w:cs="黑体" w:hint="eastAsia"/>
          <w:lang w:eastAsia="zh-CN"/>
        </w:rPr>
        <w:t>在指定报刊和管理人网站披露外，也将通过证券交易所的行情发布系统于</w:t>
      </w:r>
      <w:r w:rsidRPr="00372F95">
        <w:rPr>
          <w:rFonts w:ascii="黑体" w:eastAsia="黑体" w:hAnsi="黑体" w:cs="黑体" w:hint="eastAsia"/>
          <w:highlight w:val="yellow"/>
          <w:lang w:eastAsia="zh-CN"/>
        </w:rPr>
        <w:t>次</w:t>
      </w:r>
      <w:r w:rsidRPr="00372F95">
        <w:rPr>
          <w:rFonts w:ascii="黑体" w:eastAsia="黑体" w:hAnsi="黑体" w:cs="黑体" w:hint="eastAsia"/>
          <w:highlight w:val="yellow"/>
          <w:lang w:eastAsia="zh-CN"/>
        </w:rPr>
        <w:t>1</w:t>
      </w:r>
      <w:r w:rsidRPr="00372F95">
        <w:rPr>
          <w:rFonts w:ascii="黑体" w:eastAsia="黑体" w:hAnsi="黑体" w:cs="黑体" w:hint="eastAsia"/>
          <w:highlight w:val="yellow"/>
          <w:lang w:eastAsia="zh-CN"/>
        </w:rPr>
        <w:t>个交易日</w:t>
      </w:r>
      <w:r>
        <w:rPr>
          <w:rFonts w:ascii="黑体" w:eastAsia="黑体" w:hAnsi="黑体" w:cs="黑体" w:hint="eastAsia"/>
          <w:lang w:eastAsia="zh-CN"/>
        </w:rPr>
        <w:t>(</w:t>
      </w:r>
      <w:r>
        <w:rPr>
          <w:rFonts w:ascii="黑体" w:eastAsia="黑体" w:hAnsi="黑体" w:cs="黑体" w:hint="eastAsia"/>
          <w:lang w:eastAsia="zh-CN"/>
        </w:rPr>
        <w:t>跨境</w:t>
      </w:r>
      <w:r>
        <w:rPr>
          <w:rFonts w:ascii="黑体" w:eastAsia="黑体" w:hAnsi="黑体" w:cs="黑体" w:hint="eastAsia"/>
          <w:lang w:eastAsia="zh-CN"/>
        </w:rPr>
        <w:t>ETF</w:t>
      </w:r>
      <w:r>
        <w:rPr>
          <w:rFonts w:ascii="黑体" w:eastAsia="黑体" w:hAnsi="黑体" w:cs="黑体" w:hint="eastAsia"/>
          <w:lang w:eastAsia="zh-CN"/>
        </w:rPr>
        <w:t>可以为次</w:t>
      </w:r>
      <w:r>
        <w:rPr>
          <w:rFonts w:ascii="黑体" w:eastAsia="黑体" w:hAnsi="黑体" w:cs="黑体" w:hint="eastAsia"/>
          <w:lang w:eastAsia="zh-CN"/>
        </w:rPr>
        <w:t>2</w:t>
      </w:r>
      <w:r>
        <w:rPr>
          <w:rFonts w:ascii="黑体" w:eastAsia="黑体" w:hAnsi="黑体" w:cs="黑体" w:hint="eastAsia"/>
          <w:lang w:eastAsia="zh-CN"/>
        </w:rPr>
        <w:t>个工作日</w:t>
      </w:r>
      <w:r>
        <w:rPr>
          <w:rFonts w:ascii="黑体" w:eastAsia="黑体" w:hAnsi="黑体" w:cs="黑体" w:hint="eastAsia"/>
          <w:lang w:eastAsia="zh-CN"/>
        </w:rPr>
        <w:t>)</w:t>
      </w:r>
      <w:r>
        <w:rPr>
          <w:rFonts w:ascii="黑体" w:eastAsia="黑体" w:hAnsi="黑体" w:cs="黑体" w:hint="eastAsia"/>
          <w:lang w:eastAsia="zh-CN"/>
        </w:rPr>
        <w:t>揭示。③在交易时间内，证券交易所根据基金管理</w:t>
      </w:r>
      <w:r>
        <w:rPr>
          <w:rFonts w:ascii="黑体" w:eastAsia="黑体" w:hAnsi="黑体" w:cs="黑体" w:hint="eastAsia"/>
          <w:lang w:eastAsia="zh-CN"/>
        </w:rPr>
        <w:t>人提供的基金份额参考净值计算方式、申购和赎回清单中的组合证券等信息，实时计算并公布基金份额参考净值。可见，基金份额参考净值是指在交易时间内，申购和赎回清单中组合证券</w:t>
      </w:r>
      <w:r>
        <w:rPr>
          <w:rFonts w:ascii="黑体" w:eastAsia="黑体" w:hAnsi="黑体" w:cs="黑体" w:hint="eastAsia"/>
          <w:lang w:eastAsia="zh-CN"/>
        </w:rPr>
        <w:t>(</w:t>
      </w:r>
      <w:r>
        <w:rPr>
          <w:rFonts w:ascii="黑体" w:eastAsia="黑体" w:hAnsi="黑体" w:cs="黑体" w:hint="eastAsia"/>
          <w:lang w:eastAsia="zh-CN"/>
        </w:rPr>
        <w:t>含预估现金部分</w:t>
      </w:r>
      <w:r>
        <w:rPr>
          <w:rFonts w:ascii="黑体" w:eastAsia="黑体" w:hAnsi="黑体" w:cs="黑体" w:hint="eastAsia"/>
          <w:lang w:eastAsia="zh-CN"/>
        </w:rPr>
        <w:t>)</w:t>
      </w:r>
      <w:r>
        <w:rPr>
          <w:rFonts w:ascii="黑体" w:eastAsia="黑体" w:hAnsi="黑体" w:cs="黑体" w:hint="eastAsia"/>
          <w:lang w:eastAsia="zh-CN"/>
        </w:rPr>
        <w:t>的实时市值，主要供投资者交易、申购、赎回基金份额时参考。基金管理人关于</w:t>
      </w:r>
      <w:r>
        <w:rPr>
          <w:rFonts w:ascii="黑体" w:eastAsia="黑体" w:hAnsi="黑体" w:cs="黑体" w:hint="eastAsia"/>
          <w:lang w:eastAsia="zh-CN"/>
        </w:rPr>
        <w:t>ETF</w:t>
      </w:r>
      <w:r>
        <w:rPr>
          <w:rFonts w:ascii="黑体" w:eastAsia="黑体" w:hAnsi="黑体" w:cs="黑体" w:hint="eastAsia"/>
          <w:lang w:eastAsia="zh-CN"/>
        </w:rPr>
        <w:t>份额参考净值的计算方式，一般需经证券交易所认可后公告；修改</w:t>
      </w:r>
      <w:r>
        <w:rPr>
          <w:rFonts w:ascii="黑体" w:eastAsia="黑体" w:hAnsi="黑体" w:cs="黑体" w:hint="eastAsia"/>
          <w:lang w:eastAsia="zh-CN"/>
        </w:rPr>
        <w:t>ETF</w:t>
      </w:r>
      <w:r>
        <w:rPr>
          <w:rFonts w:ascii="黑体" w:eastAsia="黑体" w:hAnsi="黑体" w:cs="黑体" w:hint="eastAsia"/>
          <w:lang w:eastAsia="zh-CN"/>
        </w:rPr>
        <w:t>份额参考净值计算方式，也需经证券交易所认可后公告。</w:t>
      </w:r>
    </w:p>
    <w:p w14:paraId="2BC2017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33</w:t>
      </w:r>
      <w:r>
        <w:rPr>
          <w:rFonts w:ascii="黑体" w:eastAsia="黑体" w:hAnsi="黑体" w:cs="黑体" w:hint="eastAsia"/>
          <w:lang w:eastAsia="zh-CN"/>
        </w:rPr>
        <w:t>、基金宣传推介材料审批报备流程的内容不包括</w:t>
      </w:r>
      <w:r>
        <w:rPr>
          <w:rFonts w:ascii="黑体" w:eastAsia="黑体" w:hAnsi="黑体" w:cs="黑体" w:hint="eastAsia"/>
          <w:lang w:eastAsia="zh-CN"/>
        </w:rPr>
        <w:t>（）</w:t>
      </w:r>
      <w:r>
        <w:rPr>
          <w:rFonts w:ascii="黑体" w:eastAsia="黑体" w:hAnsi="黑体" w:cs="黑体" w:hint="eastAsia"/>
          <w:lang w:eastAsia="zh-CN"/>
        </w:rPr>
        <w:t>。</w:t>
      </w:r>
    </w:p>
    <w:p w14:paraId="4CBF9B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报送内容</w:t>
      </w:r>
    </w:p>
    <w:p w14:paraId="6DB9C8C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报送形式</w:t>
      </w:r>
    </w:p>
    <w:p w14:paraId="0B5999D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报送时间</w:t>
      </w:r>
    </w:p>
    <w:p w14:paraId="076FDB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报送流程</w:t>
      </w:r>
      <w:r>
        <w:rPr>
          <w:rFonts w:ascii="黑体" w:eastAsia="黑体" w:hAnsi="黑体" w:cs="黑体" w:hint="eastAsia"/>
          <w:lang w:eastAsia="zh-CN"/>
        </w:rPr>
        <w:tab/>
      </w:r>
    </w:p>
    <w:p w14:paraId="695788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5E0A257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372F95">
        <w:rPr>
          <w:rFonts w:ascii="黑体" w:eastAsia="黑体" w:hAnsi="黑体" w:cs="黑体" w:hint="eastAsia"/>
          <w:highlight w:val="yellow"/>
          <w:lang w:eastAsia="zh-CN"/>
        </w:rPr>
        <w:t>基金宣传推介材料审批报备流程的内容包括报送内容、报送形式和报送流程</w:t>
      </w:r>
      <w:r>
        <w:rPr>
          <w:rFonts w:ascii="黑体" w:eastAsia="黑体" w:hAnsi="黑体" w:cs="黑体" w:hint="eastAsia"/>
          <w:lang w:eastAsia="zh-CN"/>
        </w:rPr>
        <w:t>。</w:t>
      </w:r>
    </w:p>
    <w:p w14:paraId="464C5DE3" w14:textId="77777777" w:rsidR="0082448A" w:rsidRDefault="00054E88">
      <w:pPr>
        <w:numPr>
          <w:ilvl w:val="0"/>
          <w:numId w:val="5"/>
        </w:numPr>
        <w:spacing w:line="360" w:lineRule="auto"/>
        <w:rPr>
          <w:rFonts w:ascii="黑体" w:eastAsia="黑体" w:hAnsi="黑体" w:cs="黑体"/>
          <w:lang w:eastAsia="zh-CN"/>
        </w:rPr>
      </w:pPr>
      <w:r>
        <w:rPr>
          <w:rFonts w:ascii="黑体" w:eastAsia="黑体" w:hAnsi="黑体" w:cs="黑体" w:hint="eastAsia"/>
          <w:lang w:eastAsia="zh-CN"/>
        </w:rPr>
        <w:t>基金公司从专业角度设立各类专业委员会，以下关于机制的表述正确的是</w:t>
      </w:r>
      <w:r>
        <w:rPr>
          <w:rFonts w:ascii="黑体" w:eastAsia="黑体" w:hAnsi="黑体" w:cs="黑体" w:hint="eastAsia"/>
          <w:lang w:eastAsia="zh-CN"/>
        </w:rPr>
        <w:t>（）</w:t>
      </w:r>
      <w:r>
        <w:rPr>
          <w:rFonts w:ascii="黑体" w:eastAsia="黑体" w:hAnsi="黑体" w:cs="黑体" w:hint="eastAsia"/>
          <w:lang w:eastAsia="zh-CN"/>
        </w:rPr>
        <w:t>。</w:t>
      </w:r>
    </w:p>
    <w:p w14:paraId="7ABA998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总经理办公会是公司投资的最高决策机构</w:t>
      </w:r>
    </w:p>
    <w:p w14:paraId="63A044C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专业委员会是公司内非常设的议事机构</w:t>
      </w:r>
    </w:p>
    <w:p w14:paraId="167C636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专业委员会会议包括定期会议和临时会议</w:t>
      </w:r>
    </w:p>
    <w:p w14:paraId="3CFD8A8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风险控制委员会，负责公司资产估值相关决策及执行</w:t>
      </w:r>
    </w:p>
    <w:p w14:paraId="65B94F43"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Ⅰ、Ⅱ、Ⅲ、Ⅳ</w:t>
      </w:r>
      <w:proofErr w:type="spellEnd"/>
    </w:p>
    <w:p w14:paraId="1122A9D7"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Ⅰ、Ⅱ、Ⅲ</w:t>
      </w:r>
      <w:r>
        <w:rPr>
          <w:rFonts w:ascii="黑体" w:eastAsia="黑体" w:hAnsi="黑体" w:cs="黑体" w:hint="eastAsia"/>
        </w:rPr>
        <w:t>C.</w:t>
      </w:r>
      <w:r>
        <w:rPr>
          <w:rFonts w:ascii="黑体" w:eastAsia="黑体" w:hAnsi="黑体" w:cs="黑体" w:hint="eastAsia"/>
        </w:rPr>
        <w:t>Ⅱ、Ⅲ</w:t>
      </w:r>
      <w:proofErr w:type="spellEnd"/>
    </w:p>
    <w:p w14:paraId="79DA512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Ⅱ、Ⅲ、Ⅳ</w:t>
      </w:r>
    </w:p>
    <w:p w14:paraId="476934C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2A1A22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【试题解析】：Ⅰ项，投资决策委员会是基金管理公司管理基金投资的最高决策机构，是非常</w:t>
      </w:r>
      <w:r>
        <w:rPr>
          <w:rFonts w:ascii="黑体" w:eastAsia="黑体" w:hAnsi="黑体" w:cs="黑体" w:hint="eastAsia"/>
          <w:lang w:eastAsia="zh-CN"/>
        </w:rPr>
        <w:t>设的议事机构；Ⅳ项，估值委员会负责公司资产估值相关决策及执行，保证资产估值的公平、合理。</w:t>
      </w:r>
    </w:p>
    <w:p w14:paraId="479C77E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35</w:t>
      </w:r>
      <w:r>
        <w:rPr>
          <w:rFonts w:ascii="黑体" w:eastAsia="黑体" w:hAnsi="黑体" w:cs="黑体" w:hint="eastAsia"/>
          <w:lang w:eastAsia="zh-CN"/>
        </w:rPr>
        <w:t>、根据</w:t>
      </w:r>
      <w:r>
        <w:rPr>
          <w:rFonts w:ascii="黑体" w:eastAsia="黑体" w:hAnsi="黑体" w:cs="黑体" w:hint="eastAsia"/>
          <w:lang w:eastAsia="zh-CN"/>
        </w:rPr>
        <w:t>ETF</w:t>
      </w:r>
      <w:r>
        <w:rPr>
          <w:rFonts w:ascii="黑体" w:eastAsia="黑体" w:hAnsi="黑体" w:cs="黑体" w:hint="eastAsia"/>
          <w:lang w:eastAsia="zh-CN"/>
        </w:rPr>
        <w:t>跟踪某一标的市场指数不同分类的</w:t>
      </w:r>
      <w:r>
        <w:rPr>
          <w:rFonts w:ascii="黑体" w:eastAsia="黑体" w:hAnsi="黑体" w:cs="黑体" w:hint="eastAsia"/>
          <w:lang w:eastAsia="zh-CN"/>
        </w:rPr>
        <w:t>ETF</w:t>
      </w:r>
      <w:r>
        <w:rPr>
          <w:rFonts w:ascii="黑体" w:eastAsia="黑体" w:hAnsi="黑体" w:cs="黑体" w:hint="eastAsia"/>
          <w:lang w:eastAsia="zh-CN"/>
        </w:rPr>
        <w:t>种类有</w:t>
      </w:r>
      <w:r>
        <w:rPr>
          <w:rFonts w:ascii="黑体" w:eastAsia="黑体" w:hAnsi="黑体" w:cs="黑体" w:hint="eastAsia"/>
          <w:lang w:eastAsia="zh-CN"/>
        </w:rPr>
        <w:t>（）</w:t>
      </w:r>
      <w:r>
        <w:rPr>
          <w:rFonts w:ascii="黑体" w:eastAsia="黑体" w:hAnsi="黑体" w:cs="黑体" w:hint="eastAsia"/>
          <w:lang w:eastAsia="zh-CN"/>
        </w:rPr>
        <w:t>。</w:t>
      </w:r>
    </w:p>
    <w:p w14:paraId="58AF9A1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全球指数</w:t>
      </w:r>
      <w:r>
        <w:rPr>
          <w:rFonts w:ascii="黑体" w:eastAsia="黑体" w:hAnsi="黑体" w:cs="黑体" w:hint="eastAsia"/>
          <w:lang w:eastAsia="zh-CN"/>
        </w:rPr>
        <w:t>ETF</w:t>
      </w:r>
      <w:r>
        <w:rPr>
          <w:rFonts w:ascii="黑体" w:eastAsia="黑体" w:hAnsi="黑体" w:cs="黑体" w:hint="eastAsia"/>
          <w:lang w:eastAsia="zh-CN"/>
        </w:rPr>
        <w:t xml:space="preserve"> </w:t>
      </w:r>
      <w:r>
        <w:rPr>
          <w:rFonts w:ascii="黑体" w:eastAsia="黑体" w:hAnsi="黑体" w:cs="黑体" w:hint="eastAsia"/>
          <w:lang w:eastAsia="zh-CN"/>
        </w:rPr>
        <w:t>B.</w:t>
      </w:r>
      <w:r>
        <w:rPr>
          <w:rFonts w:ascii="黑体" w:eastAsia="黑体" w:hAnsi="黑体" w:cs="黑体" w:hint="eastAsia"/>
          <w:lang w:eastAsia="zh-CN"/>
        </w:rPr>
        <w:t>综合指数</w:t>
      </w:r>
      <w:r>
        <w:rPr>
          <w:rFonts w:ascii="黑体" w:eastAsia="黑体" w:hAnsi="黑体" w:cs="黑体" w:hint="eastAsia"/>
          <w:lang w:eastAsia="zh-CN"/>
        </w:rPr>
        <w:t>ETF</w:t>
      </w:r>
      <w:r>
        <w:rPr>
          <w:rFonts w:ascii="黑体" w:eastAsia="黑体" w:hAnsi="黑体" w:cs="黑体" w:hint="eastAsia"/>
          <w:lang w:eastAsia="zh-CN"/>
        </w:rPr>
        <w:t xml:space="preserve"> </w:t>
      </w:r>
      <w:r>
        <w:rPr>
          <w:rFonts w:ascii="黑体" w:eastAsia="黑体" w:hAnsi="黑体" w:cs="黑体" w:hint="eastAsia"/>
          <w:lang w:eastAsia="zh-CN"/>
        </w:rPr>
        <w:t>C.</w:t>
      </w:r>
      <w:r>
        <w:rPr>
          <w:rFonts w:ascii="黑体" w:eastAsia="黑体" w:hAnsi="黑体" w:cs="黑体" w:hint="eastAsia"/>
          <w:lang w:eastAsia="zh-CN"/>
        </w:rPr>
        <w:t>行业指数</w:t>
      </w:r>
      <w:r>
        <w:rPr>
          <w:rFonts w:ascii="黑体" w:eastAsia="黑体" w:hAnsi="黑体" w:cs="黑体" w:hint="eastAsia"/>
          <w:lang w:eastAsia="zh-CN"/>
        </w:rPr>
        <w:t>ETF</w:t>
      </w:r>
      <w:r>
        <w:rPr>
          <w:rFonts w:ascii="黑体" w:eastAsia="黑体" w:hAnsi="黑体" w:cs="黑体" w:hint="eastAsia"/>
          <w:lang w:eastAsia="zh-CN"/>
        </w:rPr>
        <w:t xml:space="preserve"> </w:t>
      </w:r>
      <w:r>
        <w:rPr>
          <w:rFonts w:ascii="黑体" w:eastAsia="黑体" w:hAnsi="黑体" w:cs="黑体" w:hint="eastAsia"/>
          <w:lang w:eastAsia="zh-CN"/>
        </w:rPr>
        <w:t>D.</w:t>
      </w:r>
      <w:r>
        <w:rPr>
          <w:rFonts w:ascii="黑体" w:eastAsia="黑体" w:hAnsi="黑体" w:cs="黑体" w:hint="eastAsia"/>
          <w:lang w:eastAsia="zh-CN"/>
        </w:rPr>
        <w:t>股票型</w:t>
      </w:r>
      <w:r>
        <w:rPr>
          <w:rFonts w:ascii="黑体" w:eastAsia="黑体" w:hAnsi="黑体" w:cs="黑体" w:hint="eastAsia"/>
          <w:lang w:eastAsia="zh-CN"/>
        </w:rPr>
        <w:t>ETF</w:t>
      </w:r>
    </w:p>
    <w:p w14:paraId="63B6B29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72EEA6C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【试题解析】：根据</w:t>
      </w:r>
      <w:r>
        <w:rPr>
          <w:rFonts w:ascii="黑体" w:eastAsia="黑体" w:hAnsi="黑体" w:cs="黑体" w:hint="eastAsia"/>
          <w:lang w:eastAsia="zh-CN"/>
        </w:rPr>
        <w:t>ETF</w:t>
      </w:r>
      <w:r>
        <w:rPr>
          <w:rFonts w:ascii="黑体" w:eastAsia="黑体" w:hAnsi="黑体" w:cs="黑体" w:hint="eastAsia"/>
          <w:lang w:eastAsia="zh-CN"/>
        </w:rPr>
        <w:t>跟踪某一标的市场指数的不同，可以将</w:t>
      </w:r>
      <w:r w:rsidRPr="00372F95">
        <w:rPr>
          <w:rFonts w:ascii="黑体" w:eastAsia="黑体" w:hAnsi="黑体" w:cs="黑体" w:hint="eastAsia"/>
          <w:highlight w:val="yellow"/>
          <w:lang w:eastAsia="zh-CN"/>
        </w:rPr>
        <w:t>ETF</w:t>
      </w:r>
      <w:r w:rsidRPr="00372F95">
        <w:rPr>
          <w:rFonts w:ascii="黑体" w:eastAsia="黑体" w:hAnsi="黑体" w:cs="黑体" w:hint="eastAsia"/>
          <w:highlight w:val="yellow"/>
          <w:lang w:eastAsia="zh-CN"/>
        </w:rPr>
        <w:t>分为股票型</w:t>
      </w:r>
      <w:r w:rsidRPr="00372F95">
        <w:rPr>
          <w:rFonts w:ascii="黑体" w:eastAsia="黑体" w:hAnsi="黑体" w:cs="黑体" w:hint="eastAsia"/>
          <w:highlight w:val="yellow"/>
          <w:lang w:eastAsia="zh-CN"/>
        </w:rPr>
        <w:t>ETF</w:t>
      </w:r>
      <w:r w:rsidRPr="00372F95">
        <w:rPr>
          <w:rFonts w:ascii="黑体" w:eastAsia="黑体" w:hAnsi="黑体" w:cs="黑体" w:hint="eastAsia"/>
          <w:highlight w:val="yellow"/>
          <w:lang w:eastAsia="zh-CN"/>
        </w:rPr>
        <w:t>、债券型</w:t>
      </w:r>
      <w:r w:rsidRPr="00372F95">
        <w:rPr>
          <w:rFonts w:ascii="黑体" w:eastAsia="黑体" w:hAnsi="黑体" w:cs="黑体" w:hint="eastAsia"/>
          <w:highlight w:val="yellow"/>
          <w:lang w:eastAsia="zh-CN"/>
        </w:rPr>
        <w:t>ETF</w:t>
      </w:r>
      <w:r w:rsidRPr="00372F95">
        <w:rPr>
          <w:rFonts w:ascii="黑体" w:eastAsia="黑体" w:hAnsi="黑体" w:cs="黑体" w:hint="eastAsia"/>
          <w:highlight w:val="yellow"/>
          <w:lang w:eastAsia="zh-CN"/>
        </w:rPr>
        <w:t>、商品型</w:t>
      </w:r>
      <w:r w:rsidRPr="00372F95">
        <w:rPr>
          <w:rFonts w:ascii="黑体" w:eastAsia="黑体" w:hAnsi="黑体" w:cs="黑体" w:hint="eastAsia"/>
          <w:highlight w:val="yellow"/>
          <w:lang w:eastAsia="zh-CN"/>
        </w:rPr>
        <w:t>ETF</w:t>
      </w:r>
      <w:r w:rsidRPr="00372F95">
        <w:rPr>
          <w:rFonts w:ascii="黑体" w:eastAsia="黑体" w:hAnsi="黑体" w:cs="黑体" w:hint="eastAsia"/>
          <w:highlight w:val="yellow"/>
          <w:lang w:eastAsia="zh-CN"/>
        </w:rPr>
        <w:t>等</w:t>
      </w:r>
      <w:r>
        <w:rPr>
          <w:rFonts w:ascii="黑体" w:eastAsia="黑体" w:hAnsi="黑体" w:cs="黑体" w:hint="eastAsia"/>
          <w:lang w:eastAsia="zh-CN"/>
        </w:rPr>
        <w:t>。</w:t>
      </w:r>
    </w:p>
    <w:p w14:paraId="4880B1D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36</w:t>
      </w:r>
      <w:r>
        <w:rPr>
          <w:rFonts w:ascii="黑体" w:eastAsia="黑体" w:hAnsi="黑体" w:cs="黑体" w:hint="eastAsia"/>
          <w:lang w:eastAsia="zh-CN"/>
        </w:rPr>
        <w:t>、下列关于基金销售费用具体规范的说法中，错误的是</w:t>
      </w:r>
      <w:r>
        <w:rPr>
          <w:rFonts w:ascii="黑体" w:eastAsia="黑体" w:hAnsi="黑体" w:cs="黑体" w:hint="eastAsia"/>
          <w:lang w:eastAsia="zh-CN"/>
        </w:rPr>
        <w:t>（）</w:t>
      </w:r>
      <w:r>
        <w:rPr>
          <w:rFonts w:ascii="黑体" w:eastAsia="黑体" w:hAnsi="黑体" w:cs="黑体" w:hint="eastAsia"/>
          <w:lang w:eastAsia="zh-CN"/>
        </w:rPr>
        <w:t>。</w:t>
      </w:r>
    </w:p>
    <w:p w14:paraId="0C32D8F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基金管理人可以向销售机构支付非以销售基金的保有量为基础的客户维护费Ⅱ</w:t>
      </w:r>
      <w:r>
        <w:rPr>
          <w:rFonts w:ascii="黑体" w:eastAsia="黑体" w:hAnsi="黑体" w:cs="黑体" w:hint="eastAsia"/>
          <w:lang w:eastAsia="zh-CN"/>
        </w:rPr>
        <w:t>.</w:t>
      </w:r>
      <w:r>
        <w:rPr>
          <w:rFonts w:ascii="黑体" w:eastAsia="黑体" w:hAnsi="黑体" w:cs="黑体" w:hint="eastAsia"/>
          <w:lang w:eastAsia="zh-CN"/>
        </w:rPr>
        <w:t>未经招募说明</w:t>
      </w:r>
      <w:r>
        <w:rPr>
          <w:rFonts w:ascii="黑体" w:eastAsia="黑体" w:hAnsi="黑体" w:cs="黑体" w:hint="eastAsia"/>
          <w:lang w:eastAsia="zh-CN"/>
        </w:rPr>
        <w:t>书载明并公告，可以对不同投资人适用不同费率</w:t>
      </w:r>
    </w:p>
    <w:p w14:paraId="15BAA2D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客户维护费不得从基金管理费中列支</w:t>
      </w:r>
    </w:p>
    <w:p w14:paraId="34052E6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基金管理人与基金销售机构应在基金销售协议及其补充协议中约定，双方在各项费用上的分成比例</w:t>
      </w:r>
    </w:p>
    <w:p w14:paraId="45D0FBC8"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w:t>
      </w:r>
      <w:proofErr w:type="spellEnd"/>
    </w:p>
    <w:p w14:paraId="7D57F880"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Ⅰ、Ⅱ</w:t>
      </w:r>
      <w:proofErr w:type="spellEnd"/>
    </w:p>
    <w:p w14:paraId="32E54654"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lastRenderedPageBreak/>
        <w:t>C.</w:t>
      </w:r>
      <w:r>
        <w:rPr>
          <w:rFonts w:ascii="黑体" w:eastAsia="黑体" w:hAnsi="黑体" w:cs="黑体" w:hint="eastAsia"/>
        </w:rPr>
        <w:t>Ⅰ、Ⅱ、Ⅲ</w:t>
      </w:r>
      <w:proofErr w:type="spellEnd"/>
    </w:p>
    <w:p w14:paraId="20C7D9D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Ⅰ、Ⅱ、Ⅲ、Ⅳ</w:t>
      </w:r>
    </w:p>
    <w:p w14:paraId="2DFDA27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764F7FE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【试题解析】：基金销售费用具体规范包括：</w:t>
      </w:r>
    </w:p>
    <w:p w14:paraId="62E9DF3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基金销售机构应当依据相关法律法规的要求，完善内部控制制度和业务执行系统，健全内部监督和反馈系统，加强后台管理系统对费率的合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控制，强化对分支机构基金销售费用的统一管理和监督。</w:t>
      </w:r>
    </w:p>
    <w:p w14:paraId="4124F9D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sidRPr="00B34520">
        <w:rPr>
          <w:rFonts w:ascii="黑体" w:eastAsia="黑体" w:hAnsi="黑体" w:cs="黑体" w:hint="eastAsia"/>
          <w:highlight w:val="yellow"/>
          <w:lang w:eastAsia="zh-CN"/>
        </w:rPr>
        <w:t>基金销售机构应当按照基金合同和招募说明书的约定向投资人收取销售费用；未经招募说明书载明并公告，不得对不同投资人适用不同费率。</w:t>
      </w:r>
      <w:r>
        <w:rPr>
          <w:rFonts w:ascii="黑体" w:eastAsia="黑体" w:hAnsi="黑体" w:cs="黑体" w:hint="eastAsia"/>
          <w:lang w:eastAsia="zh-CN"/>
        </w:rPr>
        <w:t>(</w:t>
      </w:r>
      <w:proofErr w:type="gramStart"/>
      <w:r>
        <w:rPr>
          <w:rFonts w:ascii="黑体" w:eastAsia="黑体" w:hAnsi="黑体" w:cs="黑体" w:hint="eastAsia"/>
          <w:lang w:eastAsia="zh-CN"/>
        </w:rPr>
        <w:t>Ⅱ项说法</w:t>
      </w:r>
      <w:proofErr w:type="gramEnd"/>
      <w:r>
        <w:rPr>
          <w:rFonts w:ascii="黑体" w:eastAsia="黑体" w:hAnsi="黑体" w:cs="黑体" w:hint="eastAsia"/>
          <w:lang w:eastAsia="zh-CN"/>
        </w:rPr>
        <w:t>错误）</w:t>
      </w:r>
    </w:p>
    <w:p w14:paraId="4291F4D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基金管理人与基金销售机构应在基金销售协议及其补充协议中约定，双方在申购</w:t>
      </w:r>
      <w:r>
        <w:rPr>
          <w:rFonts w:ascii="黑体" w:eastAsia="黑体" w:hAnsi="黑体" w:cs="黑体" w:hint="eastAsia"/>
          <w:lang w:eastAsia="zh-CN"/>
        </w:rPr>
        <w:t>(</w:t>
      </w:r>
      <w:r>
        <w:rPr>
          <w:rFonts w:ascii="黑体" w:eastAsia="黑体" w:hAnsi="黑体" w:cs="黑体" w:hint="eastAsia"/>
          <w:lang w:eastAsia="zh-CN"/>
        </w:rPr>
        <w:t>认购</w:t>
      </w:r>
      <w:r>
        <w:rPr>
          <w:rFonts w:ascii="黑体" w:eastAsia="黑体" w:hAnsi="黑体" w:cs="黑体" w:hint="eastAsia"/>
          <w:lang w:eastAsia="zh-CN"/>
        </w:rPr>
        <w:t>)</w:t>
      </w:r>
      <w:r>
        <w:rPr>
          <w:rFonts w:ascii="黑体" w:eastAsia="黑体" w:hAnsi="黑体" w:cs="黑体" w:hint="eastAsia"/>
          <w:lang w:eastAsia="zh-CN"/>
        </w:rPr>
        <w:t>费、赎回费、销售服务费等销售费用的分成比例，并据此就各自实际取得的销售费用确认基金销售收入，如实核</w:t>
      </w:r>
      <w:r>
        <w:rPr>
          <w:rFonts w:ascii="黑体" w:eastAsia="黑体" w:hAnsi="黑体" w:cs="黑体" w:hint="eastAsia"/>
          <w:lang w:eastAsia="zh-CN"/>
        </w:rPr>
        <w:t>算、记账，依法纳税。</w:t>
      </w:r>
      <w:r>
        <w:rPr>
          <w:rFonts w:ascii="黑体" w:eastAsia="黑体" w:hAnsi="黑体" w:cs="黑体" w:hint="eastAsia"/>
          <w:lang w:eastAsia="zh-CN"/>
        </w:rPr>
        <w:t>(</w:t>
      </w:r>
      <w:proofErr w:type="gramStart"/>
      <w:r>
        <w:rPr>
          <w:rFonts w:ascii="黑体" w:eastAsia="黑体" w:hAnsi="黑体" w:cs="黑体" w:hint="eastAsia"/>
          <w:lang w:eastAsia="zh-CN"/>
        </w:rPr>
        <w:t>Ⅳ项说法</w:t>
      </w:r>
      <w:proofErr w:type="gramEnd"/>
      <w:r>
        <w:rPr>
          <w:rFonts w:ascii="黑体" w:eastAsia="黑体" w:hAnsi="黑体" w:cs="黑体" w:hint="eastAsia"/>
          <w:lang w:eastAsia="zh-CN"/>
        </w:rPr>
        <w:t>正确）</w:t>
      </w:r>
    </w:p>
    <w:p w14:paraId="746BA5D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w:t>
      </w:r>
      <w:r>
        <w:rPr>
          <w:rFonts w:ascii="黑体" w:eastAsia="黑体" w:hAnsi="黑体" w:cs="黑体" w:hint="eastAsia"/>
          <w:lang w:eastAsia="zh-CN"/>
        </w:rPr>
        <w:t>基金销售机构销售基金管理人的基金产品前，应与基金管理人签订销售协议，约定支付报酬的比例和方式。基金管理人与基金销售机构可以在基金销售协议中约定依据销售机构销售基金的保有量提取一定比例的客户维护费，用以向基金销售机构支付客户服务及销售活动中产生的相关费用，客户维护费从基金管理费中列支。</w:t>
      </w:r>
    </w:p>
    <w:p w14:paraId="60C6F87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w:t>
      </w:r>
      <w:r>
        <w:rPr>
          <w:rFonts w:ascii="黑体" w:eastAsia="黑体" w:hAnsi="黑体" w:cs="黑体" w:hint="eastAsia"/>
          <w:lang w:eastAsia="zh-CN"/>
        </w:rPr>
        <w:t>基金管理人和基金销售机构应当在基金销售协议中明确约定销售费用的结算方式和支付方式，除客户维护费外，不得就销售费用签订其他补充协议。</w:t>
      </w:r>
    </w:p>
    <w:p w14:paraId="4C3787C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w:t>
      </w:r>
      <w:r>
        <w:rPr>
          <w:rFonts w:ascii="黑体" w:eastAsia="黑体" w:hAnsi="黑体" w:cs="黑体" w:hint="eastAsia"/>
          <w:lang w:eastAsia="zh-CN"/>
        </w:rPr>
        <w:t>基金管理人不得向销售机构支付非以销售基</w:t>
      </w:r>
      <w:r>
        <w:rPr>
          <w:rFonts w:ascii="黑体" w:eastAsia="黑体" w:hAnsi="黑体" w:cs="黑体" w:hint="eastAsia"/>
          <w:lang w:eastAsia="zh-CN"/>
        </w:rPr>
        <w:t>金的保有量为基础的客户维护费，不得在基金销售协议之外支付或变相支付销售佣金或报酬奖励。</w:t>
      </w:r>
      <w:r>
        <w:rPr>
          <w:rFonts w:ascii="黑体" w:eastAsia="黑体" w:hAnsi="黑体" w:cs="黑体" w:hint="eastAsia"/>
          <w:lang w:eastAsia="zh-CN"/>
        </w:rPr>
        <w:t>(</w:t>
      </w:r>
      <w:proofErr w:type="gramStart"/>
      <w:r>
        <w:rPr>
          <w:rFonts w:ascii="黑体" w:eastAsia="黑体" w:hAnsi="黑体" w:cs="黑体" w:hint="eastAsia"/>
          <w:lang w:eastAsia="zh-CN"/>
        </w:rPr>
        <w:t>Ⅰ项说法</w:t>
      </w:r>
      <w:proofErr w:type="gramEnd"/>
      <w:r>
        <w:rPr>
          <w:rFonts w:ascii="黑体" w:eastAsia="黑体" w:hAnsi="黑体" w:cs="黑体" w:hint="eastAsia"/>
          <w:lang w:eastAsia="zh-CN"/>
        </w:rPr>
        <w:t>错误）</w:t>
      </w:r>
    </w:p>
    <w:p w14:paraId="0961029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w:t>
      </w:r>
      <w:r>
        <w:rPr>
          <w:rFonts w:ascii="黑体" w:eastAsia="黑体" w:hAnsi="黑体" w:cs="黑体" w:hint="eastAsia"/>
          <w:lang w:eastAsia="zh-CN"/>
        </w:rPr>
        <w:t>基金销售机构在基金销售活动中，不得有下列行为：①在签订销售协议或销售基金的活动中进行商业贿赂；②以排挤竞争对手为目的，压低基金的收费水平；③未经公告擅自变更向基金投资人的收费项目或收费标准，或通过先收后返、财务处理等方式变相降低收费标准；④采取抽奖、回扣或者送实物、保险、基金份额等方式销售基金；⑤其他违反法律、行政法规的规定，扰乱行业竞争秩序的行为。</w:t>
      </w:r>
    </w:p>
    <w:p w14:paraId="69AD02C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w:t>
      </w:r>
      <w:r>
        <w:rPr>
          <w:rFonts w:ascii="黑体" w:eastAsia="黑体" w:hAnsi="黑体" w:cs="黑体" w:hint="eastAsia"/>
          <w:lang w:eastAsia="zh-CN"/>
        </w:rPr>
        <w:t>基金管理人应当在招募说明书及基金份额发售公</w:t>
      </w:r>
      <w:r>
        <w:rPr>
          <w:rFonts w:ascii="黑体" w:eastAsia="黑体" w:hAnsi="黑体" w:cs="黑体" w:hint="eastAsia"/>
          <w:lang w:eastAsia="zh-CN"/>
        </w:rPr>
        <w:t>告中载明以下有关基金销售费用的信息内容：①基金销售费用收取的条件、方式、用途和费用标准；②以简单明了的格式和举例方式向投资人说明基金销售费用水平；③中国证监会规定的其他有关基金销售费用的信息事项。</w:t>
      </w:r>
    </w:p>
    <w:p w14:paraId="2D50F87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w:t>
      </w:r>
      <w:r w:rsidRPr="00B34520">
        <w:rPr>
          <w:rFonts w:ascii="黑体" w:eastAsia="黑体" w:hAnsi="黑体" w:cs="黑体" w:hint="eastAsia"/>
          <w:highlight w:val="yellow"/>
          <w:lang w:eastAsia="zh-CN"/>
        </w:rPr>
        <w:t>基金管理人应当在基金半年度报告和基金年度报告中披露从基金财产中计提的管理费、托管费、基金销售服务费的金额，并说明管理费中支付给基金销售机构的客户维护费总额。</w:t>
      </w:r>
      <w:r w:rsidRPr="00B34520">
        <w:rPr>
          <w:rFonts w:ascii="黑体" w:eastAsia="黑体" w:hAnsi="黑体" w:cs="黑体" w:hint="eastAsia"/>
          <w:highlight w:val="yellow"/>
          <w:lang w:eastAsia="zh-CN"/>
        </w:rPr>
        <w:t>(</w:t>
      </w:r>
      <w:proofErr w:type="gramStart"/>
      <w:r w:rsidRPr="00B34520">
        <w:rPr>
          <w:rFonts w:ascii="黑体" w:eastAsia="黑体" w:hAnsi="黑体" w:cs="黑体" w:hint="eastAsia"/>
          <w:highlight w:val="yellow"/>
          <w:lang w:eastAsia="zh-CN"/>
        </w:rPr>
        <w:t>Ⅲ项说法</w:t>
      </w:r>
      <w:proofErr w:type="gramEnd"/>
      <w:r w:rsidRPr="00B34520">
        <w:rPr>
          <w:rFonts w:ascii="黑体" w:eastAsia="黑体" w:hAnsi="黑体" w:cs="黑体" w:hint="eastAsia"/>
          <w:highlight w:val="yellow"/>
          <w:lang w:eastAsia="zh-CN"/>
        </w:rPr>
        <w:t>错误）</w:t>
      </w:r>
    </w:p>
    <w:p w14:paraId="1658DB7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(10)</w:t>
      </w:r>
      <w:r>
        <w:rPr>
          <w:rFonts w:ascii="黑体" w:eastAsia="黑体" w:hAnsi="黑体" w:cs="黑体" w:hint="eastAsia"/>
          <w:lang w:eastAsia="zh-CN"/>
        </w:rPr>
        <w:t>基金管理人应当在每季度的监察稽核报告中列明基金销售费用的具体支付项目和使用情况以及从管理费中支付的客户维护费总额。</w:t>
      </w:r>
    </w:p>
    <w:p w14:paraId="69E7AC08" w14:textId="77777777" w:rsidR="0082448A" w:rsidRDefault="00054E88">
      <w:pPr>
        <w:numPr>
          <w:ilvl w:val="0"/>
          <w:numId w:val="6"/>
        </w:numPr>
        <w:spacing w:line="360" w:lineRule="auto"/>
        <w:rPr>
          <w:rFonts w:ascii="黑体" w:eastAsia="黑体" w:hAnsi="黑体" w:cs="黑体"/>
          <w:lang w:eastAsia="zh-CN"/>
        </w:rPr>
      </w:pPr>
      <w:r>
        <w:rPr>
          <w:rFonts w:ascii="黑体" w:eastAsia="黑体" w:hAnsi="黑体" w:cs="黑体" w:hint="eastAsia"/>
          <w:lang w:eastAsia="zh-CN"/>
        </w:rPr>
        <w:t>某开放式基</w:t>
      </w:r>
      <w:r>
        <w:rPr>
          <w:rFonts w:ascii="黑体" w:eastAsia="黑体" w:hAnsi="黑体" w:cs="黑体" w:hint="eastAsia"/>
          <w:lang w:eastAsia="zh-CN"/>
        </w:rPr>
        <w:t>金的基金总份额为</w:t>
      </w:r>
      <w:r>
        <w:rPr>
          <w:rFonts w:ascii="黑体" w:eastAsia="黑体" w:hAnsi="黑体" w:cs="黑体" w:hint="eastAsia"/>
          <w:lang w:eastAsia="zh-CN"/>
        </w:rPr>
        <w:t>1</w:t>
      </w:r>
      <w:r>
        <w:rPr>
          <w:rFonts w:ascii="黑体" w:eastAsia="黑体" w:hAnsi="黑体" w:cs="黑体" w:hint="eastAsia"/>
          <w:lang w:eastAsia="zh-CN"/>
        </w:rPr>
        <w:t>亿元，下列情形中未构成巨额赎回的是</w:t>
      </w:r>
      <w:r>
        <w:rPr>
          <w:rFonts w:ascii="黑体" w:eastAsia="黑体" w:hAnsi="黑体" w:cs="黑体" w:hint="eastAsia"/>
          <w:lang w:eastAsia="zh-CN"/>
        </w:rPr>
        <w:t>（）</w:t>
      </w:r>
      <w:r>
        <w:rPr>
          <w:rFonts w:ascii="黑体" w:eastAsia="黑体" w:hAnsi="黑体" w:cs="黑体" w:hint="eastAsia"/>
          <w:lang w:eastAsia="zh-CN"/>
        </w:rPr>
        <w:t>。</w:t>
      </w:r>
    </w:p>
    <w:p w14:paraId="77BFA644" w14:textId="77777777" w:rsidR="0082448A" w:rsidRDefault="00054E88">
      <w:pPr>
        <w:numPr>
          <w:ilvl w:val="0"/>
          <w:numId w:val="7"/>
        </w:numPr>
        <w:spacing w:line="360" w:lineRule="auto"/>
        <w:rPr>
          <w:rFonts w:ascii="黑体" w:eastAsia="黑体" w:hAnsi="黑体" w:cs="黑体"/>
          <w:lang w:eastAsia="zh-CN"/>
        </w:rPr>
      </w:pPr>
      <w:r>
        <w:rPr>
          <w:rFonts w:ascii="黑体" w:eastAsia="黑体" w:hAnsi="黑体" w:cs="黑体" w:hint="eastAsia"/>
          <w:lang w:eastAsia="zh-CN"/>
        </w:rPr>
        <w:t>赎回</w:t>
      </w:r>
      <w:r>
        <w:rPr>
          <w:rFonts w:ascii="黑体" w:eastAsia="黑体" w:hAnsi="黑体" w:cs="黑体" w:hint="eastAsia"/>
          <w:lang w:eastAsia="zh-CN"/>
        </w:rPr>
        <w:t>700</w:t>
      </w:r>
      <w:r>
        <w:rPr>
          <w:rFonts w:ascii="黑体" w:eastAsia="黑体" w:hAnsi="黑体" w:cs="黑体" w:hint="eastAsia"/>
          <w:lang w:eastAsia="zh-CN"/>
        </w:rPr>
        <w:t>万份，申购</w:t>
      </w:r>
      <w:r>
        <w:rPr>
          <w:rFonts w:ascii="黑体" w:eastAsia="黑体" w:hAnsi="黑体" w:cs="黑体" w:hint="eastAsia"/>
          <w:lang w:eastAsia="zh-CN"/>
        </w:rPr>
        <w:t>100</w:t>
      </w:r>
      <w:r>
        <w:rPr>
          <w:rFonts w:ascii="黑体" w:eastAsia="黑体" w:hAnsi="黑体" w:cs="黑体" w:hint="eastAsia"/>
          <w:lang w:eastAsia="zh-CN"/>
        </w:rPr>
        <w:t>万份，通过基金转换转出</w:t>
      </w:r>
      <w:r>
        <w:rPr>
          <w:rFonts w:ascii="黑体" w:eastAsia="黑体" w:hAnsi="黑体" w:cs="黑体" w:hint="eastAsia"/>
          <w:lang w:eastAsia="zh-CN"/>
        </w:rPr>
        <w:t>1500</w:t>
      </w:r>
      <w:r>
        <w:rPr>
          <w:rFonts w:ascii="黑体" w:eastAsia="黑体" w:hAnsi="黑体" w:cs="黑体" w:hint="eastAsia"/>
          <w:lang w:eastAsia="zh-CN"/>
        </w:rPr>
        <w:t>万份，转入</w:t>
      </w:r>
      <w:r>
        <w:rPr>
          <w:rFonts w:ascii="黑体" w:eastAsia="黑体" w:hAnsi="黑体" w:cs="黑体" w:hint="eastAsia"/>
          <w:lang w:eastAsia="zh-CN"/>
        </w:rPr>
        <w:t>1000</w:t>
      </w:r>
      <w:r>
        <w:rPr>
          <w:rFonts w:ascii="黑体" w:eastAsia="黑体" w:hAnsi="黑体" w:cs="黑体" w:hint="eastAsia"/>
          <w:lang w:eastAsia="zh-CN"/>
        </w:rPr>
        <w:t>万份</w:t>
      </w:r>
    </w:p>
    <w:p w14:paraId="0E5A66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赎回</w:t>
      </w:r>
      <w:r>
        <w:rPr>
          <w:rFonts w:ascii="黑体" w:eastAsia="黑体" w:hAnsi="黑体" w:cs="黑体" w:hint="eastAsia"/>
          <w:lang w:eastAsia="zh-CN"/>
        </w:rPr>
        <w:t>2000</w:t>
      </w:r>
      <w:r>
        <w:rPr>
          <w:rFonts w:ascii="黑体" w:eastAsia="黑体" w:hAnsi="黑体" w:cs="黑体" w:hint="eastAsia"/>
          <w:lang w:eastAsia="zh-CN"/>
        </w:rPr>
        <w:t>万份，申购</w:t>
      </w:r>
      <w:r>
        <w:rPr>
          <w:rFonts w:ascii="黑体" w:eastAsia="黑体" w:hAnsi="黑体" w:cs="黑体" w:hint="eastAsia"/>
          <w:lang w:eastAsia="zh-CN"/>
        </w:rPr>
        <w:t>1500</w:t>
      </w:r>
      <w:r>
        <w:rPr>
          <w:rFonts w:ascii="黑体" w:eastAsia="黑体" w:hAnsi="黑体" w:cs="黑体" w:hint="eastAsia"/>
          <w:lang w:eastAsia="zh-CN"/>
        </w:rPr>
        <w:t>万份，通过基金转换转出</w:t>
      </w:r>
      <w:r>
        <w:rPr>
          <w:rFonts w:ascii="黑体" w:eastAsia="黑体" w:hAnsi="黑体" w:cs="黑体" w:hint="eastAsia"/>
          <w:lang w:eastAsia="zh-CN"/>
        </w:rPr>
        <w:t>1300</w:t>
      </w:r>
      <w:r>
        <w:rPr>
          <w:rFonts w:ascii="黑体" w:eastAsia="黑体" w:hAnsi="黑体" w:cs="黑体" w:hint="eastAsia"/>
          <w:lang w:eastAsia="zh-CN"/>
        </w:rPr>
        <w:t>万份，转入</w:t>
      </w:r>
      <w:r>
        <w:rPr>
          <w:rFonts w:ascii="黑体" w:eastAsia="黑体" w:hAnsi="黑体" w:cs="黑体" w:hint="eastAsia"/>
          <w:lang w:eastAsia="zh-CN"/>
        </w:rPr>
        <w:t>700</w:t>
      </w:r>
      <w:r>
        <w:rPr>
          <w:rFonts w:ascii="黑体" w:eastAsia="黑体" w:hAnsi="黑体" w:cs="黑体" w:hint="eastAsia"/>
          <w:lang w:eastAsia="zh-CN"/>
        </w:rPr>
        <w:t>万份</w:t>
      </w:r>
    </w:p>
    <w:p w14:paraId="3D0BE6C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赎回</w:t>
      </w:r>
      <w:r>
        <w:rPr>
          <w:rFonts w:ascii="黑体" w:eastAsia="黑体" w:hAnsi="黑体" w:cs="黑体" w:hint="eastAsia"/>
          <w:lang w:eastAsia="zh-CN"/>
        </w:rPr>
        <w:t>1000</w:t>
      </w:r>
      <w:r>
        <w:rPr>
          <w:rFonts w:ascii="黑体" w:eastAsia="黑体" w:hAnsi="黑体" w:cs="黑体" w:hint="eastAsia"/>
          <w:lang w:eastAsia="zh-CN"/>
        </w:rPr>
        <w:t>万份，申购</w:t>
      </w:r>
      <w:r>
        <w:rPr>
          <w:rFonts w:ascii="黑体" w:eastAsia="黑体" w:hAnsi="黑体" w:cs="黑体" w:hint="eastAsia"/>
          <w:lang w:eastAsia="zh-CN"/>
        </w:rPr>
        <w:t>100</w:t>
      </w:r>
      <w:r>
        <w:rPr>
          <w:rFonts w:ascii="黑体" w:eastAsia="黑体" w:hAnsi="黑体" w:cs="黑体" w:hint="eastAsia"/>
          <w:lang w:eastAsia="zh-CN"/>
        </w:rPr>
        <w:t>万份，通过基金转换转出</w:t>
      </w:r>
      <w:r>
        <w:rPr>
          <w:rFonts w:ascii="黑体" w:eastAsia="黑体" w:hAnsi="黑体" w:cs="黑体" w:hint="eastAsia"/>
          <w:lang w:eastAsia="zh-CN"/>
        </w:rPr>
        <w:t>800</w:t>
      </w:r>
      <w:r>
        <w:rPr>
          <w:rFonts w:ascii="黑体" w:eastAsia="黑体" w:hAnsi="黑体" w:cs="黑体" w:hint="eastAsia"/>
          <w:lang w:eastAsia="zh-CN"/>
        </w:rPr>
        <w:t>万份专入</w:t>
      </w:r>
      <w:r>
        <w:rPr>
          <w:rFonts w:ascii="黑体" w:eastAsia="黑体" w:hAnsi="黑体" w:cs="黑体" w:hint="eastAsia"/>
          <w:lang w:eastAsia="zh-CN"/>
        </w:rPr>
        <w:t>900</w:t>
      </w:r>
      <w:r>
        <w:rPr>
          <w:rFonts w:ascii="黑体" w:eastAsia="黑体" w:hAnsi="黑体" w:cs="黑体" w:hint="eastAsia"/>
          <w:lang w:eastAsia="zh-CN"/>
        </w:rPr>
        <w:t>万份</w:t>
      </w:r>
      <w:r>
        <w:rPr>
          <w:rFonts w:ascii="黑体" w:eastAsia="黑体" w:hAnsi="黑体" w:cs="黑体" w:hint="eastAsia"/>
          <w:lang w:eastAsia="zh-CN"/>
        </w:rPr>
        <w:tab/>
      </w:r>
    </w:p>
    <w:p w14:paraId="0CA08F3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赎回</w:t>
      </w:r>
      <w:r>
        <w:rPr>
          <w:rFonts w:ascii="黑体" w:eastAsia="黑体" w:hAnsi="黑体" w:cs="黑体" w:hint="eastAsia"/>
          <w:lang w:eastAsia="zh-CN"/>
        </w:rPr>
        <w:t>1500</w:t>
      </w:r>
      <w:r>
        <w:rPr>
          <w:rFonts w:ascii="黑体" w:eastAsia="黑体" w:hAnsi="黑体" w:cs="黑体" w:hint="eastAsia"/>
          <w:lang w:eastAsia="zh-CN"/>
        </w:rPr>
        <w:t>万份，申购</w:t>
      </w:r>
      <w:r>
        <w:rPr>
          <w:rFonts w:ascii="黑体" w:eastAsia="黑体" w:hAnsi="黑体" w:cs="黑体" w:hint="eastAsia"/>
          <w:lang w:eastAsia="zh-CN"/>
        </w:rPr>
        <w:t>1300</w:t>
      </w:r>
      <w:r>
        <w:rPr>
          <w:rFonts w:ascii="黑体" w:eastAsia="黑体" w:hAnsi="黑体" w:cs="黑体" w:hint="eastAsia"/>
          <w:lang w:eastAsia="zh-CN"/>
        </w:rPr>
        <w:t>万份，通过基金转换转出</w:t>
      </w:r>
      <w:r>
        <w:rPr>
          <w:rFonts w:ascii="黑体" w:eastAsia="黑体" w:hAnsi="黑体" w:cs="黑体" w:hint="eastAsia"/>
          <w:lang w:eastAsia="zh-CN"/>
        </w:rPr>
        <w:t>1800</w:t>
      </w:r>
      <w:r>
        <w:rPr>
          <w:rFonts w:ascii="黑体" w:eastAsia="黑体" w:hAnsi="黑体" w:cs="黑体" w:hint="eastAsia"/>
          <w:lang w:eastAsia="zh-CN"/>
        </w:rPr>
        <w:t>万份，转入</w:t>
      </w:r>
      <w:r>
        <w:rPr>
          <w:rFonts w:ascii="黑体" w:eastAsia="黑体" w:hAnsi="黑体" w:cs="黑体" w:hint="eastAsia"/>
          <w:lang w:eastAsia="zh-CN"/>
        </w:rPr>
        <w:t>900</w:t>
      </w:r>
      <w:r>
        <w:rPr>
          <w:rFonts w:ascii="黑体" w:eastAsia="黑体" w:hAnsi="黑体" w:cs="黑体" w:hint="eastAsia"/>
          <w:lang w:eastAsia="zh-CN"/>
        </w:rPr>
        <w:t>万份</w:t>
      </w:r>
    </w:p>
    <w:p w14:paraId="06A343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404ECAF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【试题解析】：单个开放日</w:t>
      </w:r>
      <w:r w:rsidRPr="00B34520">
        <w:rPr>
          <w:rFonts w:ascii="黑体" w:eastAsia="黑体" w:hAnsi="黑体" w:cs="黑体" w:hint="eastAsia"/>
          <w:highlight w:val="yellow"/>
          <w:lang w:eastAsia="zh-CN"/>
        </w:rPr>
        <w:t>基金净赎回申请超过基金总份额的</w:t>
      </w:r>
      <w:r w:rsidRPr="00B34520">
        <w:rPr>
          <w:rFonts w:ascii="黑体" w:eastAsia="黑体" w:hAnsi="黑体" w:cs="黑体" w:hint="eastAsia"/>
          <w:highlight w:val="yellow"/>
          <w:lang w:eastAsia="zh-CN"/>
        </w:rPr>
        <w:t>10%</w:t>
      </w:r>
      <w:r w:rsidRPr="00B34520">
        <w:rPr>
          <w:rFonts w:ascii="黑体" w:eastAsia="黑体" w:hAnsi="黑体" w:cs="黑体" w:hint="eastAsia"/>
          <w:highlight w:val="yellow"/>
          <w:lang w:eastAsia="zh-CN"/>
        </w:rPr>
        <w:t>时，为巨额赎回。</w:t>
      </w:r>
      <w:r>
        <w:rPr>
          <w:rFonts w:ascii="黑体" w:eastAsia="黑体" w:hAnsi="黑体" w:cs="黑体" w:hint="eastAsia"/>
          <w:lang w:eastAsia="zh-CN"/>
        </w:rPr>
        <w:t>单个开放日的净赎回申请，</w:t>
      </w:r>
      <w:r>
        <w:rPr>
          <w:rFonts w:ascii="黑体" w:eastAsia="黑体" w:hAnsi="黑体" w:cs="黑体" w:hint="eastAsia"/>
          <w:lang w:eastAsia="zh-CN"/>
        </w:rPr>
        <w:t>是指该基金的</w:t>
      </w:r>
      <w:r w:rsidRPr="00B34520">
        <w:rPr>
          <w:rFonts w:ascii="黑体" w:eastAsia="黑体" w:hAnsi="黑体" w:cs="黑体" w:hint="eastAsia"/>
          <w:highlight w:val="yellow"/>
          <w:lang w:eastAsia="zh-CN"/>
        </w:rPr>
        <w:t>赎回申请加上基金转换中该基金的转出申请之和，扣除当日发生的该基金申购申请及基金转换中该基金的转入</w:t>
      </w:r>
      <w:r w:rsidRPr="00B34520">
        <w:rPr>
          <w:rFonts w:ascii="黑体" w:eastAsia="黑体" w:hAnsi="黑体" w:cs="黑体" w:hint="eastAsia"/>
          <w:highlight w:val="yellow"/>
          <w:lang w:eastAsia="zh-CN"/>
        </w:rPr>
        <w:lastRenderedPageBreak/>
        <w:t>申请之和后得到的余额。</w:t>
      </w:r>
      <w:r>
        <w:rPr>
          <w:rFonts w:ascii="黑体" w:eastAsia="黑体" w:hAnsi="黑体" w:cs="黑体" w:hint="eastAsia"/>
          <w:lang w:eastAsia="zh-CN"/>
        </w:rPr>
        <w:t>C</w:t>
      </w:r>
      <w:r>
        <w:rPr>
          <w:rFonts w:ascii="黑体" w:eastAsia="黑体" w:hAnsi="黑体" w:cs="黑体" w:hint="eastAsia"/>
          <w:lang w:eastAsia="zh-CN"/>
        </w:rPr>
        <w:t>项，单个开放日的净赎回申请为</w:t>
      </w:r>
      <w:r>
        <w:rPr>
          <w:rFonts w:ascii="黑体" w:eastAsia="黑体" w:hAnsi="黑体" w:cs="黑体" w:hint="eastAsia"/>
          <w:lang w:eastAsia="zh-CN"/>
        </w:rPr>
        <w:t>1000+800-900-100=800</w:t>
      </w:r>
      <w:r>
        <w:rPr>
          <w:rFonts w:ascii="黑体" w:eastAsia="黑体" w:hAnsi="黑体" w:cs="黑体" w:hint="eastAsia"/>
          <w:lang w:eastAsia="zh-CN"/>
        </w:rPr>
        <w:t>（万份），小于</w:t>
      </w:r>
      <w:r>
        <w:rPr>
          <w:rFonts w:ascii="黑体" w:eastAsia="黑体" w:hAnsi="黑体" w:cs="黑体" w:hint="eastAsia"/>
          <w:lang w:eastAsia="zh-CN"/>
        </w:rPr>
        <w:t>1000</w:t>
      </w:r>
      <w:r>
        <w:rPr>
          <w:rFonts w:ascii="黑体" w:eastAsia="黑体" w:hAnsi="黑体" w:cs="黑体" w:hint="eastAsia"/>
          <w:lang w:eastAsia="zh-CN"/>
        </w:rPr>
        <w:t>万份，不构成巨额赎回。</w:t>
      </w:r>
    </w:p>
    <w:p w14:paraId="29CD4FC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38</w:t>
      </w:r>
      <w:r>
        <w:rPr>
          <w:rFonts w:ascii="黑体" w:eastAsia="黑体" w:hAnsi="黑体" w:cs="黑体" w:hint="eastAsia"/>
          <w:lang w:eastAsia="zh-CN"/>
        </w:rPr>
        <w:t>、关于基金从业人员接受职业道德教育的途径与方式，以下表述错误的是</w:t>
      </w:r>
      <w:r>
        <w:rPr>
          <w:rFonts w:ascii="黑体" w:eastAsia="黑体" w:hAnsi="黑体" w:cs="黑体" w:hint="eastAsia"/>
          <w:lang w:eastAsia="zh-CN"/>
        </w:rPr>
        <w:t>（）</w:t>
      </w:r>
      <w:r>
        <w:rPr>
          <w:rFonts w:ascii="黑体" w:eastAsia="黑体" w:hAnsi="黑体" w:cs="黑体" w:hint="eastAsia"/>
          <w:lang w:eastAsia="zh-CN"/>
        </w:rPr>
        <w:t>。</w:t>
      </w:r>
    </w:p>
    <w:p w14:paraId="447979C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就业上岗后的岗位职业道德教育主要以定期考试的形式进行</w:t>
      </w:r>
    </w:p>
    <w:p w14:paraId="034198E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基金从业资格考试是岗前职业道德教育的手段之一</w:t>
      </w:r>
    </w:p>
    <w:p w14:paraId="0693354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投资者的监督能够对基金从业人员发拝职业道德教育作用</w:t>
      </w:r>
    </w:p>
    <w:p w14:paraId="586EAA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反面案例有助于警示基金</w:t>
      </w:r>
      <w:r>
        <w:rPr>
          <w:rFonts w:ascii="黑体" w:eastAsia="黑体" w:hAnsi="黑体" w:cs="黑体" w:hint="eastAsia"/>
          <w:lang w:eastAsia="zh-CN"/>
        </w:rPr>
        <w:t>从业人员严格遵守基金职业道德规范</w:t>
      </w:r>
    </w:p>
    <w:p w14:paraId="289391F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40531B2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A</w:t>
      </w:r>
      <w:r>
        <w:rPr>
          <w:rFonts w:ascii="黑体" w:eastAsia="黑体" w:hAnsi="黑体" w:cs="黑体" w:hint="eastAsia"/>
          <w:lang w:eastAsia="zh-CN"/>
        </w:rPr>
        <w:t>项，岗位教育是指在基金从业人员就业上岗后，对其所进行的业务能力和职业道德的继续教育。岗位教育主要是通过在职培训的方式来完成。</w:t>
      </w:r>
    </w:p>
    <w:p w14:paraId="4F4575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39</w:t>
      </w:r>
      <w:r>
        <w:rPr>
          <w:rFonts w:ascii="黑体" w:eastAsia="黑体" w:hAnsi="黑体" w:cs="黑体" w:hint="eastAsia"/>
          <w:lang w:eastAsia="zh-CN"/>
        </w:rPr>
        <w:t>、关于基金管理人的内部控制机制建设，以下表述正确的是</w:t>
      </w:r>
      <w:r>
        <w:rPr>
          <w:rFonts w:ascii="黑体" w:eastAsia="黑体" w:hAnsi="黑体" w:cs="黑体" w:hint="eastAsia"/>
          <w:lang w:eastAsia="zh-CN"/>
        </w:rPr>
        <w:t>（）</w:t>
      </w:r>
      <w:r>
        <w:rPr>
          <w:rFonts w:ascii="黑体" w:eastAsia="黑体" w:hAnsi="黑体" w:cs="黑体" w:hint="eastAsia"/>
          <w:lang w:eastAsia="zh-CN"/>
        </w:rPr>
        <w:t>。</w:t>
      </w:r>
    </w:p>
    <w:p w14:paraId="36A7101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为了提高公司运营效率，公司可以不设专职的内部控制机构</w:t>
      </w:r>
    </w:p>
    <w:p w14:paraId="422122F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在内部控制制度建立上，公司设立统一的内控制度，各部门无需再设单独的内控制度</w:t>
      </w:r>
    </w:p>
    <w:p w14:paraId="0C46303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除了按程序监督外，还需要注重对“内部人”的控制监督</w:t>
      </w:r>
    </w:p>
    <w:p w14:paraId="7BB3D44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日常内部控制以对非经常性发生事项的控制为主，对经常性发生事项控制为辅</w:t>
      </w:r>
    </w:p>
    <w:p w14:paraId="3CE40AD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138028E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【试题解析】：一般来说，基金管理人内部控制机制建设应在以下四个方面加强：（</w:t>
      </w:r>
      <w:r>
        <w:rPr>
          <w:rFonts w:ascii="黑体" w:eastAsia="黑体" w:hAnsi="黑体" w:cs="黑体" w:hint="eastAsia"/>
          <w:lang w:eastAsia="zh-CN"/>
        </w:rPr>
        <w:t>1</w:t>
      </w:r>
      <w:r>
        <w:rPr>
          <w:rFonts w:ascii="黑体" w:eastAsia="黑体" w:hAnsi="黑体" w:cs="黑体" w:hint="eastAsia"/>
          <w:lang w:eastAsia="zh-CN"/>
        </w:rPr>
        <w:t>）在内部控制机构设置上，不能出现重眼前商业利润、不注重专职内部控制机构建立的偏向。建立健全基金管理人内部控制机构，从组织上强化内部控制，引导基金管理人所有员工重视内部控制。</w:t>
      </w:r>
    </w:p>
    <w:p w14:paraId="36AD0C9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w:t>
      </w:r>
      <w:r>
        <w:rPr>
          <w:rFonts w:ascii="黑体" w:eastAsia="黑体" w:hAnsi="黑体" w:cs="黑体" w:hint="eastAsia"/>
          <w:lang w:eastAsia="zh-CN"/>
        </w:rPr>
        <w:t>2</w:t>
      </w:r>
      <w:r>
        <w:rPr>
          <w:rFonts w:ascii="黑体" w:eastAsia="黑体" w:hAnsi="黑体" w:cs="黑体" w:hint="eastAsia"/>
          <w:lang w:eastAsia="zh-CN"/>
        </w:rPr>
        <w:t>）在内部控制制度建立上，不能出现</w:t>
      </w:r>
      <w:proofErr w:type="gramStart"/>
      <w:r>
        <w:rPr>
          <w:rFonts w:ascii="黑体" w:eastAsia="黑体" w:hAnsi="黑体" w:cs="黑体" w:hint="eastAsia"/>
          <w:lang w:eastAsia="zh-CN"/>
        </w:rPr>
        <w:t>重内部</w:t>
      </w:r>
      <w:proofErr w:type="gramEnd"/>
      <w:r>
        <w:rPr>
          <w:rFonts w:ascii="黑体" w:eastAsia="黑体" w:hAnsi="黑体" w:cs="黑体" w:hint="eastAsia"/>
          <w:lang w:eastAsia="zh-CN"/>
        </w:rPr>
        <w:t>管理制度建立、不注重内部核心部门“防火墙”制度建立的偏向。建立健全可靠的专业委员会、投资管理部门、风险管理部门、市场营销部门、基</w:t>
      </w:r>
      <w:r>
        <w:rPr>
          <w:rFonts w:ascii="黑体" w:eastAsia="黑体" w:hAnsi="黑体" w:cs="黑体" w:hint="eastAsia"/>
          <w:lang w:eastAsia="zh-CN"/>
        </w:rPr>
        <w:t>金运营部门、后台支持部门等完善，独立的内部控制制度。（</w:t>
      </w:r>
      <w:r>
        <w:rPr>
          <w:rFonts w:ascii="黑体" w:eastAsia="黑体" w:hAnsi="黑体" w:cs="黑体" w:hint="eastAsia"/>
          <w:lang w:eastAsia="zh-CN"/>
        </w:rPr>
        <w:t>3</w:t>
      </w:r>
      <w:r>
        <w:rPr>
          <w:rFonts w:ascii="黑体" w:eastAsia="黑体" w:hAnsi="黑体" w:cs="黑体" w:hint="eastAsia"/>
          <w:lang w:eastAsia="zh-CN"/>
        </w:rPr>
        <w:t>）在内部控制制度执行上，不能出现重非经常性发生事项控制、不注重经常性发生事项控制的偏向。进</w:t>
      </w:r>
      <w:r>
        <w:rPr>
          <w:rFonts w:ascii="黑体" w:eastAsia="黑体" w:hAnsi="黑体" w:cs="黑体" w:hint="eastAsia"/>
          <w:lang w:eastAsia="zh-CN"/>
        </w:rPr>
        <w:t>-</w:t>
      </w:r>
      <w:r>
        <w:rPr>
          <w:rFonts w:ascii="黑体" w:eastAsia="黑体" w:hAnsi="黑体" w:cs="黑体" w:hint="eastAsia"/>
          <w:lang w:eastAsia="zh-CN"/>
        </w:rPr>
        <w:t>步强化责任管理、制度管理、规范控制行为，建立健全良好的控制环境、完善的控制体系和可靠充分的控制程序为一体的内部控制管理机制：（</w:t>
      </w:r>
      <w:r>
        <w:rPr>
          <w:rFonts w:ascii="黑体" w:eastAsia="黑体" w:hAnsi="黑体" w:cs="黑体" w:hint="eastAsia"/>
          <w:lang w:eastAsia="zh-CN"/>
        </w:rPr>
        <w:t>4</w:t>
      </w:r>
      <w:r>
        <w:rPr>
          <w:rFonts w:ascii="黑体" w:eastAsia="黑体" w:hAnsi="黑体" w:cs="黑体" w:hint="eastAsia"/>
          <w:lang w:eastAsia="zh-CN"/>
        </w:rPr>
        <w:t>）在内部控制监督上，不能出现</w:t>
      </w:r>
      <w:proofErr w:type="gramStart"/>
      <w:r>
        <w:rPr>
          <w:rFonts w:ascii="黑体" w:eastAsia="黑体" w:hAnsi="黑体" w:cs="黑体" w:hint="eastAsia"/>
          <w:lang w:eastAsia="zh-CN"/>
        </w:rPr>
        <w:t>重程序</w:t>
      </w:r>
      <w:proofErr w:type="gramEnd"/>
      <w:r>
        <w:rPr>
          <w:rFonts w:ascii="黑体" w:eastAsia="黑体" w:hAnsi="黑体" w:cs="黑体" w:hint="eastAsia"/>
          <w:lang w:eastAsia="zh-CN"/>
        </w:rPr>
        <w:t>监督、不注重对“内部人”监督的偏向。首先，要加强对基金管理人的内部控制监督，建立基金管理人重大决策集体审批等制度，以杜绝业务管理层负责人独断专行；其次，要加强对基金管理</w:t>
      </w:r>
      <w:proofErr w:type="gramStart"/>
      <w:r>
        <w:rPr>
          <w:rFonts w:ascii="黑体" w:eastAsia="黑体" w:hAnsi="黑体" w:cs="黑体" w:hint="eastAsia"/>
          <w:lang w:eastAsia="zh-CN"/>
        </w:rPr>
        <w:t>人部门</w:t>
      </w:r>
      <w:proofErr w:type="gramEnd"/>
      <w:r>
        <w:rPr>
          <w:rFonts w:ascii="黑体" w:eastAsia="黑体" w:hAnsi="黑体" w:cs="黑体" w:hint="eastAsia"/>
          <w:lang w:eastAsia="zh-CN"/>
        </w:rPr>
        <w:t>管理的控制监督，建立部门之间</w:t>
      </w:r>
      <w:r>
        <w:rPr>
          <w:rFonts w:ascii="黑体" w:eastAsia="黑体" w:hAnsi="黑体" w:cs="黑体" w:hint="eastAsia"/>
          <w:lang w:eastAsia="zh-CN"/>
        </w:rPr>
        <w:t>相互牵制的制度，以杜绝部门权力过大或集体徇私舞弊；再次，要加强对关键岗位管理人员的控制监督，建立关键岗位轮岗和定期稽查制度，以杜绝基金管理人中层经理人员以权谋私或串通作案，从而建立健全企业内部控制监督机制。</w:t>
      </w:r>
    </w:p>
    <w:p w14:paraId="27C9CAD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40</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是决定公司内部控制运行方式和方向的关键，也是认识内部控制基本理论的出发点。</w:t>
      </w:r>
    </w:p>
    <w:p w14:paraId="037656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内部控制原则</w:t>
      </w:r>
    </w:p>
    <w:p w14:paraId="6DF4286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内部控制理念</w:t>
      </w:r>
    </w:p>
    <w:p w14:paraId="4ABF31B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内部控制环境</w:t>
      </w:r>
    </w:p>
    <w:p w14:paraId="23E21C5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内部控制目标</w:t>
      </w:r>
    </w:p>
    <w:p w14:paraId="3466ACB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61FCEAA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B34520">
        <w:rPr>
          <w:rFonts w:ascii="黑体" w:eastAsia="黑体" w:hAnsi="黑体" w:cs="黑体" w:hint="eastAsia"/>
          <w:highlight w:val="yellow"/>
          <w:lang w:eastAsia="zh-CN"/>
        </w:rPr>
        <w:t>内部控制目标是决定公司内部控制运行方式和方向的关键，也是认识内部控制基本理论的出发点。</w:t>
      </w:r>
    </w:p>
    <w:p w14:paraId="3EC20FE2" w14:textId="77777777" w:rsidR="0082448A" w:rsidRDefault="00054E88">
      <w:pPr>
        <w:numPr>
          <w:ilvl w:val="0"/>
          <w:numId w:val="8"/>
        </w:numPr>
        <w:spacing w:line="360" w:lineRule="auto"/>
        <w:rPr>
          <w:rFonts w:ascii="黑体" w:eastAsia="黑体" w:hAnsi="黑体" w:cs="黑体"/>
          <w:lang w:eastAsia="zh-CN"/>
        </w:rPr>
      </w:pPr>
      <w:r>
        <w:rPr>
          <w:rFonts w:ascii="黑体" w:eastAsia="黑体" w:hAnsi="黑体" w:cs="黑体" w:hint="eastAsia"/>
          <w:lang w:eastAsia="zh-CN"/>
        </w:rPr>
        <w:t>关于基金的职业道德建设，说法正确的有</w:t>
      </w:r>
      <w:r>
        <w:rPr>
          <w:rFonts w:ascii="黑体" w:eastAsia="黑体" w:hAnsi="黑体" w:cs="黑体" w:hint="eastAsia"/>
          <w:lang w:eastAsia="zh-CN"/>
        </w:rPr>
        <w:t>（）</w:t>
      </w:r>
      <w:r>
        <w:rPr>
          <w:rFonts w:ascii="黑体" w:eastAsia="黑体" w:hAnsi="黑体" w:cs="黑体" w:hint="eastAsia"/>
          <w:lang w:eastAsia="zh-CN"/>
        </w:rPr>
        <w:t>。</w:t>
      </w:r>
    </w:p>
    <w:p w14:paraId="35E8326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只要抓好领导干部的职业道德建设就可以了</w:t>
      </w:r>
    </w:p>
    <w:p w14:paraId="27E3A44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职业道德建设不需要社会各界的监督</w:t>
      </w:r>
    </w:p>
    <w:p w14:paraId="63228E2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C.</w:t>
      </w:r>
      <w:r>
        <w:rPr>
          <w:rFonts w:ascii="黑体" w:eastAsia="黑体" w:hAnsi="黑体" w:cs="黑体" w:hint="eastAsia"/>
          <w:lang w:eastAsia="zh-CN"/>
        </w:rPr>
        <w:t>政府要建立必要的职业道德奖惩机制</w:t>
      </w:r>
    </w:p>
    <w:p w14:paraId="3FB4AE9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职业道德建设要同完善职业道德监督机制相结合</w:t>
      </w:r>
    </w:p>
    <w:p w14:paraId="119A755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6D94D4C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A</w:t>
      </w:r>
      <w:r>
        <w:rPr>
          <w:rFonts w:ascii="黑体" w:eastAsia="黑体" w:hAnsi="黑体" w:cs="黑体" w:hint="eastAsia"/>
          <w:lang w:eastAsia="zh-CN"/>
        </w:rPr>
        <w:t>项，基金职业道德规范教育，是指对基金从业人员开展的以基金职业道德具体规范为内容的教育；</w:t>
      </w:r>
      <w:r>
        <w:rPr>
          <w:rFonts w:ascii="黑体" w:eastAsia="黑体" w:hAnsi="黑体" w:cs="黑体" w:hint="eastAsia"/>
          <w:lang w:eastAsia="zh-CN"/>
        </w:rPr>
        <w:t>B</w:t>
      </w:r>
      <w:r>
        <w:rPr>
          <w:rFonts w:ascii="黑体" w:eastAsia="黑体" w:hAnsi="黑体" w:cs="黑体" w:hint="eastAsia"/>
          <w:lang w:eastAsia="zh-CN"/>
        </w:rPr>
        <w:t>项，社会各界的监督，不仅是对基金职业道德数育成果的检验环节，监督本身也是教育</w:t>
      </w:r>
      <w:r>
        <w:rPr>
          <w:rFonts w:ascii="黑体" w:eastAsia="黑体" w:hAnsi="黑体" w:cs="黑体" w:hint="eastAsia"/>
          <w:lang w:eastAsia="zh-CN"/>
        </w:rPr>
        <w:t>的有效组成部分；</w:t>
      </w:r>
      <w:r>
        <w:rPr>
          <w:rFonts w:ascii="黑体" w:eastAsia="黑体" w:hAnsi="黑体" w:cs="黑体" w:hint="eastAsia"/>
          <w:lang w:eastAsia="zh-CN"/>
        </w:rPr>
        <w:t>C</w:t>
      </w:r>
      <w:r>
        <w:rPr>
          <w:rFonts w:ascii="黑体" w:eastAsia="黑体" w:hAnsi="黑体" w:cs="黑体" w:hint="eastAsia"/>
          <w:lang w:eastAsia="zh-CN"/>
        </w:rPr>
        <w:t>项，</w:t>
      </w:r>
      <w:r w:rsidRPr="00B34520">
        <w:rPr>
          <w:rFonts w:ascii="黑体" w:eastAsia="黑体" w:hAnsi="黑体" w:cs="黑体" w:hint="eastAsia"/>
          <w:highlight w:val="yellow"/>
          <w:lang w:eastAsia="zh-CN"/>
        </w:rPr>
        <w:t>基金业协会应当建立必要的职业道德奖惩机制，促进和保证基金职业道德的实施。</w:t>
      </w:r>
    </w:p>
    <w:p w14:paraId="01B3193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42</w:t>
      </w:r>
      <w:r>
        <w:rPr>
          <w:rFonts w:ascii="黑体" w:eastAsia="黑体" w:hAnsi="黑体" w:cs="黑体" w:hint="eastAsia"/>
          <w:lang w:eastAsia="zh-CN"/>
        </w:rPr>
        <w:t>、关于证券投资基金有利于证券市场的稳定和健康发展作用，下列表述错误的是</w:t>
      </w:r>
      <w:r>
        <w:rPr>
          <w:rFonts w:ascii="黑体" w:eastAsia="黑体" w:hAnsi="黑体" w:cs="黑体" w:hint="eastAsia"/>
          <w:lang w:eastAsia="zh-CN"/>
        </w:rPr>
        <w:t>（）</w:t>
      </w:r>
      <w:r>
        <w:rPr>
          <w:rFonts w:ascii="黑体" w:eastAsia="黑体" w:hAnsi="黑体" w:cs="黑体" w:hint="eastAsia"/>
          <w:lang w:eastAsia="zh-CN"/>
        </w:rPr>
        <w:t>。</w:t>
      </w:r>
    </w:p>
    <w:p w14:paraId="4EDB9E8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提高市场有效性</w:t>
      </w:r>
    </w:p>
    <w:p w14:paraId="5A5EC1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为专业投资者拓宽投资渠道</w:t>
      </w:r>
    </w:p>
    <w:p w14:paraId="0037C4C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推动市场价值判断体系的形成</w:t>
      </w:r>
    </w:p>
    <w:p w14:paraId="768537C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防止市场的过度投机</w:t>
      </w:r>
    </w:p>
    <w:p w14:paraId="6FBA72B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5ECFA40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在投资组合管理过程中对所投资证券进行的深入研究与分析，有利于促进信息的有效利用和传播，有利于市场合理定价，有利于市场有效性的提高和资源的合理配置。证券投资基金发挥专业理财优势，推动市场价值判断体系</w:t>
      </w:r>
      <w:r>
        <w:rPr>
          <w:rFonts w:ascii="黑体" w:eastAsia="黑体" w:hAnsi="黑体" w:cs="黑体" w:hint="eastAsia"/>
          <w:lang w:eastAsia="zh-CN"/>
        </w:rPr>
        <w:t>的形成，倡导理性的投资文化，有助于防止市场的过度投机。不同类型、不同投资对象、不同风险与收益特性的证券投资基金在给投资者提供广泛选择的同时，也成为资本市场不断变革和金融产品不断创新的源泉之一。</w:t>
      </w:r>
    </w:p>
    <w:p w14:paraId="5ED4A0B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43</w:t>
      </w:r>
      <w:r>
        <w:rPr>
          <w:rFonts w:ascii="黑体" w:eastAsia="黑体" w:hAnsi="黑体" w:cs="黑体" w:hint="eastAsia"/>
          <w:lang w:eastAsia="zh-CN"/>
        </w:rPr>
        <w:t>、关于股票和股票基金的说法不正确的是</w:t>
      </w:r>
      <w:r>
        <w:rPr>
          <w:rFonts w:ascii="黑体" w:eastAsia="黑体" w:hAnsi="黑体" w:cs="黑体" w:hint="eastAsia"/>
          <w:lang w:eastAsia="zh-CN"/>
        </w:rPr>
        <w:t>（）</w:t>
      </w:r>
      <w:r>
        <w:rPr>
          <w:rFonts w:ascii="黑体" w:eastAsia="黑体" w:hAnsi="黑体" w:cs="黑体" w:hint="eastAsia"/>
          <w:lang w:eastAsia="zh-CN"/>
        </w:rPr>
        <w:t>。</w:t>
      </w:r>
    </w:p>
    <w:p w14:paraId="1E27911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单一股票的投资风险一般大于股票基金的投资风险</w:t>
      </w:r>
    </w:p>
    <w:p w14:paraId="6EF4C5D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股票基金份额净值不会由于买卖数量或申购、赎回数量的多少而受到影响</w:t>
      </w:r>
    </w:p>
    <w:p w14:paraId="3F56975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对股票基金投资时一般会根据上市公司的基本面来评判股票基金份额净值的合理性</w:t>
      </w:r>
    </w:p>
    <w:p w14:paraId="77F863A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每一交易日股票基金只有</w:t>
      </w:r>
      <w:r>
        <w:rPr>
          <w:rFonts w:ascii="黑体" w:eastAsia="黑体" w:hAnsi="黑体" w:cs="黑体" w:hint="eastAsia"/>
          <w:lang w:eastAsia="zh-CN"/>
        </w:rPr>
        <w:t>1</w:t>
      </w:r>
      <w:r>
        <w:rPr>
          <w:rFonts w:ascii="黑体" w:eastAsia="黑体" w:hAnsi="黑体" w:cs="黑体" w:hint="eastAsia"/>
          <w:lang w:eastAsia="zh-CN"/>
        </w:rPr>
        <w:t>个价格</w:t>
      </w:r>
    </w:p>
    <w:p w14:paraId="0F1309D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686CEB0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C</w:t>
      </w:r>
      <w:r>
        <w:rPr>
          <w:rFonts w:ascii="黑体" w:eastAsia="黑体" w:hAnsi="黑体" w:cs="黑体" w:hint="eastAsia"/>
          <w:lang w:eastAsia="zh-CN"/>
        </w:rPr>
        <w:t>项，人们在投资股票时，一般会根据上市公司的基本面，如财务状况、市场竞争力、盈利预期等方面的信息对股票价格高低的合理性做出判断，但却不能对股票基金份额净值进行合理与否的评判。换而言之，</w:t>
      </w:r>
      <w:r w:rsidRPr="00280CDF">
        <w:rPr>
          <w:rFonts w:ascii="黑体" w:eastAsia="黑体" w:hAnsi="黑体" w:cs="黑体" w:hint="eastAsia"/>
          <w:highlight w:val="yellow"/>
          <w:lang w:eastAsia="zh-CN"/>
        </w:rPr>
        <w:t>对基金份额净值高低进行合理与否的判断是没有意义的，因为基金份额净值是由其持有的证券价格复合而成的。</w:t>
      </w:r>
    </w:p>
    <w:p w14:paraId="35820DD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44</w:t>
      </w:r>
      <w:r>
        <w:rPr>
          <w:rFonts w:ascii="黑体" w:eastAsia="黑体" w:hAnsi="黑体" w:cs="黑体" w:hint="eastAsia"/>
          <w:lang w:eastAsia="zh-CN"/>
        </w:rPr>
        <w:t>、基金产品风险评价的主要依据不包括</w:t>
      </w:r>
      <w:r>
        <w:rPr>
          <w:rFonts w:ascii="黑体" w:eastAsia="黑体" w:hAnsi="黑体" w:cs="黑体" w:hint="eastAsia"/>
          <w:lang w:eastAsia="zh-CN"/>
        </w:rPr>
        <w:t>（）</w:t>
      </w:r>
      <w:r>
        <w:rPr>
          <w:rFonts w:ascii="黑体" w:eastAsia="黑体" w:hAnsi="黑体" w:cs="黑体" w:hint="eastAsia"/>
          <w:lang w:eastAsia="zh-CN"/>
        </w:rPr>
        <w:t>。</w:t>
      </w:r>
    </w:p>
    <w:p w14:paraId="5958D85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基金的管理费率</w:t>
      </w:r>
    </w:p>
    <w:p w14:paraId="406FDA5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基金成立以来</w:t>
      </w:r>
      <w:r>
        <w:rPr>
          <w:rFonts w:ascii="黑体" w:eastAsia="黑体" w:hAnsi="黑体" w:cs="黑体" w:hint="eastAsia"/>
          <w:lang w:eastAsia="zh-CN"/>
        </w:rPr>
        <w:t>有无违规行为的发生</w:t>
      </w:r>
    </w:p>
    <w:p w14:paraId="1E1834E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基金过往业绩及基金净值的历史波动程度</w:t>
      </w:r>
    </w:p>
    <w:p w14:paraId="21B2D1C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基金历史规模、持仓比例</w:t>
      </w:r>
    </w:p>
    <w:p w14:paraId="6426477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2B904BF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【试题解析】：基金产品风险评价应当至少依据以下四个因素：一是基金招募说明书所明示的</w:t>
      </w:r>
      <w:r w:rsidRPr="00280CDF">
        <w:rPr>
          <w:rFonts w:ascii="黑体" w:eastAsia="黑体" w:hAnsi="黑体" w:cs="黑体" w:hint="eastAsia"/>
          <w:highlight w:val="yellow"/>
          <w:lang w:eastAsia="zh-CN"/>
        </w:rPr>
        <w:t>投资方向、投资范围和投资比例，二是基金的历史规模和持仓比例，三是基金的过往业绩及基金净值的历史波动程度，四是基金成立以来有无违规行为发生。</w:t>
      </w:r>
      <w:r>
        <w:rPr>
          <w:rFonts w:ascii="黑体" w:eastAsia="黑体" w:hAnsi="黑体" w:cs="黑体" w:hint="eastAsia"/>
          <w:lang w:eastAsia="zh-CN"/>
        </w:rPr>
        <w:t>同时</w:t>
      </w:r>
      <w:r w:rsidRPr="00280CDF">
        <w:rPr>
          <w:rFonts w:ascii="黑体" w:eastAsia="黑体" w:hAnsi="黑体" w:cs="黑体" w:hint="eastAsia"/>
          <w:highlight w:val="yellow"/>
          <w:lang w:eastAsia="zh-CN"/>
        </w:rPr>
        <w:t>综合考虑流动性、到期时限、杠杆情况、结构复杂性、投资最低金额、募集方式等因素</w:t>
      </w:r>
      <w:r>
        <w:rPr>
          <w:rFonts w:ascii="黑体" w:eastAsia="黑体" w:hAnsi="黑体" w:cs="黑体" w:hint="eastAsia"/>
          <w:lang w:eastAsia="zh-CN"/>
        </w:rPr>
        <w:t>。</w:t>
      </w:r>
    </w:p>
    <w:p w14:paraId="59C005B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45</w:t>
      </w:r>
      <w:r>
        <w:rPr>
          <w:rFonts w:ascii="黑体" w:eastAsia="黑体" w:hAnsi="黑体" w:cs="黑体" w:hint="eastAsia"/>
          <w:lang w:eastAsia="zh-CN"/>
        </w:rPr>
        <w:t>、独立基金销售机构是基金业协会的</w:t>
      </w:r>
      <w:r>
        <w:rPr>
          <w:rFonts w:ascii="黑体" w:eastAsia="黑体" w:hAnsi="黑体" w:cs="黑体" w:hint="eastAsia"/>
          <w:lang w:eastAsia="zh-CN"/>
        </w:rPr>
        <w:t>（）</w:t>
      </w:r>
      <w:r>
        <w:rPr>
          <w:rFonts w:ascii="黑体" w:eastAsia="黑体" w:hAnsi="黑体" w:cs="黑体" w:hint="eastAsia"/>
          <w:lang w:eastAsia="zh-CN"/>
        </w:rPr>
        <w:t>。</w:t>
      </w:r>
    </w:p>
    <w:p w14:paraId="36A94C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普通会员</w:t>
      </w:r>
    </w:p>
    <w:p w14:paraId="17DF014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联席会员</w:t>
      </w:r>
    </w:p>
    <w:p w14:paraId="613FD17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特别会员</w:t>
      </w:r>
    </w:p>
    <w:p w14:paraId="6853743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D.</w:t>
      </w:r>
      <w:r>
        <w:rPr>
          <w:rFonts w:ascii="黑体" w:eastAsia="黑体" w:hAnsi="黑体" w:cs="黑体" w:hint="eastAsia"/>
          <w:lang w:eastAsia="zh-CN"/>
        </w:rPr>
        <w:t>以上都不是</w:t>
      </w:r>
    </w:p>
    <w:p w14:paraId="649DF50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1ACD532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280CDF">
        <w:rPr>
          <w:rFonts w:ascii="黑体" w:eastAsia="黑体" w:hAnsi="黑体" w:cs="黑体" w:hint="eastAsia"/>
          <w:highlight w:val="yellow"/>
          <w:lang w:eastAsia="zh-CN"/>
        </w:rPr>
        <w:t>联席会员</w:t>
      </w:r>
      <w:r>
        <w:rPr>
          <w:rFonts w:ascii="黑体" w:eastAsia="黑体" w:hAnsi="黑体" w:cs="黑体" w:hint="eastAsia"/>
          <w:lang w:eastAsia="zh-CN"/>
        </w:rPr>
        <w:t>包括按照国务院证券监督管理机构或协会规定注册、备案或登记的从事基金销售、份额登记、估值、评价、信息技术系统服务等基金服务业务的机构，以及为基金业务提供法律和会计等专业服务的律师事务所和会计师事务所。</w:t>
      </w:r>
    </w:p>
    <w:p w14:paraId="51FCAC1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46</w:t>
      </w:r>
      <w:r>
        <w:rPr>
          <w:rFonts w:ascii="黑体" w:eastAsia="黑体" w:hAnsi="黑体" w:cs="黑体" w:hint="eastAsia"/>
          <w:lang w:eastAsia="zh-CN"/>
        </w:rPr>
        <w:t>、风险管理的主要环节包括</w:t>
      </w:r>
      <w:r>
        <w:rPr>
          <w:rFonts w:ascii="黑体" w:eastAsia="黑体" w:hAnsi="黑体" w:cs="黑体" w:hint="eastAsia"/>
          <w:lang w:eastAsia="zh-CN"/>
        </w:rPr>
        <w:t>（）</w:t>
      </w:r>
      <w:r>
        <w:rPr>
          <w:rFonts w:ascii="黑体" w:eastAsia="黑体" w:hAnsi="黑体" w:cs="黑体" w:hint="eastAsia"/>
          <w:lang w:eastAsia="zh-CN"/>
        </w:rPr>
        <w:t>、风险评估、风险应对、风险报告和监控及风险管理体系的评价。</w:t>
      </w:r>
    </w:p>
    <w:p w14:paraId="6562671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风险识别</w:t>
      </w:r>
      <w:r>
        <w:rPr>
          <w:rFonts w:ascii="黑体" w:eastAsia="黑体" w:hAnsi="黑体" w:cs="黑体" w:hint="eastAsia"/>
          <w:lang w:eastAsia="zh-CN"/>
        </w:rPr>
        <w:t xml:space="preserve"> </w:t>
      </w:r>
    </w:p>
    <w:p w14:paraId="0B199F7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风险评价</w:t>
      </w:r>
      <w:r>
        <w:rPr>
          <w:rFonts w:ascii="黑体" w:eastAsia="黑体" w:hAnsi="黑体" w:cs="黑体" w:hint="eastAsia"/>
          <w:lang w:eastAsia="zh-CN"/>
        </w:rPr>
        <w:t xml:space="preserve"> </w:t>
      </w:r>
    </w:p>
    <w:p w14:paraId="710693D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风险预测</w:t>
      </w:r>
      <w:r>
        <w:rPr>
          <w:rFonts w:ascii="黑体" w:eastAsia="黑体" w:hAnsi="黑体" w:cs="黑体" w:hint="eastAsia"/>
          <w:lang w:eastAsia="zh-CN"/>
        </w:rPr>
        <w:t xml:space="preserve"> </w:t>
      </w:r>
    </w:p>
    <w:p w14:paraId="24622DC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风险计量</w:t>
      </w:r>
    </w:p>
    <w:p w14:paraId="65838F4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31D4C8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【试题解析】：风险识别、风险评估、风险应对、风险报告和监控、风险管理体系的评价是风险管理中的主要环</w:t>
      </w:r>
      <w:r>
        <w:rPr>
          <w:rFonts w:ascii="黑体" w:eastAsia="黑体" w:hAnsi="黑体" w:cs="黑体" w:hint="eastAsia"/>
          <w:lang w:eastAsia="zh-CN"/>
        </w:rPr>
        <w:t>节。</w:t>
      </w:r>
    </w:p>
    <w:p w14:paraId="160E6C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47</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是指基金从业人员通过主动自觉地自我学习、自我改造、自我完善，将基金职业道德外在的职业行为规范内化为内在的职业道德情感、认知和信念，使自己形成良好的职业道德品质和达到一定的职业道德境界。</w:t>
      </w:r>
    </w:p>
    <w:p w14:paraId="42769B2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基金职业道德教育</w:t>
      </w:r>
      <w:r>
        <w:rPr>
          <w:rFonts w:ascii="黑体" w:eastAsia="黑体" w:hAnsi="黑体" w:cs="黑体" w:hint="eastAsia"/>
          <w:lang w:eastAsia="zh-CN"/>
        </w:rPr>
        <w:t>B.</w:t>
      </w:r>
      <w:r>
        <w:rPr>
          <w:rFonts w:ascii="黑体" w:eastAsia="黑体" w:hAnsi="黑体" w:cs="黑体" w:hint="eastAsia"/>
          <w:lang w:eastAsia="zh-CN"/>
        </w:rPr>
        <w:t>基金职业道德学习</w:t>
      </w:r>
      <w:r>
        <w:rPr>
          <w:rFonts w:ascii="黑体" w:eastAsia="黑体" w:hAnsi="黑体" w:cs="黑体" w:hint="eastAsia"/>
          <w:lang w:eastAsia="zh-CN"/>
        </w:rPr>
        <w:t>C.</w:t>
      </w:r>
      <w:r>
        <w:rPr>
          <w:rFonts w:ascii="黑体" w:eastAsia="黑体" w:hAnsi="黑体" w:cs="黑体" w:hint="eastAsia"/>
          <w:lang w:eastAsia="zh-CN"/>
        </w:rPr>
        <w:t>基金职业道德规范</w:t>
      </w:r>
      <w:r>
        <w:rPr>
          <w:rFonts w:ascii="黑体" w:eastAsia="黑体" w:hAnsi="黑体" w:cs="黑体" w:hint="eastAsia"/>
          <w:lang w:eastAsia="zh-CN"/>
        </w:rPr>
        <w:t>D.</w:t>
      </w:r>
      <w:r>
        <w:rPr>
          <w:rFonts w:ascii="黑体" w:eastAsia="黑体" w:hAnsi="黑体" w:cs="黑体" w:hint="eastAsia"/>
          <w:lang w:eastAsia="zh-CN"/>
        </w:rPr>
        <w:t>基金职业道德修养</w:t>
      </w:r>
    </w:p>
    <w:p w14:paraId="5B2B98E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3295154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280CDF">
        <w:rPr>
          <w:rFonts w:ascii="黑体" w:eastAsia="黑体" w:hAnsi="黑体" w:cs="黑体" w:hint="eastAsia"/>
          <w:highlight w:val="yellow"/>
          <w:lang w:eastAsia="zh-CN"/>
        </w:rPr>
        <w:t>基金职业道德修养</w:t>
      </w:r>
      <w:r>
        <w:rPr>
          <w:rFonts w:ascii="黑体" w:eastAsia="黑体" w:hAnsi="黑体" w:cs="黑体" w:hint="eastAsia"/>
          <w:lang w:eastAsia="zh-CN"/>
        </w:rPr>
        <w:t>，是指基金从业人员通过主动自觉地自我学习、自我改造、自我完善，将基金职业道德外在的职业行为规范内化为内在的职业道德情感、认知和信念，使自己形成良好的职业道德品质和达到一定的职业道德境界。</w:t>
      </w:r>
    </w:p>
    <w:p w14:paraId="1C5D41D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48</w:t>
      </w:r>
      <w:r>
        <w:rPr>
          <w:rFonts w:ascii="黑体" w:eastAsia="黑体" w:hAnsi="黑体" w:cs="黑体" w:hint="eastAsia"/>
          <w:lang w:eastAsia="zh-CN"/>
        </w:rPr>
        <w:t>、下列不能形成有效的反洗钱合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性风险管理措施的是</w:t>
      </w:r>
      <w:r>
        <w:rPr>
          <w:rFonts w:ascii="黑体" w:eastAsia="黑体" w:hAnsi="黑体" w:cs="黑体" w:hint="eastAsia"/>
          <w:lang w:eastAsia="zh-CN"/>
        </w:rPr>
        <w:t>（）</w:t>
      </w:r>
      <w:r>
        <w:rPr>
          <w:rFonts w:ascii="黑体" w:eastAsia="黑体" w:hAnsi="黑体" w:cs="黑体" w:hint="eastAsia"/>
          <w:lang w:eastAsia="zh-CN"/>
        </w:rPr>
        <w:t>。</w:t>
      </w:r>
    </w:p>
    <w:p w14:paraId="40B2DB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建立规模导向的反洗钱制度</w:t>
      </w:r>
    </w:p>
    <w:p w14:paraId="28A1384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对资金支付进行监控</w:t>
      </w:r>
    </w:p>
    <w:p w14:paraId="4BF91F3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从严监控客户核心资料信息修改</w:t>
      </w:r>
    </w:p>
    <w:p w14:paraId="2F2F3A8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制定严格有效的开户流程</w:t>
      </w:r>
      <w:r>
        <w:rPr>
          <w:rFonts w:ascii="黑体" w:eastAsia="黑体" w:hAnsi="黑体" w:cs="黑体" w:hint="eastAsia"/>
          <w:lang w:eastAsia="zh-CN"/>
        </w:rPr>
        <w:tab/>
      </w:r>
    </w:p>
    <w:p w14:paraId="41E513B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C319EE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【试题解析】：反洗钱合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性风险管理措施主要包括：</w:t>
      </w:r>
    </w:p>
    <w:p w14:paraId="66A90A4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①建立</w:t>
      </w:r>
      <w:r w:rsidRPr="00280CDF">
        <w:rPr>
          <w:rFonts w:ascii="黑体" w:eastAsia="黑体" w:hAnsi="黑体" w:cs="黑体" w:hint="eastAsia"/>
          <w:highlight w:val="yellow"/>
          <w:lang w:eastAsia="zh-CN"/>
        </w:rPr>
        <w:t>风险导向</w:t>
      </w:r>
      <w:r>
        <w:rPr>
          <w:rFonts w:ascii="黑体" w:eastAsia="黑体" w:hAnsi="黑体" w:cs="黑体" w:hint="eastAsia"/>
          <w:lang w:eastAsia="zh-CN"/>
        </w:rPr>
        <w:t>的反洗钱防控体系，合理配置资源。</w:t>
      </w:r>
    </w:p>
    <w:p w14:paraId="7DFD5A1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②严格遵守资金清算制度，</w:t>
      </w:r>
      <w:r w:rsidRPr="00280CDF">
        <w:rPr>
          <w:rFonts w:ascii="黑体" w:eastAsia="黑体" w:hAnsi="黑体" w:cs="黑体" w:hint="eastAsia"/>
          <w:highlight w:val="yellow"/>
          <w:lang w:eastAsia="zh-CN"/>
        </w:rPr>
        <w:t>对现金支付进行控制和监控</w:t>
      </w:r>
      <w:r>
        <w:rPr>
          <w:rFonts w:ascii="黑体" w:eastAsia="黑体" w:hAnsi="黑体" w:cs="黑体" w:hint="eastAsia"/>
          <w:lang w:eastAsia="zh-CN"/>
        </w:rPr>
        <w:t>。</w:t>
      </w:r>
    </w:p>
    <w:p w14:paraId="7B769CB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③建立符合行业特征的客户风险识别和可疑交易分析机制。</w:t>
      </w:r>
    </w:p>
    <w:p w14:paraId="1068044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④从严监控客户核心资料信息修改、</w:t>
      </w:r>
      <w:proofErr w:type="gramStart"/>
      <w:r>
        <w:rPr>
          <w:rFonts w:ascii="黑体" w:eastAsia="黑体" w:hAnsi="黑体" w:cs="黑体" w:hint="eastAsia"/>
          <w:lang w:eastAsia="zh-CN"/>
        </w:rPr>
        <w:t>非交易</w:t>
      </w:r>
      <w:proofErr w:type="gramEnd"/>
      <w:r>
        <w:rPr>
          <w:rFonts w:ascii="黑体" w:eastAsia="黑体" w:hAnsi="黑体" w:cs="黑体" w:hint="eastAsia"/>
          <w:lang w:eastAsia="zh-CN"/>
        </w:rPr>
        <w:t>过户和</w:t>
      </w:r>
      <w:proofErr w:type="gramStart"/>
      <w:r>
        <w:rPr>
          <w:rFonts w:ascii="黑体" w:eastAsia="黑体" w:hAnsi="黑体" w:cs="黑体" w:hint="eastAsia"/>
          <w:lang w:eastAsia="zh-CN"/>
        </w:rPr>
        <w:t>异户</w:t>
      </w:r>
      <w:proofErr w:type="gramEnd"/>
      <w:r>
        <w:rPr>
          <w:rFonts w:ascii="黑体" w:eastAsia="黑体" w:hAnsi="黑体" w:cs="黑体" w:hint="eastAsia"/>
          <w:lang w:eastAsia="zh-CN"/>
        </w:rPr>
        <w:t>资金划转。</w:t>
      </w:r>
    </w:p>
    <w:p w14:paraId="01782CB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⑤制定严格有效的开户流程，规范对客户的身份认证和授权资格的认定，对有关客户的身份证明材料予以保存。</w:t>
      </w:r>
    </w:p>
    <w:p w14:paraId="7A58796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49</w:t>
      </w:r>
      <w:r>
        <w:rPr>
          <w:rFonts w:ascii="黑体" w:eastAsia="黑体" w:hAnsi="黑体" w:cs="黑体" w:hint="eastAsia"/>
          <w:lang w:eastAsia="zh-CN"/>
        </w:rPr>
        <w:t>、下列哪一项不属于内部控制的主要内容</w:t>
      </w:r>
      <w:r>
        <w:rPr>
          <w:rFonts w:ascii="黑体" w:eastAsia="黑体" w:hAnsi="黑体" w:cs="黑体" w:hint="eastAsia"/>
          <w:lang w:eastAsia="zh-CN"/>
        </w:rPr>
        <w:t>()</w:t>
      </w:r>
    </w:p>
    <w:p w14:paraId="2F35D66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投资管理业务控制</w:t>
      </w:r>
    </w:p>
    <w:p w14:paraId="3F6F3A8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风险管理控制</w:t>
      </w:r>
    </w:p>
    <w:p w14:paraId="292468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信息披露控制</w:t>
      </w:r>
    </w:p>
    <w:p w14:paraId="74BDE6E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会计系统控制</w:t>
      </w:r>
    </w:p>
    <w:p w14:paraId="34503A9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04E439F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【试题解析】：内部控制的主要内容包括：投资管理业务控制，销售业务控制，信息披露控制，信息技术系统控制，会计</w:t>
      </w:r>
      <w:r>
        <w:rPr>
          <w:rFonts w:ascii="黑体" w:eastAsia="黑体" w:hAnsi="黑体" w:cs="黑体" w:hint="eastAsia"/>
          <w:lang w:eastAsia="zh-CN"/>
        </w:rPr>
        <w:t>系统控制，监察稽核控制。</w:t>
      </w:r>
    </w:p>
    <w:p w14:paraId="4290E9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50</w:t>
      </w:r>
      <w:r>
        <w:rPr>
          <w:rFonts w:ascii="黑体" w:eastAsia="黑体" w:hAnsi="黑体" w:cs="黑体" w:hint="eastAsia"/>
          <w:lang w:eastAsia="zh-CN"/>
        </w:rPr>
        <w:t>、下列某基金代销银行的货币市场基金宣传推介行为中，做法正确的是</w:t>
      </w:r>
      <w:r>
        <w:rPr>
          <w:rFonts w:ascii="黑体" w:eastAsia="黑体" w:hAnsi="黑体" w:cs="黑体" w:hint="eastAsia"/>
          <w:lang w:eastAsia="zh-CN"/>
        </w:rPr>
        <w:t>（）</w:t>
      </w:r>
      <w:r>
        <w:rPr>
          <w:rFonts w:ascii="黑体" w:eastAsia="黑体" w:hAnsi="黑体" w:cs="黑体" w:hint="eastAsia"/>
          <w:lang w:eastAsia="zh-CN"/>
        </w:rPr>
        <w:t>。</w:t>
      </w:r>
    </w:p>
    <w:p w14:paraId="4C4BC75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以该银行现金理财工具的名义实际推介货币市场基金</w:t>
      </w:r>
    </w:p>
    <w:p w14:paraId="122B2B3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宣传该银行为货币市场基金提供</w:t>
      </w:r>
      <w:r>
        <w:rPr>
          <w:rFonts w:ascii="黑体" w:eastAsia="黑体" w:hAnsi="黑体" w:cs="黑体" w:hint="eastAsia"/>
          <w:lang w:eastAsia="zh-CN"/>
        </w:rPr>
        <w:t>T+0</w:t>
      </w:r>
      <w:r>
        <w:rPr>
          <w:rFonts w:ascii="黑体" w:eastAsia="黑体" w:hAnsi="黑体" w:cs="黑体" w:hint="eastAsia"/>
          <w:lang w:eastAsia="zh-CN"/>
        </w:rPr>
        <w:t>快速赎回服务</w:t>
      </w:r>
      <w:r>
        <w:rPr>
          <w:rFonts w:ascii="黑体" w:eastAsia="黑体" w:hAnsi="黑体" w:cs="黑体" w:hint="eastAsia"/>
          <w:lang w:eastAsia="zh-CN"/>
        </w:rPr>
        <w:t>,</w:t>
      </w:r>
      <w:r>
        <w:rPr>
          <w:rFonts w:ascii="黑体" w:eastAsia="黑体" w:hAnsi="黑体" w:cs="黑体" w:hint="eastAsia"/>
          <w:lang w:eastAsia="zh-CN"/>
        </w:rPr>
        <w:t>并充分揭示快速赎回服务的规则、内容、费用及限制条件等信息</w:t>
      </w:r>
    </w:p>
    <w:p w14:paraId="1D2602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根据货币市场基金历史业绩表现，谨慎承诺最低预期收益率</w:t>
      </w:r>
    </w:p>
    <w:p w14:paraId="5640651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根据业务推动需要，制作突出货币市场基金收益率高于银行存款利率的宣传材料</w:t>
      </w:r>
    </w:p>
    <w:p w14:paraId="7F72BB1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6F80EAE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AC</w:t>
      </w:r>
      <w:r>
        <w:rPr>
          <w:rFonts w:ascii="黑体" w:eastAsia="黑体" w:hAnsi="黑体" w:cs="黑体" w:hint="eastAsia"/>
          <w:lang w:eastAsia="zh-CN"/>
        </w:rPr>
        <w:t>两项，基金宣传推介材料中推介货币市场基金的，应当提示基金投资人，</w:t>
      </w:r>
      <w:r w:rsidRPr="00D8078D">
        <w:rPr>
          <w:rFonts w:ascii="黑体" w:eastAsia="黑体" w:hAnsi="黑体" w:cs="黑体" w:hint="eastAsia"/>
          <w:highlight w:val="yellow"/>
          <w:lang w:eastAsia="zh-CN"/>
        </w:rPr>
        <w:t>购买货币市场基金并不等于将资金作为存款存放在银行或者存款类金融机构</w:t>
      </w:r>
      <w:r>
        <w:rPr>
          <w:rFonts w:ascii="黑体" w:eastAsia="黑体" w:hAnsi="黑体" w:cs="黑体" w:hint="eastAsia"/>
          <w:lang w:eastAsia="zh-CN"/>
        </w:rPr>
        <w:t>，</w:t>
      </w:r>
      <w:r w:rsidRPr="00D8078D">
        <w:rPr>
          <w:rFonts w:ascii="黑体" w:eastAsia="黑体" w:hAnsi="黑体" w:cs="黑体" w:hint="eastAsia"/>
          <w:highlight w:val="yellow"/>
          <w:lang w:eastAsia="zh-CN"/>
        </w:rPr>
        <w:t>基金管理人不保证基金一定盈利</w:t>
      </w:r>
      <w:r w:rsidRPr="00D8078D">
        <w:rPr>
          <w:rFonts w:ascii="黑体" w:eastAsia="黑体" w:hAnsi="黑体" w:cs="黑体" w:hint="eastAsia"/>
          <w:highlight w:val="yellow"/>
          <w:lang w:eastAsia="zh-CN"/>
        </w:rPr>
        <w:t>,</w:t>
      </w:r>
      <w:r w:rsidRPr="00D8078D">
        <w:rPr>
          <w:rFonts w:ascii="黑体" w:eastAsia="黑体" w:hAnsi="黑体" w:cs="黑体" w:hint="eastAsia"/>
          <w:highlight w:val="yellow"/>
          <w:lang w:eastAsia="zh-CN"/>
        </w:rPr>
        <w:t>也不保证最低收益。</w:t>
      </w:r>
      <w:r>
        <w:rPr>
          <w:rFonts w:ascii="黑体" w:eastAsia="黑体" w:hAnsi="黑体" w:cs="黑体" w:hint="eastAsia"/>
          <w:lang w:eastAsia="zh-CN"/>
        </w:rPr>
        <w:t>D</w:t>
      </w:r>
      <w:r>
        <w:rPr>
          <w:rFonts w:ascii="黑体" w:eastAsia="黑体" w:hAnsi="黑体" w:cs="黑体" w:hint="eastAsia"/>
          <w:lang w:eastAsia="zh-CN"/>
        </w:rPr>
        <w:t>项</w:t>
      </w:r>
      <w:r>
        <w:rPr>
          <w:rFonts w:ascii="黑体" w:eastAsia="黑体" w:hAnsi="黑体" w:cs="黑体" w:hint="eastAsia"/>
          <w:lang w:eastAsia="zh-CN"/>
        </w:rPr>
        <w:t>,</w:t>
      </w:r>
      <w:r>
        <w:rPr>
          <w:rFonts w:ascii="黑体" w:eastAsia="黑体" w:hAnsi="黑体" w:cs="黑体" w:hint="eastAsia"/>
          <w:lang w:eastAsia="zh-CN"/>
        </w:rPr>
        <w:t>基金销售支付结算机构等相关机构开展与货币市场基金相关的业务推广活动，应当事先征得合作基金管理人或者基金销售机构的同意，严格遵守相关法律法规的规定，不得混同、比较货币市场基金与银行存款及其他产品的投资收益，</w:t>
      </w:r>
      <w:r w:rsidRPr="00D8078D">
        <w:rPr>
          <w:rFonts w:ascii="黑体" w:eastAsia="黑体" w:hAnsi="黑体" w:cs="黑体" w:hint="eastAsia"/>
          <w:highlight w:val="yellow"/>
          <w:lang w:eastAsia="zh-CN"/>
        </w:rPr>
        <w:t>不得以宣传理财账户或者服务平台等名义变相从事货币市场基金的宣传推介活动</w:t>
      </w:r>
      <w:r>
        <w:rPr>
          <w:rFonts w:ascii="黑体" w:eastAsia="黑体" w:hAnsi="黑体" w:cs="黑体" w:hint="eastAsia"/>
          <w:lang w:eastAsia="zh-CN"/>
        </w:rPr>
        <w:t>。</w:t>
      </w:r>
    </w:p>
    <w:p w14:paraId="3FC06F9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51</w:t>
      </w:r>
      <w:r>
        <w:rPr>
          <w:rFonts w:ascii="黑体" w:eastAsia="黑体" w:hAnsi="黑体" w:cs="黑体" w:hint="eastAsia"/>
          <w:lang w:eastAsia="zh-CN"/>
        </w:rPr>
        <w:t>、基金交易确认是</w:t>
      </w:r>
      <w:r>
        <w:rPr>
          <w:rFonts w:ascii="黑体" w:eastAsia="黑体" w:hAnsi="黑体" w:cs="黑体" w:hint="eastAsia"/>
          <w:lang w:eastAsia="zh-CN"/>
        </w:rPr>
        <w:t>（）</w:t>
      </w:r>
      <w:r>
        <w:rPr>
          <w:rFonts w:ascii="黑体" w:eastAsia="黑体" w:hAnsi="黑体" w:cs="黑体" w:hint="eastAsia"/>
          <w:lang w:eastAsia="zh-CN"/>
        </w:rPr>
        <w:t>的职责之一。</w:t>
      </w:r>
    </w:p>
    <w:p w14:paraId="5484EAD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基金份额登记机构</w:t>
      </w:r>
    </w:p>
    <w:p w14:paraId="0A30FEF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销售机构</w:t>
      </w:r>
    </w:p>
    <w:p w14:paraId="14B0FAB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中央结算公司</w:t>
      </w:r>
    </w:p>
    <w:p w14:paraId="648EAA1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基金托管人</w:t>
      </w:r>
    </w:p>
    <w:p w14:paraId="502071B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7B6BA1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份额登记机构应当确保基金份额的登记过户、存管和结算业务的处理安全、准确、及时、高效。主要职责包括：①建立并管理投资人基金份额账户；②负责基金份额的登记；③基金交易确认；④代理发放红利；⑤建立并保管基金份额持有人名册；⑥等级代理协议规定的其它职责。</w:t>
      </w:r>
    </w:p>
    <w:p w14:paraId="080DEAF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52</w:t>
      </w:r>
      <w:r>
        <w:rPr>
          <w:rFonts w:ascii="黑体" w:eastAsia="黑体" w:hAnsi="黑体" w:cs="黑体" w:hint="eastAsia"/>
          <w:lang w:eastAsia="zh-CN"/>
        </w:rPr>
        <w:t>、基金的运作活动从基金管理人的角度看，可以分为</w:t>
      </w:r>
      <w:r>
        <w:rPr>
          <w:rFonts w:ascii="黑体" w:eastAsia="黑体" w:hAnsi="黑体" w:cs="黑体" w:hint="eastAsia"/>
          <w:lang w:eastAsia="zh-CN"/>
        </w:rPr>
        <w:t>（）</w:t>
      </w:r>
      <w:r>
        <w:rPr>
          <w:rFonts w:ascii="黑体" w:eastAsia="黑体" w:hAnsi="黑体" w:cs="黑体" w:hint="eastAsia"/>
          <w:lang w:eastAsia="zh-CN"/>
        </w:rPr>
        <w:t>、基金的投资管理与基金的后台管理三大部分。</w:t>
      </w:r>
    </w:p>
    <w:p w14:paraId="18FA9FD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基金的产品开发</w:t>
      </w:r>
    </w:p>
    <w:p w14:paraId="61D33D8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w:t>
      </w:r>
      <w:r>
        <w:rPr>
          <w:rFonts w:ascii="黑体" w:eastAsia="黑体" w:hAnsi="黑体" w:cs="黑体" w:hint="eastAsia"/>
          <w:lang w:eastAsia="zh-CN"/>
        </w:rPr>
        <w:t>基金的募集</w:t>
      </w:r>
    </w:p>
    <w:p w14:paraId="7FECE50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基金的市场营销</w:t>
      </w:r>
    </w:p>
    <w:p w14:paraId="3E1BD83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基金的资产保管</w:t>
      </w:r>
    </w:p>
    <w:p w14:paraId="4D43CF7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3D7AD54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【试题解析】：基金的运作活动从基金管理人的角度看，可以分为</w:t>
      </w:r>
      <w:r w:rsidRPr="00D8078D">
        <w:rPr>
          <w:rFonts w:ascii="黑体" w:eastAsia="黑体" w:hAnsi="黑体" w:cs="黑体" w:hint="eastAsia"/>
          <w:highlight w:val="yellow"/>
          <w:lang w:eastAsia="zh-CN"/>
        </w:rPr>
        <w:t>基金的市场营销、基金的投资管理与基金的后台管理三大部分</w:t>
      </w:r>
      <w:r>
        <w:rPr>
          <w:rFonts w:ascii="黑体" w:eastAsia="黑体" w:hAnsi="黑体" w:cs="黑体" w:hint="eastAsia"/>
          <w:lang w:eastAsia="zh-CN"/>
        </w:rPr>
        <w:t>。</w:t>
      </w:r>
    </w:p>
    <w:p w14:paraId="2C54145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53</w:t>
      </w:r>
      <w:r>
        <w:rPr>
          <w:rFonts w:ascii="黑体" w:eastAsia="黑体" w:hAnsi="黑体" w:cs="黑体" w:hint="eastAsia"/>
          <w:lang w:eastAsia="zh-CN"/>
        </w:rPr>
        <w:t>、信托公司资产管理业务的合格投资者应是符合</w:t>
      </w:r>
      <w:r>
        <w:rPr>
          <w:rFonts w:ascii="黑体" w:eastAsia="黑体" w:hAnsi="黑体" w:cs="黑体" w:hint="eastAsia"/>
          <w:lang w:eastAsia="zh-CN"/>
        </w:rPr>
        <w:t>（）</w:t>
      </w:r>
      <w:r>
        <w:rPr>
          <w:rFonts w:ascii="黑体" w:eastAsia="黑体" w:hAnsi="黑体" w:cs="黑体" w:hint="eastAsia"/>
          <w:lang w:eastAsia="zh-CN"/>
        </w:rPr>
        <w:t>条件单位和个人。</w:t>
      </w:r>
    </w:p>
    <w:p w14:paraId="309C9BB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投资一个信托计划的最低金额不少于</w:t>
      </w:r>
      <w:r>
        <w:rPr>
          <w:rFonts w:ascii="黑体" w:eastAsia="黑体" w:hAnsi="黑体" w:cs="黑体" w:hint="eastAsia"/>
          <w:lang w:eastAsia="zh-CN"/>
        </w:rPr>
        <w:t>100</w:t>
      </w:r>
      <w:r>
        <w:rPr>
          <w:rFonts w:ascii="黑体" w:eastAsia="黑体" w:hAnsi="黑体" w:cs="黑体" w:hint="eastAsia"/>
          <w:lang w:eastAsia="zh-CN"/>
        </w:rPr>
        <w:t>万元人民币的自然人、法人或者依法成立的其他组织</w:t>
      </w:r>
    </w:p>
    <w:p w14:paraId="030E234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公司、企业等机构净资产不低于</w:t>
      </w:r>
      <w:r>
        <w:rPr>
          <w:rFonts w:ascii="黑体" w:eastAsia="黑体" w:hAnsi="黑体" w:cs="黑体" w:hint="eastAsia"/>
          <w:lang w:eastAsia="zh-CN"/>
        </w:rPr>
        <w:t>1000</w:t>
      </w:r>
      <w:r>
        <w:rPr>
          <w:rFonts w:ascii="黑体" w:eastAsia="黑体" w:hAnsi="黑体" w:cs="黑体" w:hint="eastAsia"/>
          <w:lang w:eastAsia="zh-CN"/>
        </w:rPr>
        <w:t>万元</w:t>
      </w:r>
    </w:p>
    <w:p w14:paraId="506C414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个人或家庭金融资产总计在其认购时超过</w:t>
      </w:r>
      <w:r>
        <w:rPr>
          <w:rFonts w:ascii="黑体" w:eastAsia="黑体" w:hAnsi="黑体" w:cs="黑体" w:hint="eastAsia"/>
          <w:lang w:eastAsia="zh-CN"/>
        </w:rPr>
        <w:t>100</w:t>
      </w:r>
      <w:r>
        <w:rPr>
          <w:rFonts w:ascii="黑体" w:eastAsia="黑体" w:hAnsi="黑体" w:cs="黑体" w:hint="eastAsia"/>
          <w:lang w:eastAsia="zh-CN"/>
        </w:rPr>
        <w:t>万元人民币，且能提供相关财产证明的自然人</w:t>
      </w:r>
    </w:p>
    <w:p w14:paraId="6411C6A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个人在最近</w:t>
      </w:r>
      <w:r>
        <w:rPr>
          <w:rFonts w:ascii="黑体" w:eastAsia="黑体" w:hAnsi="黑体" w:cs="黑体" w:hint="eastAsia"/>
          <w:lang w:eastAsia="zh-CN"/>
        </w:rPr>
        <w:t>3</w:t>
      </w:r>
      <w:r>
        <w:rPr>
          <w:rFonts w:ascii="黑体" w:eastAsia="黑体" w:hAnsi="黑体" w:cs="黑体" w:hint="eastAsia"/>
          <w:lang w:eastAsia="zh-CN"/>
        </w:rPr>
        <w:t>年内每年收入超过</w:t>
      </w:r>
      <w:r>
        <w:rPr>
          <w:rFonts w:ascii="黑体" w:eastAsia="黑体" w:hAnsi="黑体" w:cs="黑体" w:hint="eastAsia"/>
          <w:lang w:eastAsia="zh-CN"/>
        </w:rPr>
        <w:t>20</w:t>
      </w:r>
      <w:r>
        <w:rPr>
          <w:rFonts w:ascii="黑体" w:eastAsia="黑体" w:hAnsi="黑体" w:cs="黑体" w:hint="eastAsia"/>
          <w:lang w:eastAsia="zh-CN"/>
        </w:rPr>
        <w:t>万元人民币或者夫妻双方合计收入在最近</w:t>
      </w:r>
      <w:r>
        <w:rPr>
          <w:rFonts w:ascii="黑体" w:eastAsia="黑体" w:hAnsi="黑体" w:cs="黑体" w:hint="eastAsia"/>
          <w:lang w:eastAsia="zh-CN"/>
        </w:rPr>
        <w:t>3</w:t>
      </w:r>
      <w:r>
        <w:rPr>
          <w:rFonts w:ascii="黑体" w:eastAsia="黑体" w:hAnsi="黑体" w:cs="黑体" w:hint="eastAsia"/>
          <w:lang w:eastAsia="zh-CN"/>
        </w:rPr>
        <w:t>年内每年收入超过</w:t>
      </w:r>
      <w:r>
        <w:rPr>
          <w:rFonts w:ascii="黑体" w:eastAsia="黑体" w:hAnsi="黑体" w:cs="黑体" w:hint="eastAsia"/>
          <w:lang w:eastAsia="zh-CN"/>
        </w:rPr>
        <w:t>30</w:t>
      </w:r>
      <w:r>
        <w:rPr>
          <w:rFonts w:ascii="黑体" w:eastAsia="黑体" w:hAnsi="黑体" w:cs="黑体" w:hint="eastAsia"/>
          <w:lang w:eastAsia="zh-CN"/>
        </w:rPr>
        <w:t>万元人民币，且能提供相关收入证明的自然人</w:t>
      </w:r>
    </w:p>
    <w:p w14:paraId="18FF7899" w14:textId="77777777" w:rsidR="0082448A" w:rsidRDefault="00054E88">
      <w:pPr>
        <w:numPr>
          <w:ilvl w:val="0"/>
          <w:numId w:val="9"/>
        </w:numPr>
        <w:spacing w:line="360" w:lineRule="auto"/>
        <w:rPr>
          <w:rFonts w:ascii="黑体" w:eastAsia="黑体" w:hAnsi="黑体" w:cs="黑体"/>
        </w:rPr>
      </w:pPr>
      <w:proofErr w:type="spellStart"/>
      <w:r>
        <w:rPr>
          <w:rFonts w:ascii="黑体" w:eastAsia="黑体" w:hAnsi="黑体" w:cs="黑体" w:hint="eastAsia"/>
        </w:rPr>
        <w:t>Ⅰ、Ⅲ、Ⅳ</w:t>
      </w:r>
      <w:proofErr w:type="spellEnd"/>
    </w:p>
    <w:p w14:paraId="1BC23D55" w14:textId="77777777" w:rsidR="0082448A" w:rsidRDefault="00054E88">
      <w:pPr>
        <w:numPr>
          <w:ilvl w:val="0"/>
          <w:numId w:val="9"/>
        </w:numPr>
        <w:spacing w:line="360" w:lineRule="auto"/>
        <w:rPr>
          <w:rFonts w:ascii="黑体" w:eastAsia="黑体" w:hAnsi="黑体" w:cs="黑体"/>
        </w:rPr>
      </w:pPr>
      <w:proofErr w:type="spellStart"/>
      <w:r>
        <w:rPr>
          <w:rFonts w:ascii="黑体" w:eastAsia="黑体" w:hAnsi="黑体" w:cs="黑体" w:hint="eastAsia"/>
        </w:rPr>
        <w:t>Ⅱ、Ⅲ、Ⅳ</w:t>
      </w:r>
      <w:proofErr w:type="spellEnd"/>
    </w:p>
    <w:p w14:paraId="05B79EC1"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lastRenderedPageBreak/>
        <w:t>C.</w:t>
      </w:r>
      <w:r>
        <w:rPr>
          <w:rFonts w:ascii="黑体" w:eastAsia="黑体" w:hAnsi="黑体" w:cs="黑体" w:hint="eastAsia"/>
        </w:rPr>
        <w:t>Ⅰ、Ⅱ</w:t>
      </w:r>
      <w:proofErr w:type="spellEnd"/>
    </w:p>
    <w:p w14:paraId="7052006B"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Ⅰ、Ⅱ、Ⅳ</w:t>
      </w:r>
      <w:proofErr w:type="spellEnd"/>
    </w:p>
    <w:p w14:paraId="14E6EC7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 xml:space="preserve"> </w:t>
      </w: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A</w:t>
      </w:r>
    </w:p>
    <w:p w14:paraId="7A09E10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C56335">
        <w:rPr>
          <w:rFonts w:ascii="黑体" w:eastAsia="黑体" w:hAnsi="黑体" w:cs="黑体" w:hint="eastAsia"/>
          <w:highlight w:val="yellow"/>
          <w:lang w:eastAsia="zh-CN"/>
        </w:rPr>
        <w:t>信托公司资产管理业务的合格投资者</w:t>
      </w:r>
      <w:r>
        <w:rPr>
          <w:rFonts w:ascii="黑体" w:eastAsia="黑体" w:hAnsi="黑体" w:cs="黑体" w:hint="eastAsia"/>
          <w:lang w:eastAsia="zh-CN"/>
        </w:rPr>
        <w:t>，是指符合下列条件之一，能够识别、判断和承担信托计划相应风险的人：</w:t>
      </w:r>
    </w:p>
    <w:p w14:paraId="680B916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①投资一个信托计划的最低金额</w:t>
      </w:r>
      <w:r w:rsidRPr="00C56335">
        <w:rPr>
          <w:rFonts w:ascii="黑体" w:eastAsia="黑体" w:hAnsi="黑体" w:cs="黑体" w:hint="eastAsia"/>
          <w:highlight w:val="yellow"/>
          <w:lang w:eastAsia="zh-CN"/>
        </w:rPr>
        <w:t>不少于</w:t>
      </w:r>
      <w:r w:rsidRPr="00C56335">
        <w:rPr>
          <w:rFonts w:ascii="黑体" w:eastAsia="黑体" w:hAnsi="黑体" w:cs="黑体" w:hint="eastAsia"/>
          <w:highlight w:val="yellow"/>
          <w:lang w:eastAsia="zh-CN"/>
        </w:rPr>
        <w:t>100</w:t>
      </w:r>
      <w:r w:rsidRPr="00C56335">
        <w:rPr>
          <w:rFonts w:ascii="黑体" w:eastAsia="黑体" w:hAnsi="黑体" w:cs="黑体" w:hint="eastAsia"/>
          <w:highlight w:val="yellow"/>
          <w:lang w:eastAsia="zh-CN"/>
        </w:rPr>
        <w:t>万元人民币的自然人、法人或者依法成立的其他组织。</w:t>
      </w:r>
    </w:p>
    <w:p w14:paraId="1ED6FD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②个人或家庭金融资产总计在其认购时超过</w:t>
      </w:r>
      <w:r>
        <w:rPr>
          <w:rFonts w:ascii="黑体" w:eastAsia="黑体" w:hAnsi="黑体" w:cs="黑体" w:hint="eastAsia"/>
          <w:lang w:eastAsia="zh-CN"/>
        </w:rPr>
        <w:t>100</w:t>
      </w:r>
      <w:r>
        <w:rPr>
          <w:rFonts w:ascii="黑体" w:eastAsia="黑体" w:hAnsi="黑体" w:cs="黑体" w:hint="eastAsia"/>
          <w:lang w:eastAsia="zh-CN"/>
        </w:rPr>
        <w:t>万元人民币，且能提供相关财产证明的自然人。</w:t>
      </w:r>
    </w:p>
    <w:p w14:paraId="38C44D7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③</w:t>
      </w:r>
      <w:r w:rsidRPr="00C56335">
        <w:rPr>
          <w:rFonts w:ascii="黑体" w:eastAsia="黑体" w:hAnsi="黑体" w:cs="黑体" w:hint="eastAsia"/>
          <w:highlight w:val="yellow"/>
          <w:lang w:eastAsia="zh-CN"/>
        </w:rPr>
        <w:t>个人收入在最近</w:t>
      </w:r>
      <w:r w:rsidRPr="00C56335">
        <w:rPr>
          <w:rFonts w:ascii="黑体" w:eastAsia="黑体" w:hAnsi="黑体" w:cs="黑体" w:hint="eastAsia"/>
          <w:highlight w:val="yellow"/>
          <w:lang w:eastAsia="zh-CN"/>
        </w:rPr>
        <w:t>3</w:t>
      </w:r>
      <w:r w:rsidRPr="00C56335">
        <w:rPr>
          <w:rFonts w:ascii="黑体" w:eastAsia="黑体" w:hAnsi="黑体" w:cs="黑体" w:hint="eastAsia"/>
          <w:highlight w:val="yellow"/>
          <w:lang w:eastAsia="zh-CN"/>
        </w:rPr>
        <w:t>年内每年收入超过</w:t>
      </w:r>
      <w:r w:rsidRPr="00C56335">
        <w:rPr>
          <w:rFonts w:ascii="黑体" w:eastAsia="黑体" w:hAnsi="黑体" w:cs="黑体" w:hint="eastAsia"/>
          <w:highlight w:val="yellow"/>
          <w:lang w:eastAsia="zh-CN"/>
        </w:rPr>
        <w:t>20</w:t>
      </w:r>
      <w:r w:rsidRPr="00C56335">
        <w:rPr>
          <w:rFonts w:ascii="黑体" w:eastAsia="黑体" w:hAnsi="黑体" w:cs="黑体" w:hint="eastAsia"/>
          <w:highlight w:val="yellow"/>
          <w:lang w:eastAsia="zh-CN"/>
        </w:rPr>
        <w:t>万元人民币或者夫妻双方合计收入在最近</w:t>
      </w:r>
      <w:r w:rsidRPr="00C56335">
        <w:rPr>
          <w:rFonts w:ascii="黑体" w:eastAsia="黑体" w:hAnsi="黑体" w:cs="黑体" w:hint="eastAsia"/>
          <w:highlight w:val="yellow"/>
          <w:lang w:eastAsia="zh-CN"/>
        </w:rPr>
        <w:t>3</w:t>
      </w:r>
      <w:r w:rsidRPr="00C56335">
        <w:rPr>
          <w:rFonts w:ascii="黑体" w:eastAsia="黑体" w:hAnsi="黑体" w:cs="黑体" w:hint="eastAsia"/>
          <w:highlight w:val="yellow"/>
          <w:lang w:eastAsia="zh-CN"/>
        </w:rPr>
        <w:t>年内每年收入超过</w:t>
      </w:r>
      <w:r w:rsidRPr="00C56335">
        <w:rPr>
          <w:rFonts w:ascii="黑体" w:eastAsia="黑体" w:hAnsi="黑体" w:cs="黑体" w:hint="eastAsia"/>
          <w:highlight w:val="yellow"/>
          <w:lang w:eastAsia="zh-CN"/>
        </w:rPr>
        <w:t>30</w:t>
      </w:r>
      <w:r w:rsidRPr="00C56335">
        <w:rPr>
          <w:rFonts w:ascii="黑体" w:eastAsia="黑体" w:hAnsi="黑体" w:cs="黑体" w:hint="eastAsia"/>
          <w:highlight w:val="yellow"/>
          <w:lang w:eastAsia="zh-CN"/>
        </w:rPr>
        <w:t>万元人民币，且能提供相关收入证明的自然人。</w:t>
      </w:r>
    </w:p>
    <w:p w14:paraId="5DDC50B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54</w:t>
      </w:r>
      <w:r>
        <w:rPr>
          <w:rFonts w:ascii="黑体" w:eastAsia="黑体" w:hAnsi="黑体" w:cs="黑体" w:hint="eastAsia"/>
          <w:lang w:eastAsia="zh-CN"/>
        </w:rPr>
        <w:t>、基金管理公司和一般公司法人的不同之处在于</w:t>
      </w:r>
      <w:r>
        <w:rPr>
          <w:rFonts w:ascii="黑体" w:eastAsia="黑体" w:hAnsi="黑体" w:cs="黑体" w:hint="eastAsia"/>
          <w:lang w:eastAsia="zh-CN"/>
        </w:rPr>
        <w:t>:</w:t>
      </w:r>
      <w:r>
        <w:rPr>
          <w:rFonts w:ascii="黑体" w:eastAsia="黑体" w:hAnsi="黑体" w:cs="黑体" w:hint="eastAsia"/>
          <w:lang w:eastAsia="zh-CN"/>
        </w:rPr>
        <w:t>基金管理公司所管理的基金财产是基于</w:t>
      </w:r>
      <w:r>
        <w:rPr>
          <w:rFonts w:ascii="黑体" w:eastAsia="黑体" w:hAnsi="黑体" w:cs="黑体" w:hint="eastAsia"/>
          <w:lang w:eastAsia="zh-CN"/>
        </w:rPr>
        <w:t>（）</w:t>
      </w:r>
      <w:r>
        <w:rPr>
          <w:rFonts w:ascii="黑体" w:eastAsia="黑体" w:hAnsi="黑体" w:cs="黑体" w:hint="eastAsia"/>
          <w:lang w:eastAsia="zh-CN"/>
        </w:rPr>
        <w:t>形成的，通常可以管理运作几十倍于自身注册资本的基金财产。</w:t>
      </w:r>
    </w:p>
    <w:p w14:paraId="6810E30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合同关系</w:t>
      </w:r>
    </w:p>
    <w:p w14:paraId="6AE1807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信托关系</w:t>
      </w:r>
    </w:p>
    <w:p w14:paraId="680B478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投资关系</w:t>
      </w:r>
    </w:p>
    <w:p w14:paraId="13C3D34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管理关系</w:t>
      </w:r>
    </w:p>
    <w:p w14:paraId="5A8DC8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0C51B1B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【试题解析】：基金管理公司和一般公司法人的不同之处在于</w:t>
      </w:r>
      <w:r>
        <w:rPr>
          <w:rFonts w:ascii="黑体" w:eastAsia="黑体" w:hAnsi="黑体" w:cs="黑体" w:hint="eastAsia"/>
          <w:lang w:eastAsia="zh-CN"/>
        </w:rPr>
        <w:t>:</w:t>
      </w:r>
      <w:r>
        <w:rPr>
          <w:rFonts w:ascii="黑体" w:eastAsia="黑体" w:hAnsi="黑体" w:cs="黑体" w:hint="eastAsia"/>
          <w:lang w:eastAsia="zh-CN"/>
        </w:rPr>
        <w:t>基金管理公司所管理的</w:t>
      </w:r>
      <w:r w:rsidRPr="00C56335">
        <w:rPr>
          <w:rFonts w:ascii="黑体" w:eastAsia="黑体" w:hAnsi="黑体" w:cs="黑体" w:hint="eastAsia"/>
          <w:highlight w:val="yellow"/>
          <w:lang w:eastAsia="zh-CN"/>
        </w:rPr>
        <w:t>基金财产是基于信托关系形成的</w:t>
      </w:r>
      <w:r>
        <w:rPr>
          <w:rFonts w:ascii="黑体" w:eastAsia="黑体" w:hAnsi="黑体" w:cs="黑体" w:hint="eastAsia"/>
          <w:lang w:eastAsia="zh-CN"/>
        </w:rPr>
        <w:t>，通常可以管理运作几十倍于自身注册资本的基金财产。</w:t>
      </w:r>
    </w:p>
    <w:p w14:paraId="351A88F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55</w:t>
      </w:r>
      <w:r>
        <w:rPr>
          <w:rFonts w:ascii="黑体" w:eastAsia="黑体" w:hAnsi="黑体" w:cs="黑体" w:hint="eastAsia"/>
          <w:lang w:eastAsia="zh-CN"/>
        </w:rPr>
        <w:t>、基金管理人在基金合同生效的</w:t>
      </w:r>
      <w:r>
        <w:rPr>
          <w:rFonts w:ascii="黑体" w:eastAsia="黑体" w:hAnsi="黑体" w:cs="黑体" w:hint="eastAsia"/>
          <w:lang w:eastAsia="zh-CN"/>
        </w:rPr>
        <w:t>（）</w:t>
      </w:r>
      <w:r>
        <w:rPr>
          <w:rFonts w:ascii="黑体" w:eastAsia="黑体" w:hAnsi="黑体" w:cs="黑体" w:hint="eastAsia"/>
          <w:lang w:eastAsia="zh-CN"/>
        </w:rPr>
        <w:t>，在指定报刊和管理人网站上登载基金合同生效公告。</w:t>
      </w:r>
    </w:p>
    <w:p w14:paraId="5604AE3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当日</w:t>
      </w:r>
    </w:p>
    <w:p w14:paraId="0C9C48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次日</w:t>
      </w:r>
    </w:p>
    <w:p w14:paraId="62A76B5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三日</w:t>
      </w:r>
    </w:p>
    <w:p w14:paraId="4BCECDD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五日</w:t>
      </w:r>
    </w:p>
    <w:p w14:paraId="57BC73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73A8A62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【试题解析】：基金管理人在基金合同生效的次日，在指定报刊和管理人网站上登载基金合同生效公告。</w:t>
      </w:r>
    </w:p>
    <w:p w14:paraId="27FB3B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56</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实施监督的动力最足，监督也最深最细。</w:t>
      </w:r>
    </w:p>
    <w:p w14:paraId="6C2677C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投资者</w:t>
      </w:r>
    </w:p>
    <w:p w14:paraId="1ACE558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监督机构</w:t>
      </w:r>
    </w:p>
    <w:p w14:paraId="78B2F68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基金机构</w:t>
      </w:r>
    </w:p>
    <w:p w14:paraId="04A869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行业自律组织</w:t>
      </w:r>
    </w:p>
    <w:p w14:paraId="4BE4CA1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w:t>
      </w:r>
      <w:r>
        <w:rPr>
          <w:rFonts w:ascii="黑体" w:eastAsia="黑体" w:hAnsi="黑体" w:cs="黑体" w:hint="eastAsia"/>
          <w:lang w:eastAsia="zh-CN"/>
        </w:rPr>
        <w:t>A</w:t>
      </w:r>
    </w:p>
    <w:p w14:paraId="2329A5B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【试题解析】：基金市场投资者是基金职业道</w:t>
      </w:r>
      <w:proofErr w:type="gramStart"/>
      <w:r>
        <w:rPr>
          <w:rFonts w:ascii="黑体" w:eastAsia="黑体" w:hAnsi="黑体" w:cs="黑体" w:hint="eastAsia"/>
          <w:lang w:eastAsia="zh-CN"/>
        </w:rPr>
        <w:t>徳</w:t>
      </w:r>
      <w:proofErr w:type="gramEnd"/>
      <w:r>
        <w:rPr>
          <w:rFonts w:ascii="黑体" w:eastAsia="黑体" w:hAnsi="黑体" w:cs="黑体" w:hint="eastAsia"/>
          <w:lang w:eastAsia="zh-CN"/>
        </w:rPr>
        <w:t>最直接的受益者或受害者，对于基金职业道</w:t>
      </w:r>
      <w:proofErr w:type="gramStart"/>
      <w:r>
        <w:rPr>
          <w:rFonts w:ascii="黑体" w:eastAsia="黑体" w:hAnsi="黑体" w:cs="黑体" w:hint="eastAsia"/>
          <w:lang w:eastAsia="zh-CN"/>
        </w:rPr>
        <w:t>徳</w:t>
      </w:r>
      <w:proofErr w:type="gramEnd"/>
      <w:r>
        <w:rPr>
          <w:rFonts w:ascii="黑体" w:eastAsia="黑体" w:hAnsi="黑体" w:cs="黑体" w:hint="eastAsia"/>
          <w:lang w:eastAsia="zh-CN"/>
        </w:rPr>
        <w:t>有着切身的感受，因此，投资者实施监督的动力最足，监督也最深最细。</w:t>
      </w:r>
    </w:p>
    <w:p w14:paraId="0FC7B47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57</w:t>
      </w:r>
      <w:r>
        <w:rPr>
          <w:rFonts w:ascii="黑体" w:eastAsia="黑体" w:hAnsi="黑体" w:cs="黑体" w:hint="eastAsia"/>
          <w:lang w:eastAsia="zh-CN"/>
        </w:rPr>
        <w:t>、</w:t>
      </w:r>
      <w:proofErr w:type="gramStart"/>
      <w:r>
        <w:rPr>
          <w:rFonts w:ascii="黑体" w:eastAsia="黑体" w:hAnsi="黑体" w:cs="黑体" w:hint="eastAsia"/>
          <w:lang w:eastAsia="zh-CN"/>
        </w:rPr>
        <w:t>甲公募基金</w:t>
      </w:r>
      <w:proofErr w:type="gramEnd"/>
      <w:r>
        <w:rPr>
          <w:rFonts w:ascii="黑体" w:eastAsia="黑体" w:hAnsi="黑体" w:cs="黑体" w:hint="eastAsia"/>
          <w:lang w:eastAsia="zh-CN"/>
        </w:rPr>
        <w:t>管理公司在发售某基金产品的过程中，为提高基金募集规模，对其直销客户采用先收后返、财务处理等方式变相降低收费标准，同时向代销机构乙以基金销售</w:t>
      </w:r>
      <w:proofErr w:type="gramStart"/>
      <w:r>
        <w:rPr>
          <w:rFonts w:ascii="黑体" w:eastAsia="黑体" w:hAnsi="黑体" w:cs="黑体" w:hint="eastAsia"/>
          <w:lang w:eastAsia="zh-CN"/>
        </w:rPr>
        <w:t>展业费的</w:t>
      </w:r>
      <w:proofErr w:type="gramEnd"/>
      <w:r>
        <w:rPr>
          <w:rFonts w:ascii="黑体" w:eastAsia="黑体" w:hAnsi="黑体" w:cs="黑体" w:hint="eastAsia"/>
          <w:lang w:eastAsia="zh-CN"/>
        </w:rPr>
        <w:t>方式支付账外费用。关于上述行为，以下说法错误的是</w:t>
      </w:r>
      <w:r>
        <w:rPr>
          <w:rFonts w:ascii="黑体" w:eastAsia="黑体" w:hAnsi="黑体" w:cs="黑体" w:hint="eastAsia"/>
          <w:lang w:eastAsia="zh-CN"/>
        </w:rPr>
        <w:t>（）</w:t>
      </w:r>
      <w:r>
        <w:rPr>
          <w:rFonts w:ascii="黑体" w:eastAsia="黑体" w:hAnsi="黑体" w:cs="黑体" w:hint="eastAsia"/>
          <w:lang w:eastAsia="zh-CN"/>
        </w:rPr>
        <w:t>。</w:t>
      </w:r>
    </w:p>
    <w:p w14:paraId="7B627E7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甲公司对直销客户变相降低收费标准符合基金销售费用管理规定</w:t>
      </w:r>
    </w:p>
    <w:p w14:paraId="0C9B4BA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甲公司应当制定销售管理制度，规范销售行为</w:t>
      </w:r>
    </w:p>
    <w:p w14:paraId="3CB292E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C.</w:t>
      </w:r>
      <w:r>
        <w:rPr>
          <w:rFonts w:ascii="黑体" w:eastAsia="黑体" w:hAnsi="黑体" w:cs="黑体" w:hint="eastAsia"/>
          <w:lang w:eastAsia="zh-CN"/>
        </w:rPr>
        <w:t>甲公司向</w:t>
      </w:r>
      <w:proofErr w:type="gramStart"/>
      <w:r>
        <w:rPr>
          <w:rFonts w:ascii="黑体" w:eastAsia="黑体" w:hAnsi="黑体" w:cs="黑体" w:hint="eastAsia"/>
          <w:lang w:eastAsia="zh-CN"/>
        </w:rPr>
        <w:t>乙机构</w:t>
      </w:r>
      <w:proofErr w:type="gramEnd"/>
      <w:r>
        <w:rPr>
          <w:rFonts w:ascii="黑体" w:eastAsia="黑体" w:hAnsi="黑体" w:cs="黑体" w:hint="eastAsia"/>
          <w:lang w:eastAsia="zh-CN"/>
        </w:rPr>
        <w:t>的客户经理支付</w:t>
      </w:r>
      <w:r>
        <w:rPr>
          <w:rFonts w:ascii="黑体" w:eastAsia="黑体" w:hAnsi="黑体" w:cs="黑体" w:hint="eastAsia"/>
          <w:lang w:eastAsia="zh-CN"/>
        </w:rPr>
        <w:t>账外费用属于商业贿赂</w:t>
      </w:r>
    </w:p>
    <w:p w14:paraId="29BA48B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甲公司应当对销售人员的行为进行监督检查</w:t>
      </w:r>
    </w:p>
    <w:p w14:paraId="6A85439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157DE16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【试题解析】：基金销售机构在基金销售活动中，不得变相降低收费标准，故</w:t>
      </w:r>
      <w:r>
        <w:rPr>
          <w:rFonts w:ascii="黑体" w:eastAsia="黑体" w:hAnsi="黑体" w:cs="黑体" w:hint="eastAsia"/>
          <w:lang w:eastAsia="zh-CN"/>
        </w:rPr>
        <w:t>A</w:t>
      </w:r>
      <w:r>
        <w:rPr>
          <w:rFonts w:ascii="黑体" w:eastAsia="黑体" w:hAnsi="黑体" w:cs="黑体" w:hint="eastAsia"/>
          <w:lang w:eastAsia="zh-CN"/>
        </w:rPr>
        <w:t>项说法错误</w:t>
      </w:r>
    </w:p>
    <w:p w14:paraId="193CEA16" w14:textId="77777777" w:rsidR="0082448A" w:rsidRPr="00C56335" w:rsidRDefault="00054E88">
      <w:pPr>
        <w:spacing w:line="360" w:lineRule="auto"/>
        <w:rPr>
          <w:rFonts w:ascii="黑体" w:eastAsia="黑体" w:hAnsi="黑体" w:cs="黑体"/>
          <w:highlight w:val="yellow"/>
          <w:lang w:eastAsia="zh-CN"/>
        </w:rPr>
      </w:pPr>
      <w:r>
        <w:rPr>
          <w:rFonts w:ascii="黑体" w:eastAsia="黑体" w:hAnsi="黑体" w:cs="黑体" w:hint="eastAsia"/>
          <w:lang w:eastAsia="zh-CN"/>
        </w:rPr>
        <w:t>58</w:t>
      </w:r>
      <w:r>
        <w:rPr>
          <w:rFonts w:ascii="黑体" w:eastAsia="黑体" w:hAnsi="黑体" w:cs="黑体" w:hint="eastAsia"/>
          <w:lang w:eastAsia="zh-CN"/>
        </w:rPr>
        <w:t>、</w:t>
      </w:r>
      <w:r w:rsidRPr="00C56335">
        <w:rPr>
          <w:rFonts w:ascii="黑体" w:eastAsia="黑体" w:hAnsi="黑体" w:cs="黑体" w:hint="eastAsia"/>
          <w:highlight w:val="yellow"/>
          <w:lang w:eastAsia="zh-CN"/>
        </w:rPr>
        <w:t>中国境内第一家较为规范的投资基金是</w:t>
      </w:r>
      <w:r w:rsidRPr="00C56335">
        <w:rPr>
          <w:rFonts w:ascii="黑体" w:eastAsia="黑体" w:hAnsi="黑体" w:cs="黑体" w:hint="eastAsia"/>
          <w:highlight w:val="yellow"/>
          <w:lang w:eastAsia="zh-CN"/>
        </w:rPr>
        <w:t>（）</w:t>
      </w:r>
      <w:r w:rsidRPr="00C56335">
        <w:rPr>
          <w:rFonts w:ascii="黑体" w:eastAsia="黑体" w:hAnsi="黑体" w:cs="黑体" w:hint="eastAsia"/>
          <w:highlight w:val="yellow"/>
          <w:lang w:eastAsia="zh-CN"/>
        </w:rPr>
        <w:t>。</w:t>
      </w:r>
    </w:p>
    <w:p w14:paraId="50ED1446" w14:textId="77777777" w:rsidR="0082448A" w:rsidRDefault="00054E88">
      <w:pPr>
        <w:spacing w:line="360" w:lineRule="auto"/>
        <w:rPr>
          <w:rFonts w:ascii="黑体" w:eastAsia="黑体" w:hAnsi="黑体" w:cs="黑体"/>
          <w:lang w:eastAsia="zh-CN"/>
        </w:rPr>
      </w:pPr>
      <w:r w:rsidRPr="00C56335">
        <w:rPr>
          <w:rFonts w:ascii="黑体" w:eastAsia="黑体" w:hAnsi="黑体" w:cs="黑体" w:hint="eastAsia"/>
          <w:highlight w:val="yellow"/>
          <w:lang w:eastAsia="zh-CN"/>
        </w:rPr>
        <w:t>A.</w:t>
      </w:r>
      <w:r w:rsidRPr="00C56335">
        <w:rPr>
          <w:rFonts w:ascii="黑体" w:eastAsia="黑体" w:hAnsi="黑体" w:cs="黑体" w:hint="eastAsia"/>
          <w:highlight w:val="yellow"/>
          <w:lang w:eastAsia="zh-CN"/>
        </w:rPr>
        <w:t>淄博基金</w:t>
      </w:r>
    </w:p>
    <w:p w14:paraId="322FA9C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基金开元</w:t>
      </w:r>
      <w:r>
        <w:rPr>
          <w:rFonts w:ascii="黑体" w:eastAsia="黑体" w:hAnsi="黑体" w:cs="黑体" w:hint="eastAsia"/>
          <w:lang w:eastAsia="zh-CN"/>
        </w:rPr>
        <w:t>,</w:t>
      </w:r>
    </w:p>
    <w:p w14:paraId="69921E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w:t>
      </w:r>
      <w:proofErr w:type="gramStart"/>
      <w:r>
        <w:rPr>
          <w:rFonts w:ascii="黑体" w:eastAsia="黑体" w:hAnsi="黑体" w:cs="黑体" w:hint="eastAsia"/>
          <w:lang w:eastAsia="zh-CN"/>
        </w:rPr>
        <w:t>金</w:t>
      </w:r>
      <w:proofErr w:type="gramEnd"/>
      <w:r>
        <w:rPr>
          <w:rFonts w:ascii="黑体" w:eastAsia="黑体" w:hAnsi="黑体" w:cs="黑体" w:hint="eastAsia"/>
          <w:lang w:eastAsia="zh-CN"/>
        </w:rPr>
        <w:t>泰</w:t>
      </w:r>
    </w:p>
    <w:p w14:paraId="25AEA5D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华安创新基金</w:t>
      </w:r>
    </w:p>
    <w:p w14:paraId="381CF34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49AE0A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1992</w:t>
      </w:r>
      <w:r>
        <w:rPr>
          <w:rFonts w:ascii="黑体" w:eastAsia="黑体" w:hAnsi="黑体" w:cs="黑体" w:hint="eastAsia"/>
          <w:lang w:eastAsia="zh-CN"/>
        </w:rPr>
        <w:t>年</w:t>
      </w:r>
      <w:r>
        <w:rPr>
          <w:rFonts w:ascii="黑体" w:eastAsia="黑体" w:hAnsi="黑体" w:cs="黑体" w:hint="eastAsia"/>
          <w:lang w:eastAsia="zh-CN"/>
        </w:rPr>
        <w:t>11</w:t>
      </w:r>
      <w:r>
        <w:rPr>
          <w:rFonts w:ascii="黑体" w:eastAsia="黑体" w:hAnsi="黑体" w:cs="黑体" w:hint="eastAsia"/>
          <w:lang w:eastAsia="zh-CN"/>
        </w:rPr>
        <w:t>月，经中国人民银行总行批准的国内第一家投资基金</w:t>
      </w:r>
      <w:proofErr w:type="gramStart"/>
      <w:r>
        <w:rPr>
          <w:rFonts w:ascii="黑体" w:eastAsia="黑体" w:hAnsi="黑体" w:cs="黑体" w:hint="eastAsia"/>
          <w:lang w:eastAsia="zh-CN"/>
        </w:rPr>
        <w:t>一</w:t>
      </w:r>
      <w:proofErr w:type="gramEnd"/>
      <w:r>
        <w:rPr>
          <w:rFonts w:ascii="黑体" w:eastAsia="黑体" w:hAnsi="黑体" w:cs="黑体" w:hint="eastAsia"/>
          <w:lang w:eastAsia="zh-CN"/>
        </w:rPr>
        <w:t>淄博乡镇企业投资基金</w:t>
      </w:r>
      <w:r>
        <w:rPr>
          <w:rFonts w:ascii="黑体" w:eastAsia="黑体" w:hAnsi="黑体" w:cs="黑体" w:hint="eastAsia"/>
          <w:lang w:eastAsia="zh-CN"/>
        </w:rPr>
        <w:t>(</w:t>
      </w:r>
      <w:r>
        <w:rPr>
          <w:rFonts w:ascii="黑体" w:eastAsia="黑体" w:hAnsi="黑体" w:cs="黑体" w:hint="eastAsia"/>
          <w:lang w:eastAsia="zh-CN"/>
        </w:rPr>
        <w:t>简称“淄博基金”</w:t>
      </w:r>
      <w:r>
        <w:rPr>
          <w:rFonts w:ascii="黑体" w:eastAsia="黑体" w:hAnsi="黑体" w:cs="黑体" w:hint="eastAsia"/>
          <w:lang w:eastAsia="zh-CN"/>
        </w:rPr>
        <w:t>)</w:t>
      </w:r>
      <w:r>
        <w:rPr>
          <w:rFonts w:ascii="黑体" w:eastAsia="黑体" w:hAnsi="黑体" w:cs="黑体" w:hint="eastAsia"/>
          <w:lang w:eastAsia="zh-CN"/>
        </w:rPr>
        <w:t>正式设立，并于</w:t>
      </w:r>
      <w:r>
        <w:rPr>
          <w:rFonts w:ascii="黑体" w:eastAsia="黑体" w:hAnsi="黑体" w:cs="黑体" w:hint="eastAsia"/>
          <w:lang w:eastAsia="zh-CN"/>
        </w:rPr>
        <w:t>1993</w:t>
      </w:r>
      <w:r>
        <w:rPr>
          <w:rFonts w:ascii="黑体" w:eastAsia="黑体" w:hAnsi="黑体" w:cs="黑体" w:hint="eastAsia"/>
          <w:lang w:eastAsia="zh-CN"/>
        </w:rPr>
        <w:t>年</w:t>
      </w:r>
      <w:r>
        <w:rPr>
          <w:rFonts w:ascii="黑体" w:eastAsia="黑体" w:hAnsi="黑体" w:cs="黑体" w:hint="eastAsia"/>
          <w:lang w:eastAsia="zh-CN"/>
        </w:rPr>
        <w:t>8</w:t>
      </w:r>
      <w:r>
        <w:rPr>
          <w:rFonts w:ascii="黑体" w:eastAsia="黑体" w:hAnsi="黑体" w:cs="黑体" w:hint="eastAsia"/>
          <w:lang w:eastAsia="zh-CN"/>
        </w:rPr>
        <w:t>月在上海证券交易所挂牌</w:t>
      </w:r>
      <w:r>
        <w:rPr>
          <w:rFonts w:ascii="黑体" w:eastAsia="黑体" w:hAnsi="黑体" w:cs="黑体" w:hint="eastAsia"/>
          <w:lang w:eastAsia="zh-CN"/>
        </w:rPr>
        <w:t>.</w:t>
      </w:r>
      <w:r>
        <w:rPr>
          <w:rFonts w:ascii="黑体" w:eastAsia="黑体" w:hAnsi="黑体" w:cs="黑体" w:hint="eastAsia"/>
          <w:lang w:eastAsia="zh-CN"/>
        </w:rPr>
        <w:t>上市，成为我国首只在内地证券交易所上市交易的投资基金。基金管理公司和一般公司法人的不同之处在于</w:t>
      </w:r>
      <w:r>
        <w:rPr>
          <w:rFonts w:ascii="黑体" w:eastAsia="黑体" w:hAnsi="黑体" w:cs="黑体" w:hint="eastAsia"/>
          <w:lang w:eastAsia="zh-CN"/>
        </w:rPr>
        <w:t>;</w:t>
      </w:r>
      <w:r>
        <w:rPr>
          <w:rFonts w:ascii="黑体" w:eastAsia="黑体" w:hAnsi="黑体" w:cs="黑体" w:hint="eastAsia"/>
          <w:lang w:eastAsia="zh-CN"/>
        </w:rPr>
        <w:t>基金管理公司所管理的基金</w:t>
      </w:r>
    </w:p>
    <w:p w14:paraId="34DA13B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59</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是正当竞争的前提，要求竞争的内容要公平。</w:t>
      </w:r>
    </w:p>
    <w:p w14:paraId="2D33DFF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公平竞争</w:t>
      </w:r>
    </w:p>
    <w:p w14:paraId="3A23402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合法竞争</w:t>
      </w:r>
    </w:p>
    <w:p w14:paraId="7560C79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有序竞争</w:t>
      </w:r>
    </w:p>
    <w:p w14:paraId="1CD611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公开竞争</w:t>
      </w:r>
      <w:r>
        <w:rPr>
          <w:rFonts w:ascii="黑体" w:eastAsia="黑体" w:hAnsi="黑体" w:cs="黑体" w:hint="eastAsia"/>
          <w:lang w:eastAsia="zh-CN"/>
        </w:rPr>
        <w:tab/>
      </w:r>
    </w:p>
    <w:p w14:paraId="5B6DEC5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231032E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【试题解析】：公平竞争是正当竞争的前提，要求竞争的内容要公平。</w:t>
      </w:r>
    </w:p>
    <w:p w14:paraId="3F7C857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60</w:t>
      </w:r>
      <w:r>
        <w:rPr>
          <w:rFonts w:ascii="黑体" w:eastAsia="黑体" w:hAnsi="黑体" w:cs="黑体" w:hint="eastAsia"/>
          <w:lang w:eastAsia="zh-CN"/>
        </w:rPr>
        <w:t>、关于设立管理公开募集基金的</w:t>
      </w:r>
      <w:r>
        <w:rPr>
          <w:rFonts w:ascii="黑体" w:eastAsia="黑体" w:hAnsi="黑体" w:cs="黑体" w:hint="eastAsia"/>
          <w:lang w:eastAsia="zh-CN"/>
        </w:rPr>
        <w:t>基金管理公司，下列说法不正确的是</w:t>
      </w:r>
      <w:r>
        <w:rPr>
          <w:rFonts w:ascii="黑体" w:eastAsia="黑体" w:hAnsi="黑体" w:cs="黑体" w:hint="eastAsia"/>
          <w:lang w:eastAsia="zh-CN"/>
        </w:rPr>
        <w:t>（）</w:t>
      </w:r>
      <w:r>
        <w:rPr>
          <w:rFonts w:ascii="黑体" w:eastAsia="黑体" w:hAnsi="黑体" w:cs="黑体" w:hint="eastAsia"/>
          <w:lang w:eastAsia="zh-CN"/>
        </w:rPr>
        <w:t>。</w:t>
      </w:r>
    </w:p>
    <w:p w14:paraId="27198BD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有良好的内部治理结构、完善的内部稽核监控制度、风险控制制度</w:t>
      </w:r>
    </w:p>
    <w:p w14:paraId="1A1573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董事、监事、高级管理人员具备相应的任职条件</w:t>
      </w:r>
    </w:p>
    <w:p w14:paraId="43EA531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有符合相关法律规定的章程</w:t>
      </w:r>
    </w:p>
    <w:p w14:paraId="0F8296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认缴的注册资本不低于一亿元人民币</w:t>
      </w:r>
    </w:p>
    <w:p w14:paraId="1FC59A9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7AC7AA2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D</w:t>
      </w:r>
      <w:r>
        <w:rPr>
          <w:rFonts w:ascii="黑体" w:eastAsia="黑体" w:hAnsi="黑体" w:cs="黑体" w:hint="eastAsia"/>
          <w:lang w:eastAsia="zh-CN"/>
        </w:rPr>
        <w:t>项，</w:t>
      </w:r>
      <w:r w:rsidRPr="00C56335">
        <w:rPr>
          <w:rFonts w:ascii="黑体" w:eastAsia="黑体" w:hAnsi="黑体" w:cs="黑体" w:hint="eastAsia"/>
          <w:highlight w:val="yellow"/>
          <w:lang w:eastAsia="zh-CN"/>
        </w:rPr>
        <w:t>公开募集基金的基金管理公司的注册资本应不低于</w:t>
      </w:r>
      <w:r w:rsidRPr="00C56335">
        <w:rPr>
          <w:rFonts w:ascii="黑体" w:eastAsia="黑体" w:hAnsi="黑体" w:cs="黑体" w:hint="eastAsia"/>
          <w:highlight w:val="yellow"/>
          <w:lang w:eastAsia="zh-CN"/>
        </w:rPr>
        <w:t>1</w:t>
      </w:r>
      <w:r w:rsidRPr="00C56335">
        <w:rPr>
          <w:rFonts w:ascii="黑体" w:eastAsia="黑体" w:hAnsi="黑体" w:cs="黑体" w:hint="eastAsia"/>
          <w:highlight w:val="yellow"/>
          <w:lang w:eastAsia="zh-CN"/>
        </w:rPr>
        <w:t>亿元人民币，且必须为实缴货币资本。</w:t>
      </w:r>
      <w:r>
        <w:rPr>
          <w:rFonts w:ascii="黑体" w:eastAsia="黑体" w:hAnsi="黑体" w:cs="黑体" w:hint="eastAsia"/>
          <w:lang w:eastAsia="zh-CN"/>
        </w:rPr>
        <w:t>为切实保护基金份额持有人的利益，基金管理公司必须具备必要的责任承担能力，以保证其能够承担因违法违规行为给基金份额持有人造成损失后的赔偿。</w:t>
      </w:r>
    </w:p>
    <w:p w14:paraId="58D88A1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61</w:t>
      </w:r>
      <w:r>
        <w:rPr>
          <w:rFonts w:ascii="黑体" w:eastAsia="黑体" w:hAnsi="黑体" w:cs="黑体" w:hint="eastAsia"/>
          <w:lang w:eastAsia="zh-CN"/>
        </w:rPr>
        <w:t>、证券交易所对在证券交易所挂牌上</w:t>
      </w:r>
      <w:r>
        <w:rPr>
          <w:rFonts w:ascii="黑体" w:eastAsia="黑体" w:hAnsi="黑体" w:cs="黑体" w:hint="eastAsia"/>
          <w:lang w:eastAsia="zh-CN"/>
        </w:rPr>
        <w:t>市的封闭式基金、交易型开放式指数基金、上市开放式基金的上市条件和程序、信息披露的要求等方面的监管，属于证券交易所对</w:t>
      </w:r>
      <w:r>
        <w:rPr>
          <w:rFonts w:ascii="黑体" w:eastAsia="黑体" w:hAnsi="黑体" w:cs="黑体" w:hint="eastAsia"/>
          <w:lang w:eastAsia="zh-CN"/>
        </w:rPr>
        <w:t>（）</w:t>
      </w:r>
      <w:r>
        <w:rPr>
          <w:rFonts w:ascii="黑体" w:eastAsia="黑体" w:hAnsi="黑体" w:cs="黑体" w:hint="eastAsia"/>
          <w:lang w:eastAsia="zh-CN"/>
        </w:rPr>
        <w:t>的监管。</w:t>
      </w:r>
    </w:p>
    <w:p w14:paraId="063582A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基金份额上市交易</w:t>
      </w:r>
    </w:p>
    <w:p w14:paraId="4DE0DC7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基金投资行为</w:t>
      </w:r>
    </w:p>
    <w:p w14:paraId="467583E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基金流通</w:t>
      </w:r>
    </w:p>
    <w:p w14:paraId="2551751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基金评估</w:t>
      </w:r>
    </w:p>
    <w:p w14:paraId="4105636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6C2FF7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w:t>
      </w:r>
      <w:r w:rsidRPr="00C56335">
        <w:rPr>
          <w:rFonts w:ascii="黑体" w:eastAsia="黑体" w:hAnsi="黑体" w:cs="黑体" w:hint="eastAsia"/>
          <w:highlight w:val="yellow"/>
          <w:lang w:eastAsia="zh-CN"/>
        </w:rPr>
        <w:t>证券交易所对基金份额上市交易的监管</w:t>
      </w:r>
      <w:r>
        <w:rPr>
          <w:rFonts w:ascii="黑体" w:eastAsia="黑体" w:hAnsi="黑体" w:cs="黑体" w:hint="eastAsia"/>
          <w:lang w:eastAsia="zh-CN"/>
        </w:rPr>
        <w:t>，我国上海证券交易所、深圳证券交易所都制定有《证券投资基金上市规则》以及其他类型基金的业务指引，对在证券交易所挂牌上市的封闭式基金、交易型开放式指数基金、上市开放式基金的上市条件和程序、信息披露的要求等均有具体规定。</w:t>
      </w:r>
    </w:p>
    <w:p w14:paraId="01CE85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62</w:t>
      </w:r>
      <w:r>
        <w:rPr>
          <w:rFonts w:ascii="黑体" w:eastAsia="黑体" w:hAnsi="黑体" w:cs="黑体" w:hint="eastAsia"/>
          <w:lang w:eastAsia="zh-CN"/>
        </w:rPr>
        <w:t>、股</w:t>
      </w:r>
      <w:proofErr w:type="gramStart"/>
      <w:r>
        <w:rPr>
          <w:rFonts w:ascii="黑体" w:eastAsia="黑体" w:hAnsi="黑体" w:cs="黑体" w:hint="eastAsia"/>
          <w:lang w:eastAsia="zh-CN"/>
        </w:rPr>
        <w:t>债平衡</w:t>
      </w:r>
      <w:proofErr w:type="gramEnd"/>
      <w:r>
        <w:rPr>
          <w:rFonts w:ascii="黑体" w:eastAsia="黑体" w:hAnsi="黑体" w:cs="黑体" w:hint="eastAsia"/>
          <w:lang w:eastAsia="zh-CN"/>
        </w:rPr>
        <w:t>型混合基金的股票与</w:t>
      </w:r>
      <w:r>
        <w:rPr>
          <w:rFonts w:ascii="黑体" w:eastAsia="黑体" w:hAnsi="黑体" w:cs="黑体" w:hint="eastAsia"/>
          <w:lang w:eastAsia="zh-CN"/>
        </w:rPr>
        <w:t>债券的配置比例较为均衡，大约在</w:t>
      </w:r>
      <w:r>
        <w:rPr>
          <w:rFonts w:ascii="黑体" w:eastAsia="黑体" w:hAnsi="黑体" w:cs="黑体" w:hint="eastAsia"/>
          <w:lang w:eastAsia="zh-CN"/>
        </w:rPr>
        <w:t>（）</w:t>
      </w:r>
      <w:r>
        <w:rPr>
          <w:rFonts w:ascii="黑体" w:eastAsia="黑体" w:hAnsi="黑体" w:cs="黑体" w:hint="eastAsia"/>
          <w:lang w:eastAsia="zh-CN"/>
        </w:rPr>
        <w:t>左右。</w:t>
      </w:r>
    </w:p>
    <w:p w14:paraId="6AE4EF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A.50%</w:t>
      </w:r>
      <w:r>
        <w:rPr>
          <w:rFonts w:ascii="黑体" w:eastAsia="黑体" w:hAnsi="黑体" w:cs="黑体" w:hint="eastAsia"/>
          <w:lang w:eastAsia="zh-CN"/>
        </w:rPr>
        <w:t>～</w:t>
      </w:r>
      <w:r>
        <w:rPr>
          <w:rFonts w:ascii="黑体" w:eastAsia="黑体" w:hAnsi="黑体" w:cs="黑体" w:hint="eastAsia"/>
          <w:lang w:eastAsia="zh-CN"/>
        </w:rPr>
        <w:t>80%</w:t>
      </w:r>
    </w:p>
    <w:p w14:paraId="6BBC0D7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B.30%</w:t>
      </w:r>
      <w:r>
        <w:rPr>
          <w:rFonts w:ascii="黑体" w:eastAsia="黑体" w:hAnsi="黑体" w:cs="黑体" w:hint="eastAsia"/>
          <w:lang w:eastAsia="zh-CN"/>
        </w:rPr>
        <w:t>～</w:t>
      </w:r>
      <w:r>
        <w:rPr>
          <w:rFonts w:ascii="黑体" w:eastAsia="黑体" w:hAnsi="黑体" w:cs="黑体" w:hint="eastAsia"/>
          <w:lang w:eastAsia="zh-CN"/>
        </w:rPr>
        <w:t>70%</w:t>
      </w:r>
    </w:p>
    <w:p w14:paraId="285EB36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C.40%</w:t>
      </w:r>
      <w:r>
        <w:rPr>
          <w:rFonts w:ascii="黑体" w:eastAsia="黑体" w:hAnsi="黑体" w:cs="黑体" w:hint="eastAsia"/>
          <w:lang w:eastAsia="zh-CN"/>
        </w:rPr>
        <w:t>～</w:t>
      </w:r>
      <w:r>
        <w:rPr>
          <w:rFonts w:ascii="黑体" w:eastAsia="黑体" w:hAnsi="黑体" w:cs="黑体" w:hint="eastAsia"/>
          <w:lang w:eastAsia="zh-CN"/>
        </w:rPr>
        <w:t>60%</w:t>
      </w:r>
    </w:p>
    <w:p w14:paraId="541550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D.20%</w:t>
      </w:r>
      <w:r>
        <w:rPr>
          <w:rFonts w:ascii="黑体" w:eastAsia="黑体" w:hAnsi="黑体" w:cs="黑体" w:hint="eastAsia"/>
          <w:lang w:eastAsia="zh-CN"/>
        </w:rPr>
        <w:t>～</w:t>
      </w:r>
      <w:r>
        <w:rPr>
          <w:rFonts w:ascii="黑体" w:eastAsia="黑体" w:hAnsi="黑体" w:cs="黑体" w:hint="eastAsia"/>
          <w:lang w:eastAsia="zh-CN"/>
        </w:rPr>
        <w:t>80%</w:t>
      </w:r>
    </w:p>
    <w:p w14:paraId="50BA856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1E9C1E7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proofErr w:type="gramStart"/>
      <w:r>
        <w:rPr>
          <w:rFonts w:ascii="黑体" w:eastAsia="黑体" w:hAnsi="黑体" w:cs="黑体" w:hint="eastAsia"/>
          <w:lang w:eastAsia="zh-CN"/>
        </w:rPr>
        <w:t>偏股型</w:t>
      </w:r>
      <w:proofErr w:type="gramEnd"/>
      <w:r>
        <w:rPr>
          <w:rFonts w:ascii="黑体" w:eastAsia="黑体" w:hAnsi="黑体" w:cs="黑体" w:hint="eastAsia"/>
          <w:lang w:eastAsia="zh-CN"/>
        </w:rPr>
        <w:t>基金中股票的配置比例较高，债券的配置比例较低；</w:t>
      </w:r>
      <w:proofErr w:type="gramStart"/>
      <w:r>
        <w:rPr>
          <w:rFonts w:ascii="黑体" w:eastAsia="黑体" w:hAnsi="黑体" w:cs="黑体" w:hint="eastAsia"/>
          <w:lang w:eastAsia="zh-CN"/>
        </w:rPr>
        <w:t>偏债型</w:t>
      </w:r>
      <w:proofErr w:type="gramEnd"/>
      <w:r>
        <w:rPr>
          <w:rFonts w:ascii="黑体" w:eastAsia="黑体" w:hAnsi="黑体" w:cs="黑体" w:hint="eastAsia"/>
          <w:lang w:eastAsia="zh-CN"/>
        </w:rPr>
        <w:t>基金则与之刚好相反；股</w:t>
      </w:r>
      <w:proofErr w:type="gramStart"/>
      <w:r>
        <w:rPr>
          <w:rFonts w:ascii="黑体" w:eastAsia="黑体" w:hAnsi="黑体" w:cs="黑体" w:hint="eastAsia"/>
          <w:lang w:eastAsia="zh-CN"/>
        </w:rPr>
        <w:t>债平衡</w:t>
      </w:r>
      <w:proofErr w:type="gramEnd"/>
      <w:r>
        <w:rPr>
          <w:rFonts w:ascii="黑体" w:eastAsia="黑体" w:hAnsi="黑体" w:cs="黑体" w:hint="eastAsia"/>
          <w:lang w:eastAsia="zh-CN"/>
        </w:rPr>
        <w:t>型基金股票与债券的配置比例较为均衡，比例大约为</w:t>
      </w:r>
      <w:r>
        <w:rPr>
          <w:rFonts w:ascii="黑体" w:eastAsia="黑体" w:hAnsi="黑体" w:cs="黑体" w:hint="eastAsia"/>
          <w:lang w:eastAsia="zh-CN"/>
        </w:rPr>
        <w:t>40%~60%</w:t>
      </w:r>
      <w:r>
        <w:rPr>
          <w:rFonts w:ascii="黑体" w:eastAsia="黑体" w:hAnsi="黑体" w:cs="黑体" w:hint="eastAsia"/>
          <w:lang w:eastAsia="zh-CN"/>
        </w:rPr>
        <w:t>左右。股</w:t>
      </w:r>
      <w:proofErr w:type="gramStart"/>
      <w:r>
        <w:rPr>
          <w:rFonts w:ascii="黑体" w:eastAsia="黑体" w:hAnsi="黑体" w:cs="黑体" w:hint="eastAsia"/>
          <w:lang w:eastAsia="zh-CN"/>
        </w:rPr>
        <w:t>债平衡</w:t>
      </w:r>
      <w:proofErr w:type="gramEnd"/>
      <w:r>
        <w:rPr>
          <w:rFonts w:ascii="黑体" w:eastAsia="黑体" w:hAnsi="黑体" w:cs="黑体" w:hint="eastAsia"/>
          <w:lang w:eastAsia="zh-CN"/>
        </w:rPr>
        <w:t>型基金的风险和收益较为适中。</w:t>
      </w:r>
    </w:p>
    <w:p w14:paraId="6649FD4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63</w:t>
      </w:r>
      <w:r>
        <w:rPr>
          <w:rFonts w:ascii="黑体" w:eastAsia="黑体" w:hAnsi="黑体" w:cs="黑体" w:hint="eastAsia"/>
          <w:lang w:eastAsia="zh-CN"/>
        </w:rPr>
        <w:t>、关于基金销售人员的资格，下列说法不正确的是</w:t>
      </w:r>
      <w:r>
        <w:rPr>
          <w:rFonts w:ascii="黑体" w:eastAsia="黑体" w:hAnsi="黑体" w:cs="黑体" w:hint="eastAsia"/>
          <w:lang w:eastAsia="zh-CN"/>
        </w:rPr>
        <w:t>（）</w:t>
      </w:r>
      <w:r>
        <w:rPr>
          <w:rFonts w:ascii="黑体" w:eastAsia="黑体" w:hAnsi="黑体" w:cs="黑体" w:hint="eastAsia"/>
          <w:lang w:eastAsia="zh-CN"/>
        </w:rPr>
        <w:t>。</w:t>
      </w:r>
    </w:p>
    <w:p w14:paraId="3F87115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负责基金销售业务的管理人员应取得基金从业资格</w:t>
      </w:r>
    </w:p>
    <w:p w14:paraId="3BB03FE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证券公司总部及营业网点从事基金宣传推介业务的人员应取得基金销售业务资格</w:t>
      </w:r>
    </w:p>
    <w:p w14:paraId="7390FE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取得基金从业资格后就可以从事基金销售活动</w:t>
      </w:r>
    </w:p>
    <w:p w14:paraId="1C937AA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基金销售人员应当自觉遵守法律法规和所在机构的业务制度</w:t>
      </w:r>
    </w:p>
    <w:p w14:paraId="60D5B9A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2410D9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w:t>
      </w:r>
      <w:r>
        <w:rPr>
          <w:rFonts w:ascii="黑体" w:eastAsia="黑体" w:hAnsi="黑体" w:cs="黑体" w:hint="eastAsia"/>
          <w:lang w:eastAsia="zh-CN"/>
        </w:rPr>
        <w:t>题解析】：从事基金宣传推介、基金理财业务答询等活动的人员</w:t>
      </w:r>
      <w:r w:rsidRPr="00B44E28">
        <w:rPr>
          <w:rFonts w:ascii="黑体" w:eastAsia="黑体" w:hAnsi="黑体" w:cs="黑体" w:hint="eastAsia"/>
          <w:highlight w:val="yellow"/>
          <w:lang w:eastAsia="zh-CN"/>
        </w:rPr>
        <w:t>需由所在机构进行执业注册登记</w:t>
      </w:r>
      <w:r>
        <w:rPr>
          <w:rFonts w:ascii="黑体" w:eastAsia="黑体" w:hAnsi="黑体" w:cs="黑体" w:hint="eastAsia"/>
          <w:lang w:eastAsia="zh-CN"/>
        </w:rPr>
        <w:t>,</w:t>
      </w:r>
      <w:r>
        <w:rPr>
          <w:rFonts w:ascii="黑体" w:eastAsia="黑体" w:hAnsi="黑体" w:cs="黑体" w:hint="eastAsia"/>
          <w:lang w:eastAsia="zh-CN"/>
        </w:rPr>
        <w:t>未经基金管理人或者基金销售机构聘任</w:t>
      </w:r>
      <w:r>
        <w:rPr>
          <w:rFonts w:ascii="黑体" w:eastAsia="黑体" w:hAnsi="黑体" w:cs="黑体" w:hint="eastAsia"/>
          <w:lang w:eastAsia="zh-CN"/>
        </w:rPr>
        <w:t>,</w:t>
      </w:r>
      <w:r>
        <w:rPr>
          <w:rFonts w:ascii="黑体" w:eastAsia="黑体" w:hAnsi="黑体" w:cs="黑体" w:hint="eastAsia"/>
          <w:lang w:eastAsia="zh-CN"/>
        </w:rPr>
        <w:t>任何人员不得从事基金销售活动。</w:t>
      </w:r>
    </w:p>
    <w:p w14:paraId="14B361B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64</w:t>
      </w:r>
      <w:r>
        <w:rPr>
          <w:rFonts w:ascii="黑体" w:eastAsia="黑体" w:hAnsi="黑体" w:cs="黑体" w:hint="eastAsia"/>
          <w:lang w:eastAsia="zh-CN"/>
        </w:rPr>
        <w:t>、我国基金从业人员职业道德规范不包括</w:t>
      </w:r>
      <w:r>
        <w:rPr>
          <w:rFonts w:ascii="黑体" w:eastAsia="黑体" w:hAnsi="黑体" w:cs="黑体" w:hint="eastAsia"/>
          <w:lang w:eastAsia="zh-CN"/>
        </w:rPr>
        <w:t>（）</w:t>
      </w:r>
      <w:r>
        <w:rPr>
          <w:rFonts w:ascii="黑体" w:eastAsia="黑体" w:hAnsi="黑体" w:cs="黑体" w:hint="eastAsia"/>
          <w:lang w:eastAsia="zh-CN"/>
        </w:rPr>
        <w:t>。</w:t>
      </w:r>
    </w:p>
    <w:p w14:paraId="40B7F5E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守法合</w:t>
      </w:r>
      <w:proofErr w:type="gramStart"/>
      <w:r>
        <w:rPr>
          <w:rFonts w:ascii="黑体" w:eastAsia="黑体" w:hAnsi="黑体" w:cs="黑体" w:hint="eastAsia"/>
          <w:lang w:eastAsia="zh-CN"/>
        </w:rPr>
        <w:t>规</w:t>
      </w:r>
      <w:proofErr w:type="gramEnd"/>
    </w:p>
    <w:p w14:paraId="6C629D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诚实守信</w:t>
      </w:r>
    </w:p>
    <w:p w14:paraId="1E4122E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专业审慎</w:t>
      </w:r>
    </w:p>
    <w:p w14:paraId="43E3AA1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大客户利益优先</w:t>
      </w:r>
    </w:p>
    <w:p w14:paraId="10010F7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13BB43A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【试题解析】：基金职业道德规范的具体内容，包括守法合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、诚实守信、专业审慎、客户至上、忠诚尽责、保守秘密。</w:t>
      </w:r>
    </w:p>
    <w:p w14:paraId="121EA44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65</w:t>
      </w:r>
      <w:r>
        <w:rPr>
          <w:rFonts w:ascii="黑体" w:eastAsia="黑体" w:hAnsi="黑体" w:cs="黑体" w:hint="eastAsia"/>
          <w:lang w:eastAsia="zh-CN"/>
        </w:rPr>
        <w:t>、关于货币市场基金宣传推介，下列活动存在违规情况的是</w:t>
      </w:r>
      <w:r>
        <w:rPr>
          <w:rFonts w:ascii="黑体" w:eastAsia="黑体" w:hAnsi="黑体" w:cs="黑体" w:hint="eastAsia"/>
          <w:lang w:eastAsia="zh-CN"/>
        </w:rPr>
        <w:t>（）</w:t>
      </w:r>
      <w:r>
        <w:rPr>
          <w:rFonts w:ascii="黑体" w:eastAsia="黑体" w:hAnsi="黑体" w:cs="黑体" w:hint="eastAsia"/>
          <w:lang w:eastAsia="zh-CN"/>
        </w:rPr>
        <w:t>。</w:t>
      </w:r>
    </w:p>
    <w:p w14:paraId="3C90E6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I.</w:t>
      </w:r>
      <w:r>
        <w:rPr>
          <w:rFonts w:ascii="黑体" w:eastAsia="黑体" w:hAnsi="黑体" w:cs="黑体" w:hint="eastAsia"/>
          <w:lang w:eastAsia="zh-CN"/>
        </w:rPr>
        <w:t>基金销售支付结算机构以“一站式”服务平台的方式宣传推介货币市场基金</w:t>
      </w:r>
    </w:p>
    <w:p w14:paraId="1DD550C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II.</w:t>
      </w:r>
      <w:r>
        <w:rPr>
          <w:rFonts w:ascii="黑体" w:eastAsia="黑体" w:hAnsi="黑体" w:cs="黑体" w:hint="eastAsia"/>
          <w:lang w:eastAsia="zh-CN"/>
        </w:rPr>
        <w:t>宣传材料中，没有将货币市场基金与银行存款的投资收益进行比较</w:t>
      </w:r>
    </w:p>
    <w:p w14:paraId="1B8942B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III.</w:t>
      </w:r>
      <w:r>
        <w:rPr>
          <w:rFonts w:ascii="黑体" w:eastAsia="黑体" w:hAnsi="黑体" w:cs="黑体" w:hint="eastAsia"/>
          <w:lang w:eastAsia="zh-CN"/>
        </w:rPr>
        <w:t>互联网营销平台发放自身制作的货币市场基金的宣传推介材料</w:t>
      </w:r>
    </w:p>
    <w:p w14:paraId="7BD0CDC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IV.</w:t>
      </w:r>
      <w:r>
        <w:rPr>
          <w:rFonts w:ascii="黑体" w:eastAsia="黑体" w:hAnsi="黑体" w:cs="黑体" w:hint="eastAsia"/>
          <w:lang w:eastAsia="zh-CN"/>
        </w:rPr>
        <w:t>某银行以理财账户的名义代替基金名称，开展货币市场基金宣传推介活动</w:t>
      </w:r>
    </w:p>
    <w:p w14:paraId="14724134" w14:textId="77777777" w:rsidR="0082448A" w:rsidRDefault="00054E88">
      <w:pPr>
        <w:spacing w:line="360" w:lineRule="auto"/>
        <w:rPr>
          <w:rFonts w:ascii="黑体" w:eastAsia="黑体" w:hAnsi="黑体" w:cs="黑体"/>
        </w:rPr>
      </w:pPr>
      <w:r>
        <w:rPr>
          <w:rFonts w:ascii="黑体" w:eastAsia="黑体" w:hAnsi="黑体" w:cs="黑体" w:hint="eastAsia"/>
        </w:rPr>
        <w:t>A.I</w:t>
      </w:r>
      <w:r>
        <w:rPr>
          <w:rFonts w:ascii="黑体" w:eastAsia="黑体" w:hAnsi="黑体" w:cs="黑体" w:hint="eastAsia"/>
        </w:rPr>
        <w:t>、</w:t>
      </w:r>
      <w:r>
        <w:rPr>
          <w:rFonts w:ascii="黑体" w:eastAsia="黑体" w:hAnsi="黑体" w:cs="黑体" w:hint="eastAsia"/>
        </w:rPr>
        <w:t>II</w:t>
      </w:r>
      <w:r>
        <w:rPr>
          <w:rFonts w:ascii="黑体" w:eastAsia="黑体" w:hAnsi="黑体" w:cs="黑体" w:hint="eastAsia"/>
        </w:rPr>
        <w:t>、</w:t>
      </w:r>
      <w:r>
        <w:rPr>
          <w:rFonts w:ascii="黑体" w:eastAsia="黑体" w:hAnsi="黑体" w:cs="黑体" w:hint="eastAsia"/>
        </w:rPr>
        <w:t>III</w:t>
      </w:r>
    </w:p>
    <w:p w14:paraId="7E3C2481" w14:textId="77777777" w:rsidR="0082448A" w:rsidRDefault="00054E88">
      <w:pPr>
        <w:spacing w:line="360" w:lineRule="auto"/>
        <w:rPr>
          <w:rFonts w:ascii="黑体" w:eastAsia="黑体" w:hAnsi="黑体" w:cs="黑体"/>
        </w:rPr>
      </w:pPr>
      <w:r>
        <w:rPr>
          <w:rFonts w:ascii="黑体" w:eastAsia="黑体" w:hAnsi="黑体" w:cs="黑体" w:hint="eastAsia"/>
        </w:rPr>
        <w:t>B.I</w:t>
      </w:r>
      <w:r>
        <w:rPr>
          <w:rFonts w:ascii="黑体" w:eastAsia="黑体" w:hAnsi="黑体" w:cs="黑体" w:hint="eastAsia"/>
        </w:rPr>
        <w:t>、</w:t>
      </w:r>
      <w:r>
        <w:rPr>
          <w:rFonts w:ascii="黑体" w:eastAsia="黑体" w:hAnsi="黑体" w:cs="黑体" w:hint="eastAsia"/>
        </w:rPr>
        <w:t>III</w:t>
      </w:r>
      <w:r>
        <w:rPr>
          <w:rFonts w:ascii="黑体" w:eastAsia="黑体" w:hAnsi="黑体" w:cs="黑体" w:hint="eastAsia"/>
        </w:rPr>
        <w:t>、</w:t>
      </w:r>
      <w:r>
        <w:rPr>
          <w:rFonts w:ascii="黑体" w:eastAsia="黑体" w:hAnsi="黑体" w:cs="黑体" w:hint="eastAsia"/>
        </w:rPr>
        <w:t>IV</w:t>
      </w:r>
    </w:p>
    <w:p w14:paraId="6451670A" w14:textId="77777777" w:rsidR="0082448A" w:rsidRDefault="00054E88">
      <w:pPr>
        <w:spacing w:line="360" w:lineRule="auto"/>
        <w:rPr>
          <w:rFonts w:ascii="黑体" w:eastAsia="黑体" w:hAnsi="黑体" w:cs="黑体"/>
        </w:rPr>
      </w:pPr>
      <w:r>
        <w:rPr>
          <w:rFonts w:ascii="黑体" w:eastAsia="黑体" w:hAnsi="黑体" w:cs="黑体" w:hint="eastAsia"/>
        </w:rPr>
        <w:t>C.II</w:t>
      </w:r>
      <w:r>
        <w:rPr>
          <w:rFonts w:ascii="黑体" w:eastAsia="黑体" w:hAnsi="黑体" w:cs="黑体" w:hint="eastAsia"/>
        </w:rPr>
        <w:t>、</w:t>
      </w:r>
      <w:r>
        <w:rPr>
          <w:rFonts w:ascii="黑体" w:eastAsia="黑体" w:hAnsi="黑体" w:cs="黑体" w:hint="eastAsia"/>
        </w:rPr>
        <w:t>III</w:t>
      </w:r>
      <w:r>
        <w:rPr>
          <w:rFonts w:ascii="黑体" w:eastAsia="黑体" w:hAnsi="黑体" w:cs="黑体" w:hint="eastAsia"/>
        </w:rPr>
        <w:t>、</w:t>
      </w:r>
      <w:r>
        <w:rPr>
          <w:rFonts w:ascii="黑体" w:eastAsia="黑体" w:hAnsi="黑体" w:cs="黑体" w:hint="eastAsia"/>
        </w:rPr>
        <w:t>IV</w:t>
      </w:r>
    </w:p>
    <w:p w14:paraId="21EAE657" w14:textId="77777777" w:rsidR="0082448A" w:rsidRDefault="00054E88">
      <w:pPr>
        <w:spacing w:line="360" w:lineRule="auto"/>
        <w:rPr>
          <w:rFonts w:ascii="黑体" w:eastAsia="黑体" w:hAnsi="黑体" w:cs="黑体"/>
        </w:rPr>
      </w:pPr>
      <w:r>
        <w:rPr>
          <w:rFonts w:ascii="黑体" w:eastAsia="黑体" w:hAnsi="黑体" w:cs="黑体" w:hint="eastAsia"/>
        </w:rPr>
        <w:t>D.I</w:t>
      </w:r>
      <w:r>
        <w:rPr>
          <w:rFonts w:ascii="黑体" w:eastAsia="黑体" w:hAnsi="黑体" w:cs="黑体" w:hint="eastAsia"/>
        </w:rPr>
        <w:t>、</w:t>
      </w:r>
      <w:r>
        <w:rPr>
          <w:rFonts w:ascii="黑体" w:eastAsia="黑体" w:hAnsi="黑体" w:cs="黑体" w:hint="eastAsia"/>
        </w:rPr>
        <w:t>II</w:t>
      </w:r>
      <w:r>
        <w:rPr>
          <w:rFonts w:ascii="黑体" w:eastAsia="黑体" w:hAnsi="黑体" w:cs="黑体" w:hint="eastAsia"/>
        </w:rPr>
        <w:t>、</w:t>
      </w:r>
      <w:r>
        <w:rPr>
          <w:rFonts w:ascii="黑体" w:eastAsia="黑体" w:hAnsi="黑体" w:cs="黑体" w:hint="eastAsia"/>
        </w:rPr>
        <w:t>III</w:t>
      </w:r>
      <w:r>
        <w:rPr>
          <w:rFonts w:ascii="黑体" w:eastAsia="黑体" w:hAnsi="黑体" w:cs="黑体" w:hint="eastAsia"/>
        </w:rPr>
        <w:t>、</w:t>
      </w:r>
      <w:r>
        <w:rPr>
          <w:rFonts w:ascii="黑体" w:eastAsia="黑体" w:hAnsi="黑体" w:cs="黑体" w:hint="eastAsia"/>
        </w:rPr>
        <w:t>IV</w:t>
      </w:r>
      <w:r>
        <w:rPr>
          <w:rFonts w:ascii="黑体" w:eastAsia="黑体" w:hAnsi="黑体" w:cs="黑体" w:hint="eastAsia"/>
        </w:rPr>
        <w:tab/>
      </w:r>
    </w:p>
    <w:p w14:paraId="4B936D2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71D01B7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【试题解析】：除基金管理人、基金销售机构外，其他机构或者个人</w:t>
      </w:r>
      <w:r w:rsidRPr="0076410B">
        <w:rPr>
          <w:rFonts w:ascii="黑体" w:eastAsia="黑体" w:hAnsi="黑体" w:cs="黑体" w:hint="eastAsia"/>
          <w:highlight w:val="yellow"/>
          <w:lang w:eastAsia="zh-CN"/>
        </w:rPr>
        <w:t>不得擅自制作或者发放与货币市场基金相关的宣传推介材料</w:t>
      </w:r>
      <w:r>
        <w:rPr>
          <w:rFonts w:ascii="黑体" w:eastAsia="黑体" w:hAnsi="黑体" w:cs="黑体" w:hint="eastAsia"/>
          <w:lang w:eastAsia="zh-CN"/>
        </w:rPr>
        <w:t>(III</w:t>
      </w:r>
      <w:proofErr w:type="gramStart"/>
      <w:r>
        <w:rPr>
          <w:rFonts w:ascii="黑体" w:eastAsia="黑体" w:hAnsi="黑体" w:cs="黑体" w:hint="eastAsia"/>
          <w:lang w:eastAsia="zh-CN"/>
        </w:rPr>
        <w:t>项存在</w:t>
      </w:r>
      <w:proofErr w:type="gramEnd"/>
      <w:r>
        <w:rPr>
          <w:rFonts w:ascii="黑体" w:eastAsia="黑体" w:hAnsi="黑体" w:cs="黑体" w:hint="eastAsia"/>
          <w:lang w:eastAsia="zh-CN"/>
        </w:rPr>
        <w:t>违规</w:t>
      </w:r>
      <w:r>
        <w:rPr>
          <w:rFonts w:ascii="黑体" w:eastAsia="黑体" w:hAnsi="黑体" w:cs="黑体" w:hint="eastAsia"/>
          <w:lang w:eastAsia="zh-CN"/>
        </w:rPr>
        <w:t>);</w:t>
      </w:r>
      <w:r>
        <w:rPr>
          <w:rFonts w:ascii="黑体" w:eastAsia="黑体" w:hAnsi="黑体" w:cs="黑体" w:hint="eastAsia"/>
          <w:lang w:eastAsia="zh-CN"/>
        </w:rPr>
        <w:t>登载货币市场基金宣传推介材料的，不得片面引用或者修改其内容。基金销售支付结算机构等相关机构开展与货币市场基金相关的业务推广活动，应当事先征得合作基金管理人或者基金销售机构的同意，严格遵守相关法律法规的规定，不得混同、比较货币市场基金与银行存款及其他产品的投资收益，不得以宣传理财账户或者服务平台等名义变相从事货币市场基金的宣传推介活动</w:t>
      </w:r>
      <w:r>
        <w:rPr>
          <w:rFonts w:ascii="黑体" w:eastAsia="黑体" w:hAnsi="黑体" w:cs="黑体" w:hint="eastAsia"/>
          <w:lang w:eastAsia="zh-CN"/>
        </w:rPr>
        <w:t>(I</w:t>
      </w:r>
      <w:r>
        <w:rPr>
          <w:rFonts w:ascii="黑体" w:eastAsia="黑体" w:hAnsi="黑体" w:cs="黑体" w:hint="eastAsia"/>
          <w:lang w:eastAsia="zh-CN"/>
        </w:rPr>
        <w:t>、</w:t>
      </w:r>
      <w:r>
        <w:rPr>
          <w:rFonts w:ascii="黑体" w:eastAsia="黑体" w:hAnsi="黑体" w:cs="黑体" w:hint="eastAsia"/>
          <w:lang w:eastAsia="zh-CN"/>
        </w:rPr>
        <w:t>IV</w:t>
      </w:r>
      <w:proofErr w:type="gramStart"/>
      <w:r>
        <w:rPr>
          <w:rFonts w:ascii="黑体" w:eastAsia="黑体" w:hAnsi="黑体" w:cs="黑体" w:hint="eastAsia"/>
          <w:lang w:eastAsia="zh-CN"/>
        </w:rPr>
        <w:t>项存在</w:t>
      </w:r>
      <w:proofErr w:type="gramEnd"/>
      <w:r>
        <w:rPr>
          <w:rFonts w:ascii="黑体" w:eastAsia="黑体" w:hAnsi="黑体" w:cs="黑体" w:hint="eastAsia"/>
          <w:lang w:eastAsia="zh-CN"/>
        </w:rPr>
        <w:t>违规</w:t>
      </w:r>
      <w:r>
        <w:rPr>
          <w:rFonts w:ascii="黑体" w:eastAsia="黑体" w:hAnsi="黑体" w:cs="黑体" w:hint="eastAsia"/>
          <w:lang w:eastAsia="zh-CN"/>
        </w:rPr>
        <w:t>)</w:t>
      </w:r>
      <w:r>
        <w:rPr>
          <w:rFonts w:ascii="黑体" w:eastAsia="黑体" w:hAnsi="黑体" w:cs="黑体" w:hint="eastAsia"/>
          <w:lang w:eastAsia="zh-CN"/>
        </w:rPr>
        <w:t>。</w:t>
      </w:r>
    </w:p>
    <w:p w14:paraId="57BA359D" w14:textId="77777777" w:rsidR="0082448A" w:rsidRDefault="00054E88">
      <w:pPr>
        <w:numPr>
          <w:ilvl w:val="0"/>
          <w:numId w:val="10"/>
        </w:numPr>
        <w:spacing w:line="360" w:lineRule="auto"/>
        <w:rPr>
          <w:rFonts w:ascii="黑体" w:eastAsia="黑体" w:hAnsi="黑体" w:cs="黑体"/>
          <w:lang w:eastAsia="zh-CN"/>
        </w:rPr>
      </w:pPr>
      <w:r>
        <w:rPr>
          <w:rFonts w:ascii="黑体" w:eastAsia="黑体" w:hAnsi="黑体" w:cs="黑体" w:hint="eastAsia"/>
          <w:lang w:eastAsia="zh-CN"/>
        </w:rPr>
        <w:t>依据《证券投资基金</w:t>
      </w:r>
      <w:r>
        <w:rPr>
          <w:rFonts w:ascii="黑体" w:eastAsia="黑体" w:hAnsi="黑体" w:cs="黑体" w:hint="eastAsia"/>
          <w:lang w:eastAsia="zh-CN"/>
        </w:rPr>
        <w:t>法》的规定，公开募集基金的基金管理人及其董事、监事、高级管理人员和其他从业人员禁止的行为有</w:t>
      </w:r>
      <w:r>
        <w:rPr>
          <w:rFonts w:ascii="黑体" w:eastAsia="黑体" w:hAnsi="黑体" w:cs="黑体" w:hint="eastAsia"/>
          <w:lang w:eastAsia="zh-CN"/>
        </w:rPr>
        <w:t>（）</w:t>
      </w:r>
      <w:r>
        <w:rPr>
          <w:rFonts w:ascii="黑体" w:eastAsia="黑体" w:hAnsi="黑体" w:cs="黑体" w:hint="eastAsia"/>
          <w:lang w:eastAsia="zh-CN"/>
        </w:rPr>
        <w:t>。</w:t>
      </w:r>
    </w:p>
    <w:p w14:paraId="1DA7A7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不公平地对待其管理的不同基金财产</w:t>
      </w:r>
    </w:p>
    <w:p w14:paraId="43C8D6B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将其固有财产或者他人财产混同于基金财产从事证券投资</w:t>
      </w:r>
    </w:p>
    <w:p w14:paraId="0AE2CDE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利用基金财产或者职务之便为基金份额持有人以外的人牟取利益</w:t>
      </w:r>
    </w:p>
    <w:p w14:paraId="3A00F39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对所管理的不同基金财产分别管理、分别记账，进行证券投资</w:t>
      </w:r>
    </w:p>
    <w:p w14:paraId="518D2924"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A.</w:t>
      </w:r>
      <w:r>
        <w:rPr>
          <w:rFonts w:ascii="黑体" w:eastAsia="黑体" w:hAnsi="黑体" w:cs="黑体" w:hint="eastAsia"/>
        </w:rPr>
        <w:t>Ⅰ、Ⅱ</w:t>
      </w:r>
      <w:proofErr w:type="spellEnd"/>
    </w:p>
    <w:p w14:paraId="2F7022A5"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Ⅱ、Ⅳ</w:t>
      </w:r>
      <w:proofErr w:type="spellEnd"/>
    </w:p>
    <w:p w14:paraId="7BEDE23D"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Ⅰ、Ⅱ、Ⅲ</w:t>
      </w:r>
      <w:proofErr w:type="spellEnd"/>
    </w:p>
    <w:p w14:paraId="700D373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Ⅰ、Ⅱ、Ⅲ、Ⅳ</w:t>
      </w:r>
    </w:p>
    <w:p w14:paraId="460D33B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386E15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proofErr w:type="gramStart"/>
      <w:r>
        <w:rPr>
          <w:rFonts w:ascii="黑体" w:eastAsia="黑体" w:hAnsi="黑体" w:cs="黑体" w:hint="eastAsia"/>
          <w:lang w:eastAsia="zh-CN"/>
        </w:rPr>
        <w:t>Ⅳ项属于</w:t>
      </w:r>
      <w:proofErr w:type="gramEnd"/>
      <w:r>
        <w:rPr>
          <w:rFonts w:ascii="黑体" w:eastAsia="黑体" w:hAnsi="黑体" w:cs="黑体" w:hint="eastAsia"/>
          <w:lang w:eastAsia="zh-CN"/>
        </w:rPr>
        <w:t>公开募集基金的基金管理人应当履行的职责之一。</w:t>
      </w:r>
    </w:p>
    <w:p w14:paraId="688038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67</w:t>
      </w:r>
      <w:r>
        <w:rPr>
          <w:rFonts w:ascii="黑体" w:eastAsia="黑体" w:hAnsi="黑体" w:cs="黑体" w:hint="eastAsia"/>
          <w:lang w:eastAsia="zh-CN"/>
        </w:rPr>
        <w:t>、下列哪一项不属于合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管理的基本原则</w:t>
      </w:r>
      <w:r>
        <w:rPr>
          <w:rFonts w:ascii="黑体" w:eastAsia="黑体" w:hAnsi="黑体" w:cs="黑体" w:hint="eastAsia"/>
          <w:lang w:eastAsia="zh-CN"/>
        </w:rPr>
        <w:t>()</w:t>
      </w:r>
    </w:p>
    <w:p w14:paraId="19F2217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独</w:t>
      </w:r>
      <w:r>
        <w:rPr>
          <w:rFonts w:ascii="黑体" w:eastAsia="黑体" w:hAnsi="黑体" w:cs="黑体" w:hint="eastAsia"/>
          <w:lang w:eastAsia="zh-CN"/>
        </w:rPr>
        <w:t>立性原则</w:t>
      </w:r>
    </w:p>
    <w:p w14:paraId="78FA79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客观性原则</w:t>
      </w:r>
    </w:p>
    <w:p w14:paraId="3C0838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及时性原则</w:t>
      </w:r>
    </w:p>
    <w:p w14:paraId="225A155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协调性原则</w:t>
      </w:r>
    </w:p>
    <w:p w14:paraId="74F0CE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552135B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76410B">
        <w:rPr>
          <w:rFonts w:ascii="黑体" w:eastAsia="黑体" w:hAnsi="黑体" w:cs="黑体" w:hint="eastAsia"/>
          <w:highlight w:val="yellow"/>
          <w:lang w:eastAsia="zh-CN"/>
        </w:rPr>
        <w:t>合</w:t>
      </w:r>
      <w:proofErr w:type="gramStart"/>
      <w:r w:rsidRPr="0076410B">
        <w:rPr>
          <w:rFonts w:ascii="黑体" w:eastAsia="黑体" w:hAnsi="黑体" w:cs="黑体" w:hint="eastAsia"/>
          <w:highlight w:val="yellow"/>
          <w:lang w:eastAsia="zh-CN"/>
        </w:rPr>
        <w:t>规</w:t>
      </w:r>
      <w:proofErr w:type="gramEnd"/>
      <w:r w:rsidRPr="0076410B">
        <w:rPr>
          <w:rFonts w:ascii="黑体" w:eastAsia="黑体" w:hAnsi="黑体" w:cs="黑体" w:hint="eastAsia"/>
          <w:highlight w:val="yellow"/>
          <w:lang w:eastAsia="zh-CN"/>
        </w:rPr>
        <w:t>管理的基本原则包括：独立性原则、客观性原则、公正性原则、专业性原则和协调性原则。</w:t>
      </w:r>
    </w:p>
    <w:p w14:paraId="7617547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68</w:t>
      </w:r>
      <w:r>
        <w:rPr>
          <w:rFonts w:ascii="黑体" w:eastAsia="黑体" w:hAnsi="黑体" w:cs="黑体" w:hint="eastAsia"/>
          <w:lang w:eastAsia="zh-CN"/>
        </w:rPr>
        <w:t>、关于</w:t>
      </w:r>
      <w:r>
        <w:rPr>
          <w:rFonts w:ascii="黑体" w:eastAsia="黑体" w:hAnsi="黑体" w:cs="黑体" w:hint="eastAsia"/>
          <w:lang w:eastAsia="zh-CN"/>
        </w:rPr>
        <w:t>ETF</w:t>
      </w:r>
      <w:r>
        <w:rPr>
          <w:rFonts w:ascii="黑体" w:eastAsia="黑体" w:hAnsi="黑体" w:cs="黑体" w:hint="eastAsia"/>
          <w:lang w:eastAsia="zh-CN"/>
        </w:rPr>
        <w:t>，以下表述错误的是</w:t>
      </w:r>
      <w:r>
        <w:rPr>
          <w:rFonts w:ascii="黑体" w:eastAsia="黑体" w:hAnsi="黑体" w:cs="黑体" w:hint="eastAsia"/>
          <w:lang w:eastAsia="zh-CN"/>
        </w:rPr>
        <w:t>（）</w:t>
      </w:r>
      <w:r>
        <w:rPr>
          <w:rFonts w:ascii="黑体" w:eastAsia="黑体" w:hAnsi="黑体" w:cs="黑体" w:hint="eastAsia"/>
          <w:lang w:eastAsia="zh-CN"/>
        </w:rPr>
        <w:t>。</w:t>
      </w:r>
    </w:p>
    <w:p w14:paraId="7810845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A.ETF</w:t>
      </w:r>
      <w:r>
        <w:rPr>
          <w:rFonts w:ascii="黑体" w:eastAsia="黑体" w:hAnsi="黑体" w:cs="黑体" w:hint="eastAsia"/>
          <w:lang w:eastAsia="zh-CN"/>
        </w:rPr>
        <w:t>基金合同生效后，基金管理人可向证券交易所申请上市</w:t>
      </w:r>
    </w:p>
    <w:p w14:paraId="2CB2DEE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B.ETF</w:t>
      </w:r>
      <w:r>
        <w:rPr>
          <w:rFonts w:ascii="黑体" w:eastAsia="黑体" w:hAnsi="黑体" w:cs="黑体" w:hint="eastAsia"/>
          <w:lang w:eastAsia="zh-CN"/>
        </w:rPr>
        <w:t>基金场内交易涨跌限制比例为</w:t>
      </w:r>
      <w:r>
        <w:rPr>
          <w:rFonts w:ascii="黑体" w:eastAsia="黑体" w:hAnsi="黑体" w:cs="黑体" w:hint="eastAsia"/>
          <w:lang w:eastAsia="zh-CN"/>
        </w:rPr>
        <w:t>10%</w:t>
      </w:r>
    </w:p>
    <w:p w14:paraId="651DBB7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场内申购和赎回</w:t>
      </w:r>
      <w:r>
        <w:rPr>
          <w:rFonts w:ascii="黑体" w:eastAsia="黑体" w:hAnsi="黑体" w:cs="黑体" w:hint="eastAsia"/>
          <w:lang w:eastAsia="zh-CN"/>
        </w:rPr>
        <w:t>ETF</w:t>
      </w:r>
      <w:r>
        <w:rPr>
          <w:rFonts w:ascii="黑体" w:eastAsia="黑体" w:hAnsi="黑体" w:cs="黑体" w:hint="eastAsia"/>
          <w:lang w:eastAsia="zh-CN"/>
        </w:rPr>
        <w:t>采用金额申购、份额赎回的方式</w:t>
      </w:r>
    </w:p>
    <w:p w14:paraId="40AD16D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投资人赎回股票</w:t>
      </w:r>
      <w:r>
        <w:rPr>
          <w:rFonts w:ascii="黑体" w:eastAsia="黑体" w:hAnsi="黑体" w:cs="黑体" w:hint="eastAsia"/>
          <w:lang w:eastAsia="zh-CN"/>
        </w:rPr>
        <w:t>ETF</w:t>
      </w:r>
      <w:r>
        <w:rPr>
          <w:rFonts w:ascii="黑体" w:eastAsia="黑体" w:hAnsi="黑体" w:cs="黑体" w:hint="eastAsia"/>
          <w:lang w:eastAsia="zh-CN"/>
        </w:rPr>
        <w:t>基金时将得到一揽子股票</w:t>
      </w:r>
    </w:p>
    <w:p w14:paraId="4B5173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ECE565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CB5179">
        <w:rPr>
          <w:rFonts w:ascii="黑体" w:eastAsia="黑体" w:hAnsi="黑体" w:cs="黑体" w:hint="eastAsia"/>
          <w:highlight w:val="yellow"/>
          <w:lang w:eastAsia="zh-CN"/>
        </w:rPr>
        <w:t>场内申购和赎回</w:t>
      </w:r>
      <w:r w:rsidRPr="00CB5179">
        <w:rPr>
          <w:rFonts w:ascii="黑体" w:eastAsia="黑体" w:hAnsi="黑体" w:cs="黑体" w:hint="eastAsia"/>
          <w:highlight w:val="yellow"/>
          <w:lang w:eastAsia="zh-CN"/>
        </w:rPr>
        <w:t>ETF</w:t>
      </w:r>
      <w:r w:rsidRPr="00CB5179">
        <w:rPr>
          <w:rFonts w:ascii="黑体" w:eastAsia="黑体" w:hAnsi="黑体" w:cs="黑体" w:hint="eastAsia"/>
          <w:highlight w:val="yellow"/>
          <w:lang w:eastAsia="zh-CN"/>
        </w:rPr>
        <w:t>采用份额申购、份额赎回的方式，即申购和赎回均以份额申请</w:t>
      </w:r>
      <w:r>
        <w:rPr>
          <w:rFonts w:ascii="黑体" w:eastAsia="黑体" w:hAnsi="黑体" w:cs="黑体" w:hint="eastAsia"/>
          <w:lang w:eastAsia="zh-CN"/>
        </w:rPr>
        <w:t>。</w:t>
      </w:r>
      <w:r w:rsidRPr="00CB5179">
        <w:rPr>
          <w:rFonts w:ascii="黑体" w:eastAsia="黑体" w:hAnsi="黑体" w:cs="黑体" w:hint="eastAsia"/>
          <w:highlight w:val="yellow"/>
          <w:lang w:eastAsia="zh-CN"/>
        </w:rPr>
        <w:t>场外申购赎回采用金额申购、份额赎回的方式，即申购以金额申请，赎回以份额申请。</w:t>
      </w:r>
    </w:p>
    <w:p w14:paraId="1CD3E3F6" w14:textId="77777777" w:rsidR="0082448A" w:rsidRDefault="00054E88">
      <w:pPr>
        <w:numPr>
          <w:ilvl w:val="0"/>
          <w:numId w:val="11"/>
        </w:numPr>
        <w:spacing w:line="360" w:lineRule="auto"/>
        <w:rPr>
          <w:rFonts w:ascii="黑体" w:eastAsia="黑体" w:hAnsi="黑体" w:cs="黑体"/>
          <w:lang w:eastAsia="zh-CN"/>
        </w:rPr>
      </w:pPr>
      <w:r>
        <w:rPr>
          <w:rFonts w:ascii="黑体" w:eastAsia="黑体" w:hAnsi="黑体" w:cs="黑体" w:hint="eastAsia"/>
          <w:lang w:eastAsia="zh-CN"/>
        </w:rPr>
        <w:t>下列属于基金公司董事会履行的风险管理职责的有</w:t>
      </w:r>
      <w:r>
        <w:rPr>
          <w:rFonts w:ascii="黑体" w:eastAsia="黑体" w:hAnsi="黑体" w:cs="黑体" w:hint="eastAsia"/>
          <w:lang w:eastAsia="zh-CN"/>
        </w:rPr>
        <w:t>（）</w:t>
      </w:r>
      <w:r>
        <w:rPr>
          <w:rFonts w:ascii="黑体" w:eastAsia="黑体" w:hAnsi="黑体" w:cs="黑体" w:hint="eastAsia"/>
          <w:lang w:eastAsia="zh-CN"/>
        </w:rPr>
        <w:t>。</w:t>
      </w:r>
    </w:p>
    <w:p w14:paraId="07DD145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确定公司风险管理总体目标</w:t>
      </w:r>
    </w:p>
    <w:p w14:paraId="4762C58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制定公司风险管理战略和风险应对策略</w:t>
      </w:r>
    </w:p>
    <w:p w14:paraId="3341413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审议重大事件、重大决策的风险评估意见</w:t>
      </w:r>
    </w:p>
    <w:p w14:paraId="696F74A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组织各职能部门和各业务单元开展风险管理工作</w:t>
      </w:r>
    </w:p>
    <w:p w14:paraId="73DC1CA9" w14:textId="77777777" w:rsidR="0082448A" w:rsidRDefault="00054E88">
      <w:pPr>
        <w:numPr>
          <w:ilvl w:val="0"/>
          <w:numId w:val="12"/>
        </w:numPr>
        <w:spacing w:line="360" w:lineRule="auto"/>
        <w:rPr>
          <w:rFonts w:ascii="黑体" w:eastAsia="黑体" w:hAnsi="黑体" w:cs="黑体"/>
        </w:rPr>
      </w:pPr>
      <w:proofErr w:type="spellStart"/>
      <w:r>
        <w:rPr>
          <w:rFonts w:ascii="黑体" w:eastAsia="黑体" w:hAnsi="黑体" w:cs="黑体" w:hint="eastAsia"/>
        </w:rPr>
        <w:t>Ⅰ、Ⅱ、Ⅲ</w:t>
      </w:r>
      <w:proofErr w:type="spellEnd"/>
    </w:p>
    <w:p w14:paraId="5E447D59"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lastRenderedPageBreak/>
        <w:t>B.</w:t>
      </w:r>
      <w:r>
        <w:rPr>
          <w:rFonts w:ascii="黑体" w:eastAsia="黑体" w:hAnsi="黑体" w:cs="黑体" w:hint="eastAsia"/>
        </w:rPr>
        <w:t>Ⅱ、Ⅲ、Ⅳ</w:t>
      </w:r>
      <w:proofErr w:type="spellEnd"/>
    </w:p>
    <w:p w14:paraId="0489A636"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Ⅰ、Ⅲ、Ⅳ</w:t>
      </w:r>
      <w:proofErr w:type="spellEnd"/>
    </w:p>
    <w:p w14:paraId="2FBA2828"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Ⅰ、Ⅱ、Ⅲ、Ⅳ</w:t>
      </w:r>
      <w:proofErr w:type="spellEnd"/>
    </w:p>
    <w:p w14:paraId="13A34566" w14:textId="77777777" w:rsidR="0082448A" w:rsidRDefault="00054E88">
      <w:pPr>
        <w:spacing w:line="360" w:lineRule="auto"/>
        <w:rPr>
          <w:rFonts w:ascii="黑体" w:eastAsia="黑体" w:hAnsi="黑体" w:cs="黑体"/>
          <w:lang w:eastAsia="zh-CN"/>
        </w:rPr>
      </w:pP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A</w:t>
      </w:r>
    </w:p>
    <w:p w14:paraId="79AA1CB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董事会对有效的风险管理承担最终责任，履行的风险管理职责是：确定公司风险管理总体目标，制定公司风险管理战略和风险应对策略；审议重大事件、重大决策的风险评估意见，审批重大风险的解决方案，批准公司基本风险管理制度；审议公司风险管理报告；可以授权董事会下设的风险管理委员会或其他专门委员会履行相应风险管理和监督职责。</w:t>
      </w:r>
    </w:p>
    <w:p w14:paraId="0E1D71D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70</w:t>
      </w:r>
      <w:r>
        <w:rPr>
          <w:rFonts w:ascii="黑体" w:eastAsia="黑体" w:hAnsi="黑体" w:cs="黑体" w:hint="eastAsia"/>
          <w:lang w:eastAsia="zh-CN"/>
        </w:rPr>
        <w:t>、根据基金销售适用性原则，应对</w:t>
      </w:r>
      <w:r>
        <w:rPr>
          <w:rFonts w:ascii="黑体" w:eastAsia="黑体" w:hAnsi="黑体" w:cs="黑体" w:hint="eastAsia"/>
          <w:lang w:eastAsia="zh-CN"/>
        </w:rPr>
        <w:t>（）</w:t>
      </w:r>
      <w:r>
        <w:rPr>
          <w:rFonts w:ascii="黑体" w:eastAsia="黑体" w:hAnsi="黑体" w:cs="黑体" w:hint="eastAsia"/>
          <w:lang w:eastAsia="zh-CN"/>
        </w:rPr>
        <w:t>做出评价。</w:t>
      </w:r>
    </w:p>
    <w:p w14:paraId="1AA48C8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基金管理人、基金销售机构、基金经理</w:t>
      </w:r>
    </w:p>
    <w:p w14:paraId="35B0384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基金管理人、基金产品、基金投资人</w:t>
      </w:r>
    </w:p>
    <w:p w14:paraId="446C448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基金投资人、基金经理、基金投资策略</w:t>
      </w:r>
    </w:p>
    <w:p w14:paraId="088DBA2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基金管理人、基金</w:t>
      </w:r>
      <w:r>
        <w:rPr>
          <w:rFonts w:ascii="黑体" w:eastAsia="黑体" w:hAnsi="黑体" w:cs="黑体" w:hint="eastAsia"/>
          <w:lang w:eastAsia="zh-CN"/>
        </w:rPr>
        <w:t>托管人、基金销售机构</w:t>
      </w:r>
    </w:p>
    <w:p w14:paraId="402A114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28E4A3D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【试题解析】：基金销售机构应当将基金销售适用性作为内部控制的组成部分，将基金销售适用性贯穿于基金销售的各个业务环节，对基金管理人、基金产品和基金投资人都要了解并做出评价。</w:t>
      </w:r>
    </w:p>
    <w:p w14:paraId="666F001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71</w:t>
      </w:r>
      <w:r>
        <w:rPr>
          <w:rFonts w:ascii="黑体" w:eastAsia="黑体" w:hAnsi="黑体" w:cs="黑体" w:hint="eastAsia"/>
          <w:lang w:eastAsia="zh-CN"/>
        </w:rPr>
        <w:t>、基金招募说明书的内容不包括</w:t>
      </w:r>
      <w:r>
        <w:rPr>
          <w:rFonts w:ascii="黑体" w:eastAsia="黑体" w:hAnsi="黑体" w:cs="黑体" w:hint="eastAsia"/>
          <w:lang w:eastAsia="zh-CN"/>
        </w:rPr>
        <w:t>（）</w:t>
      </w:r>
      <w:r>
        <w:rPr>
          <w:rFonts w:ascii="黑体" w:eastAsia="黑体" w:hAnsi="黑体" w:cs="黑体" w:hint="eastAsia"/>
          <w:lang w:eastAsia="zh-CN"/>
        </w:rPr>
        <w:t>。</w:t>
      </w:r>
    </w:p>
    <w:p w14:paraId="4B62818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基金收益分配原则、执行方式</w:t>
      </w:r>
    </w:p>
    <w:p w14:paraId="1D0F69A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基金募集申请的准予注册文件名称和注册日期</w:t>
      </w:r>
    </w:p>
    <w:p w14:paraId="735567E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基金管理人、基金托管人的基本情况</w:t>
      </w:r>
    </w:p>
    <w:p w14:paraId="2E7F541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基金份额的发售日期、价格、费用和期限</w:t>
      </w:r>
    </w:p>
    <w:p w14:paraId="65C9F47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FB4213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【试题解析】：基金招募说明书应当包括下列内容：</w:t>
      </w:r>
    </w:p>
    <w:p w14:paraId="0C6C213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①基金募集申请的准予注册文件名称和注</w:t>
      </w:r>
      <w:r>
        <w:rPr>
          <w:rFonts w:ascii="黑体" w:eastAsia="黑体" w:hAnsi="黑体" w:cs="黑体" w:hint="eastAsia"/>
          <w:lang w:eastAsia="zh-CN"/>
        </w:rPr>
        <w:t>册日期；</w:t>
      </w:r>
    </w:p>
    <w:p w14:paraId="2B42FEB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②基金管理人、基金托管人的基本情况；</w:t>
      </w:r>
    </w:p>
    <w:p w14:paraId="443294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③基金合同和基金托管协议的内容摘要；</w:t>
      </w:r>
    </w:p>
    <w:p w14:paraId="6368EA0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④基金份额的发售日期、价格、费用和期限；</w:t>
      </w:r>
    </w:p>
    <w:p w14:paraId="4AE647E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⑤基金份额的发售方式、发售机构及登记机构名称；</w:t>
      </w:r>
    </w:p>
    <w:p w14:paraId="7F609E4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⑥出具法律意见书的律师事务所和审计基金财产的会计师事务所的名称和住所；</w:t>
      </w:r>
    </w:p>
    <w:p w14:paraId="38A55A0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⑦基金管理人、基金托管人报酬及其他有关费用的提取、支付方式与比例；</w:t>
      </w:r>
    </w:p>
    <w:p w14:paraId="3A7B43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⑧风险警示内容；</w:t>
      </w:r>
    </w:p>
    <w:p w14:paraId="25D04C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⑨中国证监会规定的其他内容。</w:t>
      </w:r>
      <w:r>
        <w:rPr>
          <w:rFonts w:ascii="黑体" w:eastAsia="黑体" w:hAnsi="黑体" w:cs="黑体" w:hint="eastAsia"/>
          <w:lang w:eastAsia="zh-CN"/>
        </w:rPr>
        <w:t>A</w:t>
      </w:r>
      <w:proofErr w:type="gramStart"/>
      <w:r>
        <w:rPr>
          <w:rFonts w:ascii="黑体" w:eastAsia="黑体" w:hAnsi="黑体" w:cs="黑体" w:hint="eastAsia"/>
          <w:lang w:eastAsia="zh-CN"/>
        </w:rPr>
        <w:t>项属于</w:t>
      </w:r>
      <w:proofErr w:type="gramEnd"/>
      <w:r>
        <w:rPr>
          <w:rFonts w:ascii="黑体" w:eastAsia="黑体" w:hAnsi="黑体" w:cs="黑体" w:hint="eastAsia"/>
          <w:lang w:eastAsia="zh-CN"/>
        </w:rPr>
        <w:t>基金合同应包含的信息。</w:t>
      </w:r>
    </w:p>
    <w:p w14:paraId="4307A807" w14:textId="77777777" w:rsidR="0082448A" w:rsidRDefault="00054E88">
      <w:pPr>
        <w:numPr>
          <w:ilvl w:val="0"/>
          <w:numId w:val="13"/>
        </w:numPr>
        <w:spacing w:line="360" w:lineRule="auto"/>
        <w:rPr>
          <w:rFonts w:ascii="黑体" w:eastAsia="黑体" w:hAnsi="黑体" w:cs="黑体"/>
          <w:lang w:eastAsia="zh-CN"/>
        </w:rPr>
      </w:pPr>
      <w:r>
        <w:rPr>
          <w:rFonts w:ascii="黑体" w:eastAsia="黑体" w:hAnsi="黑体" w:cs="黑体" w:hint="eastAsia"/>
          <w:lang w:eastAsia="zh-CN"/>
        </w:rPr>
        <w:t>基金销售协议的内容包括</w:t>
      </w:r>
      <w:r>
        <w:rPr>
          <w:rFonts w:ascii="黑体" w:eastAsia="黑体" w:hAnsi="黑体" w:cs="黑体" w:hint="eastAsia"/>
          <w:lang w:eastAsia="zh-CN"/>
        </w:rPr>
        <w:t>（）</w:t>
      </w:r>
      <w:r>
        <w:rPr>
          <w:rFonts w:ascii="黑体" w:eastAsia="黑体" w:hAnsi="黑体" w:cs="黑体" w:hint="eastAsia"/>
          <w:lang w:eastAsia="zh-CN"/>
        </w:rPr>
        <w:t>。</w:t>
      </w:r>
    </w:p>
    <w:p w14:paraId="17C5DF2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销售费用分配的比例和方式</w:t>
      </w:r>
    </w:p>
    <w:p w14:paraId="1D0F718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基金投资收益分配比例和方式</w:t>
      </w:r>
    </w:p>
    <w:p w14:paraId="74831A0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客户资料的保存方式及对基金持有人的持续服务责任</w:t>
      </w:r>
    </w:p>
    <w:p w14:paraId="6489DA5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反洗</w:t>
      </w:r>
      <w:proofErr w:type="gramStart"/>
      <w:r>
        <w:rPr>
          <w:rFonts w:ascii="黑体" w:eastAsia="黑体" w:hAnsi="黑体" w:cs="黑体" w:hint="eastAsia"/>
          <w:lang w:eastAsia="zh-CN"/>
        </w:rPr>
        <w:t>钱义务</w:t>
      </w:r>
      <w:proofErr w:type="gramEnd"/>
      <w:r>
        <w:rPr>
          <w:rFonts w:ascii="黑体" w:eastAsia="黑体" w:hAnsi="黑体" w:cs="黑体" w:hint="eastAsia"/>
          <w:lang w:eastAsia="zh-CN"/>
        </w:rPr>
        <w:t>履行及责任划分</w:t>
      </w:r>
    </w:p>
    <w:p w14:paraId="178A92E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Ⅴ</w:t>
      </w:r>
      <w:r>
        <w:rPr>
          <w:rFonts w:ascii="黑体" w:eastAsia="黑体" w:hAnsi="黑体" w:cs="黑体" w:hint="eastAsia"/>
          <w:lang w:eastAsia="zh-CN"/>
        </w:rPr>
        <w:t>.</w:t>
      </w:r>
      <w:r>
        <w:rPr>
          <w:rFonts w:ascii="黑体" w:eastAsia="黑体" w:hAnsi="黑体" w:cs="黑体" w:hint="eastAsia"/>
          <w:lang w:eastAsia="zh-CN"/>
        </w:rPr>
        <w:t>基金销售信息交换及资金交</w:t>
      </w:r>
      <w:proofErr w:type="gramStart"/>
      <w:r>
        <w:rPr>
          <w:rFonts w:ascii="黑体" w:eastAsia="黑体" w:hAnsi="黑体" w:cs="黑体" w:hint="eastAsia"/>
          <w:lang w:eastAsia="zh-CN"/>
        </w:rPr>
        <w:t>收权利</w:t>
      </w:r>
      <w:proofErr w:type="gramEnd"/>
      <w:r>
        <w:rPr>
          <w:rFonts w:ascii="黑体" w:eastAsia="黑体" w:hAnsi="黑体" w:cs="黑体" w:hint="eastAsia"/>
          <w:lang w:eastAsia="zh-CN"/>
        </w:rPr>
        <w:t>与义务</w:t>
      </w:r>
    </w:p>
    <w:p w14:paraId="3A316F98"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lastRenderedPageBreak/>
        <w:t>A.</w:t>
      </w:r>
      <w:r>
        <w:rPr>
          <w:rFonts w:ascii="黑体" w:eastAsia="黑体" w:hAnsi="黑体" w:cs="黑体" w:hint="eastAsia"/>
        </w:rPr>
        <w:t>Ⅰ、Ⅲ、Ⅳ、Ⅴ</w:t>
      </w:r>
      <w:proofErr w:type="spellEnd"/>
    </w:p>
    <w:p w14:paraId="1592FA5B"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B.</w:t>
      </w:r>
      <w:r>
        <w:rPr>
          <w:rFonts w:ascii="黑体" w:eastAsia="黑体" w:hAnsi="黑体" w:cs="黑体" w:hint="eastAsia"/>
        </w:rPr>
        <w:t>Ⅰ、Ⅱ、Ⅲ、Ⅳ、Ⅴ</w:t>
      </w:r>
      <w:proofErr w:type="spellEnd"/>
    </w:p>
    <w:p w14:paraId="429B2A42"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Ⅰ、Ⅱ、Ⅲ、Ⅴ</w:t>
      </w:r>
      <w:proofErr w:type="spellEnd"/>
    </w:p>
    <w:p w14:paraId="55B0FE77"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Ⅰ、Ⅱ、Ⅴ</w:t>
      </w:r>
      <w:proofErr w:type="spellEnd"/>
    </w:p>
    <w:p w14:paraId="021F08E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7BA642F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销售机构办理基金的销售业务，应当由基金销售机构与基金管理人签订书面销售协议，明确双方的权利及义务，并至少包括以下内容：销售费用分配的比例和方式，基金持有人联系方式等客户资料的保存方式，对基金持有人的持续服务责任，反洗</w:t>
      </w:r>
      <w:proofErr w:type="gramStart"/>
      <w:r>
        <w:rPr>
          <w:rFonts w:ascii="黑体" w:eastAsia="黑体" w:hAnsi="黑体" w:cs="黑体" w:hint="eastAsia"/>
          <w:lang w:eastAsia="zh-CN"/>
        </w:rPr>
        <w:t>钱义务</w:t>
      </w:r>
      <w:proofErr w:type="gramEnd"/>
      <w:r>
        <w:rPr>
          <w:rFonts w:ascii="黑体" w:eastAsia="黑体" w:hAnsi="黑体" w:cs="黑体" w:hint="eastAsia"/>
          <w:lang w:eastAsia="zh-CN"/>
        </w:rPr>
        <w:t>履行及责任划分，基</w:t>
      </w:r>
      <w:r>
        <w:rPr>
          <w:rFonts w:ascii="黑体" w:eastAsia="黑体" w:hAnsi="黑体" w:cs="黑体" w:hint="eastAsia"/>
          <w:lang w:eastAsia="zh-CN"/>
        </w:rPr>
        <w:t>金销售信息交换及资金交</w:t>
      </w:r>
      <w:proofErr w:type="gramStart"/>
      <w:r>
        <w:rPr>
          <w:rFonts w:ascii="黑体" w:eastAsia="黑体" w:hAnsi="黑体" w:cs="黑体" w:hint="eastAsia"/>
          <w:lang w:eastAsia="zh-CN"/>
        </w:rPr>
        <w:t>收权利</w:t>
      </w:r>
      <w:proofErr w:type="gramEnd"/>
      <w:r>
        <w:rPr>
          <w:rFonts w:ascii="黑体" w:eastAsia="黑体" w:hAnsi="黑体" w:cs="黑体" w:hint="eastAsia"/>
          <w:lang w:eastAsia="zh-CN"/>
        </w:rPr>
        <w:t>与义务。</w:t>
      </w:r>
    </w:p>
    <w:p w14:paraId="3462DF0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73</w:t>
      </w:r>
      <w:r>
        <w:rPr>
          <w:rFonts w:ascii="黑体" w:eastAsia="黑体" w:hAnsi="黑体" w:cs="黑体" w:hint="eastAsia"/>
          <w:lang w:eastAsia="zh-CN"/>
        </w:rPr>
        <w:t>、证券投资基金的主要投资方向是</w:t>
      </w:r>
      <w:r>
        <w:rPr>
          <w:rFonts w:ascii="黑体" w:eastAsia="黑体" w:hAnsi="黑体" w:cs="黑体" w:hint="eastAsia"/>
          <w:lang w:eastAsia="zh-CN"/>
        </w:rPr>
        <w:t>（）</w:t>
      </w:r>
      <w:r>
        <w:rPr>
          <w:rFonts w:ascii="黑体" w:eastAsia="黑体" w:hAnsi="黑体" w:cs="黑体" w:hint="eastAsia"/>
          <w:lang w:eastAsia="zh-CN"/>
        </w:rPr>
        <w:t>。</w:t>
      </w:r>
    </w:p>
    <w:p w14:paraId="501331C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实业</w:t>
      </w:r>
    </w:p>
    <w:p w14:paraId="0B68E95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上市公司的投资项目</w:t>
      </w:r>
    </w:p>
    <w:p w14:paraId="52CCB73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信贷</w:t>
      </w:r>
    </w:p>
    <w:p w14:paraId="129CFE6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有价证券</w:t>
      </w:r>
    </w:p>
    <w:p w14:paraId="2BD7F42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16BE745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【试题解析】：基金与股票、债券所筹资金的投向不同。股票和债券是直接投资工具，筹集的资金主要投向实业领域；基金是一种间接投资工具，所筹集的资金主要投向有价证券等金融工具或产品。</w:t>
      </w:r>
    </w:p>
    <w:p w14:paraId="2382880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74</w:t>
      </w:r>
      <w:r>
        <w:rPr>
          <w:rFonts w:ascii="黑体" w:eastAsia="黑体" w:hAnsi="黑体" w:cs="黑体" w:hint="eastAsia"/>
          <w:lang w:eastAsia="zh-CN"/>
        </w:rPr>
        <w:t>、关于基金与银行储蓄存款的收益和风险特征，下列表述错误的是</w:t>
      </w:r>
      <w:r>
        <w:rPr>
          <w:rFonts w:ascii="黑体" w:eastAsia="黑体" w:hAnsi="黑体" w:cs="黑体" w:hint="eastAsia"/>
          <w:lang w:eastAsia="zh-CN"/>
        </w:rPr>
        <w:t>（）</w:t>
      </w:r>
      <w:r>
        <w:rPr>
          <w:rFonts w:ascii="黑体" w:eastAsia="黑体" w:hAnsi="黑体" w:cs="黑体" w:hint="eastAsia"/>
          <w:lang w:eastAsia="zh-CN"/>
        </w:rPr>
        <w:t>。</w:t>
      </w:r>
    </w:p>
    <w:p w14:paraId="61A9142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银行存款不存在损失本金的风险</w:t>
      </w:r>
    </w:p>
    <w:p w14:paraId="2E775BC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基金存在着投资风险</w:t>
      </w:r>
    </w:p>
    <w:p w14:paraId="34080CC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银行存款利率相对固定</w:t>
      </w:r>
    </w:p>
    <w:p w14:paraId="33DEE5F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基金收益具有一定的波动性</w:t>
      </w:r>
    </w:p>
    <w:p w14:paraId="09290D0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6E46B6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【试题解析】：基金收益具有一定的波动性，存在投资风险；银行存款利率相对固定，投资者损失本金的可能性也很小。故</w:t>
      </w:r>
      <w:r>
        <w:rPr>
          <w:rFonts w:ascii="黑体" w:eastAsia="黑体" w:hAnsi="黑体" w:cs="黑体" w:hint="eastAsia"/>
          <w:lang w:eastAsia="zh-CN"/>
        </w:rPr>
        <w:t>A</w:t>
      </w:r>
      <w:r>
        <w:rPr>
          <w:rFonts w:ascii="黑体" w:eastAsia="黑体" w:hAnsi="黑体" w:cs="黑体" w:hint="eastAsia"/>
          <w:lang w:eastAsia="zh-CN"/>
        </w:rPr>
        <w:t>项说法错误</w:t>
      </w:r>
    </w:p>
    <w:p w14:paraId="03FA17C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75</w:t>
      </w:r>
      <w:r>
        <w:rPr>
          <w:rFonts w:ascii="黑体" w:eastAsia="黑体" w:hAnsi="黑体" w:cs="黑体" w:hint="eastAsia"/>
          <w:lang w:eastAsia="zh-CN"/>
        </w:rPr>
        <w:t>、中国证监会工作人员依法履行职责，进行调查或者检查时，不得少于</w:t>
      </w:r>
      <w:r>
        <w:rPr>
          <w:rFonts w:ascii="黑体" w:eastAsia="黑体" w:hAnsi="黑体" w:cs="黑体" w:hint="eastAsia"/>
          <w:lang w:eastAsia="zh-CN"/>
        </w:rPr>
        <w:t>（）</w:t>
      </w:r>
      <w:r>
        <w:rPr>
          <w:rFonts w:ascii="黑体" w:eastAsia="黑体" w:hAnsi="黑体" w:cs="黑体" w:hint="eastAsia"/>
          <w:lang w:eastAsia="zh-CN"/>
        </w:rPr>
        <w:t>人。</w:t>
      </w:r>
    </w:p>
    <w:p w14:paraId="2C70003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A.2</w:t>
      </w:r>
    </w:p>
    <w:p w14:paraId="5FC4472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B.3</w:t>
      </w:r>
    </w:p>
    <w:p w14:paraId="07EA2D2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C.5</w:t>
      </w:r>
    </w:p>
    <w:p w14:paraId="3DD2514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D.10</w:t>
      </w:r>
    </w:p>
    <w:p w14:paraId="48843DF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144B447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【试题解析】：中国证监会工作人员依法履行职责，进行调查或者检查时，不得少于</w:t>
      </w:r>
      <w:r>
        <w:rPr>
          <w:rFonts w:ascii="黑体" w:eastAsia="黑体" w:hAnsi="黑体" w:cs="黑体" w:hint="eastAsia"/>
          <w:lang w:eastAsia="zh-CN"/>
        </w:rPr>
        <w:t>2</w:t>
      </w:r>
      <w:r>
        <w:rPr>
          <w:rFonts w:ascii="黑体" w:eastAsia="黑体" w:hAnsi="黑体" w:cs="黑体" w:hint="eastAsia"/>
          <w:lang w:eastAsia="zh-CN"/>
        </w:rPr>
        <w:t>人，并应当出示合法证件；对调查或者检</w:t>
      </w:r>
      <w:proofErr w:type="gramStart"/>
      <w:r>
        <w:rPr>
          <w:rFonts w:ascii="黑体" w:eastAsia="黑体" w:hAnsi="黑体" w:cs="黑体" w:hint="eastAsia"/>
          <w:lang w:eastAsia="zh-CN"/>
        </w:rPr>
        <w:t>査</w:t>
      </w:r>
      <w:proofErr w:type="gramEnd"/>
      <w:r>
        <w:rPr>
          <w:rFonts w:ascii="黑体" w:eastAsia="黑体" w:hAnsi="黑体" w:cs="黑体" w:hint="eastAsia"/>
          <w:lang w:eastAsia="zh-CN"/>
        </w:rPr>
        <w:t>中知悉的商业秘密负有保密的义务。</w:t>
      </w:r>
    </w:p>
    <w:p w14:paraId="268F5BF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76</w:t>
      </w:r>
      <w:r>
        <w:rPr>
          <w:rFonts w:ascii="黑体" w:eastAsia="黑体" w:hAnsi="黑体" w:cs="黑体" w:hint="eastAsia"/>
          <w:lang w:eastAsia="zh-CN"/>
        </w:rPr>
        <w:t>、基金所投资的有价证券主要是在</w:t>
      </w:r>
      <w:r>
        <w:rPr>
          <w:rFonts w:ascii="黑体" w:eastAsia="黑体" w:hAnsi="黑体" w:cs="黑体" w:hint="eastAsia"/>
          <w:lang w:eastAsia="zh-CN"/>
        </w:rPr>
        <w:t>（）</w:t>
      </w:r>
      <w:r>
        <w:rPr>
          <w:rFonts w:ascii="黑体" w:eastAsia="黑体" w:hAnsi="黑体" w:cs="黑体" w:hint="eastAsia"/>
          <w:lang w:eastAsia="zh-CN"/>
        </w:rPr>
        <w:t>或银行间市场上公开交易的证券。</w:t>
      </w:r>
    </w:p>
    <w:p w14:paraId="64C88D9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中央银行</w:t>
      </w:r>
    </w:p>
    <w:p w14:paraId="7CECB8C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基金管理公司</w:t>
      </w:r>
    </w:p>
    <w:p w14:paraId="2079FC8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期货交易所</w:t>
      </w:r>
    </w:p>
    <w:p w14:paraId="02DA2E5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证券交易所</w:t>
      </w:r>
    </w:p>
    <w:p w14:paraId="0730DB9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7865A9E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【试题解析】：基金所投资的有价证券主要是在证券交易所或银行间市场上公开交易的证券，包括股票、债券、货币、金融衍生工具等。</w:t>
      </w:r>
    </w:p>
    <w:p w14:paraId="6F3385D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77</w:t>
      </w:r>
      <w:r>
        <w:rPr>
          <w:rFonts w:ascii="黑体" w:eastAsia="黑体" w:hAnsi="黑体" w:cs="黑体" w:hint="eastAsia"/>
          <w:lang w:eastAsia="zh-CN"/>
        </w:rPr>
        <w:t>、关于道德与法律的区别，下列表述错误的是</w:t>
      </w:r>
      <w:r>
        <w:rPr>
          <w:rFonts w:ascii="黑体" w:eastAsia="黑体" w:hAnsi="黑体" w:cs="黑体" w:hint="eastAsia"/>
          <w:lang w:eastAsia="zh-CN"/>
        </w:rPr>
        <w:t>（）</w:t>
      </w:r>
      <w:r>
        <w:rPr>
          <w:rFonts w:ascii="黑体" w:eastAsia="黑体" w:hAnsi="黑体" w:cs="黑体" w:hint="eastAsia"/>
          <w:lang w:eastAsia="zh-CN"/>
        </w:rPr>
        <w:t>。</w:t>
      </w:r>
    </w:p>
    <w:p w14:paraId="26A20A3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法律通常以文字作为载体，而道德没有特定的表现形式</w:t>
      </w:r>
    </w:p>
    <w:p w14:paraId="316F48C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一般认为，法律调整的范围比道德调整的范围更为广泛</w:t>
      </w:r>
    </w:p>
    <w:p w14:paraId="1548083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法律以权利义务为内容，而道德一般只以义务为内容</w:t>
      </w:r>
    </w:p>
    <w:p w14:paraId="076FB42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法律主要依靠国家强制力保障实施，而道德主要依靠社会舆论等力量</w:t>
      </w:r>
      <w:r>
        <w:rPr>
          <w:rFonts w:ascii="黑体" w:eastAsia="黑体" w:hAnsi="黑体" w:cs="黑体" w:hint="eastAsia"/>
          <w:lang w:eastAsia="zh-CN"/>
        </w:rPr>
        <w:t>实现其约束力</w:t>
      </w:r>
    </w:p>
    <w:p w14:paraId="635EAF9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4282AD3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B</w:t>
      </w:r>
      <w:r>
        <w:rPr>
          <w:rFonts w:ascii="黑体" w:eastAsia="黑体" w:hAnsi="黑体" w:cs="黑体" w:hint="eastAsia"/>
          <w:lang w:eastAsia="zh-CN"/>
        </w:rPr>
        <w:t>项，一般认为，道德调整的范围比法律调整的范围更为广泛。绝大多数法律规范是以道德为基础的，同时也是道德规范；但也有一些法律调整的领域道德并不调整，例如一些专门的程序规范。因此，二者的调整范围是交叉关系。</w:t>
      </w:r>
    </w:p>
    <w:p w14:paraId="2A3ADDE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78</w:t>
      </w:r>
      <w:r>
        <w:rPr>
          <w:rFonts w:ascii="黑体" w:eastAsia="黑体" w:hAnsi="黑体" w:cs="黑体" w:hint="eastAsia"/>
          <w:lang w:eastAsia="zh-CN"/>
        </w:rPr>
        <w:t>、目前，我国市场上出现的公募另类投资基金，不包括</w:t>
      </w:r>
      <w:r>
        <w:rPr>
          <w:rFonts w:ascii="黑体" w:eastAsia="黑体" w:hAnsi="黑体" w:cs="黑体" w:hint="eastAsia"/>
          <w:lang w:eastAsia="zh-CN"/>
        </w:rPr>
        <w:t>（）</w:t>
      </w:r>
      <w:r>
        <w:rPr>
          <w:rFonts w:ascii="黑体" w:eastAsia="黑体" w:hAnsi="黑体" w:cs="黑体" w:hint="eastAsia"/>
          <w:lang w:eastAsia="zh-CN"/>
        </w:rPr>
        <w:t>。</w:t>
      </w:r>
    </w:p>
    <w:p w14:paraId="2F5FF47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房地产基金</w:t>
      </w:r>
    </w:p>
    <w:p w14:paraId="0F320AE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B.FOF</w:t>
      </w:r>
    </w:p>
    <w:p w14:paraId="0DD987C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非上市股权基金</w:t>
      </w:r>
    </w:p>
    <w:p w14:paraId="6D39BB4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商品基金</w:t>
      </w:r>
    </w:p>
    <w:p w14:paraId="5AD337B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740C361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【试题解析】：我国市场上出现的</w:t>
      </w:r>
      <w:r w:rsidRPr="00D01A24">
        <w:rPr>
          <w:rFonts w:ascii="黑体" w:eastAsia="黑体" w:hAnsi="黑体" w:cs="黑体" w:hint="eastAsia"/>
          <w:highlight w:val="yellow"/>
          <w:lang w:eastAsia="zh-CN"/>
        </w:rPr>
        <w:t>公募另类投资基金主要有以下几类：</w:t>
      </w:r>
      <w:r w:rsidRPr="00D01A24">
        <w:rPr>
          <w:rFonts w:ascii="黑体" w:eastAsia="黑体" w:hAnsi="黑体" w:cs="黑体" w:hint="eastAsia"/>
          <w:highlight w:val="yellow"/>
          <w:lang w:eastAsia="zh-CN"/>
        </w:rPr>
        <w:t>1.</w:t>
      </w:r>
      <w:r w:rsidRPr="00D01A24">
        <w:rPr>
          <w:rFonts w:ascii="黑体" w:eastAsia="黑体" w:hAnsi="黑体" w:cs="黑体" w:hint="eastAsia"/>
          <w:highlight w:val="yellow"/>
          <w:lang w:eastAsia="zh-CN"/>
        </w:rPr>
        <w:t>商品基金。</w:t>
      </w:r>
      <w:r w:rsidRPr="00D01A24">
        <w:rPr>
          <w:rFonts w:ascii="黑体" w:eastAsia="黑体" w:hAnsi="黑体" w:cs="黑体" w:hint="eastAsia"/>
          <w:highlight w:val="yellow"/>
          <w:lang w:eastAsia="zh-CN"/>
        </w:rPr>
        <w:t>2.</w:t>
      </w:r>
      <w:r w:rsidRPr="00D01A24">
        <w:rPr>
          <w:rFonts w:ascii="黑体" w:eastAsia="黑体" w:hAnsi="黑体" w:cs="黑体" w:hint="eastAsia"/>
          <w:highlight w:val="yellow"/>
          <w:lang w:eastAsia="zh-CN"/>
        </w:rPr>
        <w:t>非上市股权基金。</w:t>
      </w:r>
      <w:r w:rsidRPr="00D01A24">
        <w:rPr>
          <w:rFonts w:ascii="黑体" w:eastAsia="黑体" w:hAnsi="黑体" w:cs="黑体" w:hint="eastAsia"/>
          <w:highlight w:val="yellow"/>
          <w:lang w:eastAsia="zh-CN"/>
        </w:rPr>
        <w:t>3.</w:t>
      </w:r>
      <w:r w:rsidRPr="00D01A24">
        <w:rPr>
          <w:rFonts w:ascii="黑体" w:eastAsia="黑体" w:hAnsi="黑体" w:cs="黑体" w:hint="eastAsia"/>
          <w:highlight w:val="yellow"/>
          <w:lang w:eastAsia="zh-CN"/>
        </w:rPr>
        <w:t>房地产基金。</w:t>
      </w:r>
    </w:p>
    <w:p w14:paraId="138545A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79</w:t>
      </w:r>
      <w:r>
        <w:rPr>
          <w:rFonts w:ascii="黑体" w:eastAsia="黑体" w:hAnsi="黑体" w:cs="黑体" w:hint="eastAsia"/>
          <w:lang w:eastAsia="zh-CN"/>
        </w:rPr>
        <w:t>、关于基金中基金，以下说法错误的是</w:t>
      </w:r>
      <w:r>
        <w:rPr>
          <w:rFonts w:ascii="黑体" w:eastAsia="黑体" w:hAnsi="黑体" w:cs="黑体" w:hint="eastAsia"/>
          <w:lang w:eastAsia="zh-CN"/>
        </w:rPr>
        <w:t>（）</w:t>
      </w:r>
      <w:r>
        <w:rPr>
          <w:rFonts w:ascii="黑体" w:eastAsia="黑体" w:hAnsi="黑体" w:cs="黑体" w:hint="eastAsia"/>
          <w:lang w:eastAsia="zh-CN"/>
        </w:rPr>
        <w:t>。</w:t>
      </w:r>
    </w:p>
    <w:p w14:paraId="7ACD5A2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基金中基金的基金资产</w:t>
      </w:r>
      <w:r>
        <w:rPr>
          <w:rFonts w:ascii="黑体" w:eastAsia="黑体" w:hAnsi="黑体" w:cs="黑体" w:hint="eastAsia"/>
          <w:lang w:eastAsia="zh-CN"/>
        </w:rPr>
        <w:t>80%</w:t>
      </w:r>
      <w:r>
        <w:rPr>
          <w:rFonts w:ascii="黑体" w:eastAsia="黑体" w:hAnsi="黑体" w:cs="黑体" w:hint="eastAsia"/>
          <w:lang w:eastAsia="zh-CN"/>
        </w:rPr>
        <w:t>以上投资于其他基金份额</w:t>
      </w:r>
    </w:p>
    <w:p w14:paraId="33085F2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基金中基金的基金合同可约定，基金中基金投资于货币基金的比例</w:t>
      </w:r>
    </w:p>
    <w:p w14:paraId="63369AF4"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C.ETF</w:t>
      </w:r>
      <w:r>
        <w:rPr>
          <w:rFonts w:ascii="黑体" w:eastAsia="黑体" w:hAnsi="黑体" w:cs="黑体" w:hint="eastAsia"/>
        </w:rPr>
        <w:t>是一种特殊的基金中基金</w:t>
      </w:r>
      <w:proofErr w:type="spellEnd"/>
    </w:p>
    <w:p w14:paraId="40E3694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D.ETF</w:t>
      </w:r>
      <w:r>
        <w:rPr>
          <w:rFonts w:ascii="黑体" w:eastAsia="黑体" w:hAnsi="黑体" w:cs="黑体" w:hint="eastAsia"/>
          <w:lang w:eastAsia="zh-CN"/>
        </w:rPr>
        <w:t>联接基金是一种特殊的基金中基金</w:t>
      </w:r>
    </w:p>
    <w:p w14:paraId="6F4B363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336CB3C1" w14:textId="3511A65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D01A24">
        <w:rPr>
          <w:rFonts w:ascii="黑体" w:eastAsia="黑体" w:hAnsi="黑体" w:cs="黑体" w:hint="eastAsia"/>
          <w:highlight w:val="yellow"/>
          <w:lang w:eastAsia="zh-CN"/>
        </w:rPr>
        <w:t>ETF</w:t>
      </w:r>
      <w:r w:rsidRPr="00D01A24">
        <w:rPr>
          <w:rFonts w:ascii="黑体" w:eastAsia="黑体" w:hAnsi="黑体" w:cs="黑体" w:hint="eastAsia"/>
          <w:highlight w:val="yellow"/>
          <w:lang w:eastAsia="zh-CN"/>
        </w:rPr>
        <w:t>联接基金是一种特殊的基金中基金，故</w:t>
      </w:r>
      <w:r w:rsidRPr="00D01A24">
        <w:rPr>
          <w:rFonts w:ascii="黑体" w:eastAsia="黑体" w:hAnsi="黑体" w:cs="黑体" w:hint="eastAsia"/>
          <w:highlight w:val="yellow"/>
          <w:lang w:eastAsia="zh-CN"/>
        </w:rPr>
        <w:t>C</w:t>
      </w:r>
      <w:r w:rsidRPr="00D01A24">
        <w:rPr>
          <w:rFonts w:ascii="黑体" w:eastAsia="黑体" w:hAnsi="黑体" w:cs="黑体" w:hint="eastAsia"/>
          <w:highlight w:val="yellow"/>
          <w:lang w:eastAsia="zh-CN"/>
        </w:rPr>
        <w:t>说法错误</w:t>
      </w:r>
      <w:r w:rsidR="00D01A24">
        <w:rPr>
          <w:rFonts w:ascii="黑体" w:eastAsia="黑体" w:hAnsi="黑体" w:cs="黑体" w:hint="eastAsia"/>
          <w:highlight w:val="yellow"/>
          <w:lang w:eastAsia="zh-CN"/>
        </w:rPr>
        <w:t>（投资于E</w:t>
      </w:r>
      <w:r w:rsidR="00D01A24">
        <w:rPr>
          <w:rFonts w:ascii="黑体" w:eastAsia="黑体" w:hAnsi="黑体" w:cs="黑体"/>
          <w:highlight w:val="yellow"/>
          <w:lang w:eastAsia="zh-CN"/>
        </w:rPr>
        <w:t>TF</w:t>
      </w:r>
      <w:r w:rsidR="00D01A24">
        <w:rPr>
          <w:rFonts w:ascii="黑体" w:eastAsia="黑体" w:hAnsi="黑体" w:cs="黑体" w:hint="eastAsia"/>
          <w:highlight w:val="yellow"/>
          <w:lang w:eastAsia="zh-CN"/>
        </w:rPr>
        <w:t>基金的基金）</w:t>
      </w:r>
    </w:p>
    <w:p w14:paraId="6C38B4A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80</w:t>
      </w:r>
      <w:r>
        <w:rPr>
          <w:rFonts w:ascii="黑体" w:eastAsia="黑体" w:hAnsi="黑体" w:cs="黑体" w:hint="eastAsia"/>
          <w:lang w:eastAsia="zh-CN"/>
        </w:rPr>
        <w:t>、在开发机构大客户时，有违基金销售机构人员行为规范的是</w:t>
      </w:r>
      <w:r>
        <w:rPr>
          <w:rFonts w:ascii="黑体" w:eastAsia="黑体" w:hAnsi="黑体" w:cs="黑体" w:hint="eastAsia"/>
          <w:lang w:eastAsia="zh-CN"/>
        </w:rPr>
        <w:t>（）</w:t>
      </w:r>
      <w:r>
        <w:rPr>
          <w:rFonts w:ascii="黑体" w:eastAsia="黑体" w:hAnsi="黑体" w:cs="黑体" w:hint="eastAsia"/>
          <w:lang w:eastAsia="zh-CN"/>
        </w:rPr>
        <w:t>。</w:t>
      </w:r>
    </w:p>
    <w:p w14:paraId="5678283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承诺</w:t>
      </w:r>
      <w:r>
        <w:rPr>
          <w:rFonts w:ascii="黑体" w:eastAsia="黑体" w:hAnsi="黑体" w:cs="黑体" w:hint="eastAsia"/>
          <w:lang w:eastAsia="zh-CN"/>
        </w:rPr>
        <w:t>基金经理定期不定期与其保持密切联系</w:t>
      </w:r>
    </w:p>
    <w:p w14:paraId="5AAB980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承诺通过财务处理降低收费标准</w:t>
      </w:r>
    </w:p>
    <w:p w14:paraId="03F41A6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承诺及时地将公开的信息与其沟通</w:t>
      </w:r>
    </w:p>
    <w:p w14:paraId="46A60E2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承诺定期提供详尽的投资策略报告</w:t>
      </w:r>
    </w:p>
    <w:p w14:paraId="6B78D59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15A7C8C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销售机构在基金销售活动中，不得有下列行为：①在签订销售协议或销售基金的活动中进行商业贿赔；②以排挤竞争对手为目的，压低基金的收费水平；③未经公告擅自变更向基金投资人的收费项目或收费标准，或通过先收后返、财务处理等方式变相降低收费标准；④采取抽奖、回扣或者送实物、保险、基金份额等方式销售基金；⑤其他违反法律、行政法规的规定，扰乱行业竞</w:t>
      </w:r>
      <w:r>
        <w:rPr>
          <w:rFonts w:ascii="黑体" w:eastAsia="黑体" w:hAnsi="黑体" w:cs="黑体" w:hint="eastAsia"/>
          <w:lang w:eastAsia="zh-CN"/>
        </w:rPr>
        <w:t>争秩序的行为。</w:t>
      </w:r>
    </w:p>
    <w:p w14:paraId="60CDF43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81</w:t>
      </w:r>
      <w:r>
        <w:rPr>
          <w:rFonts w:ascii="黑体" w:eastAsia="黑体" w:hAnsi="黑体" w:cs="黑体" w:hint="eastAsia"/>
          <w:lang w:eastAsia="zh-CN"/>
        </w:rPr>
        <w:t>、基金股票投资组合重大变动的披露内容不包括</w:t>
      </w:r>
      <w:r>
        <w:rPr>
          <w:rFonts w:ascii="黑体" w:eastAsia="黑体" w:hAnsi="黑体" w:cs="黑体" w:hint="eastAsia"/>
          <w:lang w:eastAsia="zh-CN"/>
        </w:rPr>
        <w:t>（）</w:t>
      </w:r>
      <w:r>
        <w:rPr>
          <w:rFonts w:ascii="黑体" w:eastAsia="黑体" w:hAnsi="黑体" w:cs="黑体" w:hint="eastAsia"/>
          <w:lang w:eastAsia="zh-CN"/>
        </w:rPr>
        <w:t>。</w:t>
      </w:r>
    </w:p>
    <w:p w14:paraId="581F138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整个报告期内卖出股票的收入总额</w:t>
      </w:r>
    </w:p>
    <w:p w14:paraId="3B3E41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B.</w:t>
      </w:r>
      <w:r>
        <w:rPr>
          <w:rFonts w:ascii="黑体" w:eastAsia="黑体" w:hAnsi="黑体" w:cs="黑体" w:hint="eastAsia"/>
          <w:lang w:eastAsia="zh-CN"/>
        </w:rPr>
        <w:t>对累计买入、累计卖出价值前</w:t>
      </w:r>
      <w:r>
        <w:rPr>
          <w:rFonts w:ascii="黑体" w:eastAsia="黑体" w:hAnsi="黑体" w:cs="黑体" w:hint="eastAsia"/>
          <w:lang w:eastAsia="zh-CN"/>
        </w:rPr>
        <w:t>20</w:t>
      </w:r>
      <w:r>
        <w:rPr>
          <w:rFonts w:ascii="黑体" w:eastAsia="黑体" w:hAnsi="黑体" w:cs="黑体" w:hint="eastAsia"/>
          <w:lang w:eastAsia="zh-CN"/>
        </w:rPr>
        <w:t>名的股票价值低于</w:t>
      </w:r>
      <w:r>
        <w:rPr>
          <w:rFonts w:ascii="黑体" w:eastAsia="黑体" w:hAnsi="黑体" w:cs="黑体" w:hint="eastAsia"/>
          <w:lang w:eastAsia="zh-CN"/>
        </w:rPr>
        <w:t>2</w:t>
      </w:r>
      <w:r>
        <w:rPr>
          <w:rFonts w:ascii="黑体" w:eastAsia="黑体" w:hAnsi="黑体" w:cs="黑体" w:hint="eastAsia"/>
          <w:lang w:eastAsia="zh-CN"/>
        </w:rPr>
        <w:t>％的，应披露至少前</w:t>
      </w:r>
      <w:r>
        <w:rPr>
          <w:rFonts w:ascii="黑体" w:eastAsia="黑体" w:hAnsi="黑体" w:cs="黑体" w:hint="eastAsia"/>
          <w:lang w:eastAsia="zh-CN"/>
        </w:rPr>
        <w:t>20</w:t>
      </w:r>
      <w:r>
        <w:rPr>
          <w:rFonts w:ascii="黑体" w:eastAsia="黑体" w:hAnsi="黑体" w:cs="黑体" w:hint="eastAsia"/>
          <w:lang w:eastAsia="zh-CN"/>
        </w:rPr>
        <w:t>名的股票明细</w:t>
      </w:r>
    </w:p>
    <w:p w14:paraId="5E646CB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整个报告期内买入股票的成本总额</w:t>
      </w:r>
    </w:p>
    <w:p w14:paraId="4DABD4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报告期内基金合同生效的基金，应披露累计买入、累计卖出价值超出期末基金资产净值的</w:t>
      </w:r>
      <w:r>
        <w:rPr>
          <w:rFonts w:ascii="黑体" w:eastAsia="黑体" w:hAnsi="黑体" w:cs="黑体" w:hint="eastAsia"/>
          <w:lang w:eastAsia="zh-CN"/>
        </w:rPr>
        <w:t>1</w:t>
      </w:r>
      <w:r>
        <w:rPr>
          <w:rFonts w:ascii="黑体" w:eastAsia="黑体" w:hAnsi="黑体" w:cs="黑体" w:hint="eastAsia"/>
          <w:lang w:eastAsia="zh-CN"/>
        </w:rPr>
        <w:t>％股票明细</w:t>
      </w:r>
    </w:p>
    <w:p w14:paraId="53F6483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2A3E19D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【试题解析】：基金股票投资组合重大变动的披露内容包括：①报告期内累计买入、累计卖出价值超出期</w:t>
      </w:r>
      <w:proofErr w:type="gramStart"/>
      <w:r>
        <w:rPr>
          <w:rFonts w:ascii="黑体" w:eastAsia="黑体" w:hAnsi="黑体" w:cs="黑体" w:hint="eastAsia"/>
          <w:lang w:eastAsia="zh-CN"/>
        </w:rPr>
        <w:t>初基金</w:t>
      </w:r>
      <w:proofErr w:type="gramEnd"/>
      <w:r>
        <w:rPr>
          <w:rFonts w:ascii="黑体" w:eastAsia="黑体" w:hAnsi="黑体" w:cs="黑体" w:hint="eastAsia"/>
          <w:lang w:eastAsia="zh-CN"/>
        </w:rPr>
        <w:t>资产净值</w:t>
      </w:r>
      <w:r>
        <w:rPr>
          <w:rFonts w:ascii="黑体" w:eastAsia="黑体" w:hAnsi="黑体" w:cs="黑体" w:hint="eastAsia"/>
          <w:lang w:eastAsia="zh-CN"/>
        </w:rPr>
        <w:t>2</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报告期内基金合同生效的基金，采用期末基金资产净值的</w:t>
      </w:r>
      <w:r>
        <w:rPr>
          <w:rFonts w:ascii="黑体" w:eastAsia="黑体" w:hAnsi="黑体" w:cs="黑体" w:hint="eastAsia"/>
          <w:lang w:eastAsia="zh-CN"/>
        </w:rPr>
        <w:t>2</w:t>
      </w:r>
      <w:r>
        <w:rPr>
          <w:rFonts w:ascii="黑体" w:eastAsia="黑体" w:hAnsi="黑体" w:cs="黑体" w:hint="eastAsia"/>
          <w:lang w:eastAsia="zh-CN"/>
        </w:rPr>
        <w:t>％</w:t>
      </w:r>
      <w:r>
        <w:rPr>
          <w:rFonts w:ascii="黑体" w:eastAsia="黑体" w:hAnsi="黑体" w:cs="黑体" w:hint="eastAsia"/>
          <w:lang w:eastAsia="zh-CN"/>
        </w:rPr>
        <w:t>)</w:t>
      </w:r>
      <w:r>
        <w:rPr>
          <w:rFonts w:ascii="黑体" w:eastAsia="黑体" w:hAnsi="黑体" w:cs="黑体" w:hint="eastAsia"/>
          <w:lang w:eastAsia="zh-CN"/>
        </w:rPr>
        <w:t>的股票明细。②对累计买入、累计卖出价值前</w:t>
      </w:r>
      <w:r>
        <w:rPr>
          <w:rFonts w:ascii="黑体" w:eastAsia="黑体" w:hAnsi="黑体" w:cs="黑体" w:hint="eastAsia"/>
          <w:lang w:eastAsia="zh-CN"/>
        </w:rPr>
        <w:t>20</w:t>
      </w:r>
      <w:r>
        <w:rPr>
          <w:rFonts w:ascii="黑体" w:eastAsia="黑体" w:hAnsi="黑体" w:cs="黑体" w:hint="eastAsia"/>
          <w:lang w:eastAsia="zh-CN"/>
        </w:rPr>
        <w:t>名的股票价值低于</w:t>
      </w:r>
      <w:r>
        <w:rPr>
          <w:rFonts w:ascii="黑体" w:eastAsia="黑体" w:hAnsi="黑体" w:cs="黑体" w:hint="eastAsia"/>
          <w:lang w:eastAsia="zh-CN"/>
        </w:rPr>
        <w:t>2</w:t>
      </w:r>
      <w:r>
        <w:rPr>
          <w:rFonts w:ascii="黑体" w:eastAsia="黑体" w:hAnsi="黑体" w:cs="黑体" w:hint="eastAsia"/>
          <w:lang w:eastAsia="zh-CN"/>
        </w:rPr>
        <w:t>％的，应披露至少前</w:t>
      </w:r>
      <w:r>
        <w:rPr>
          <w:rFonts w:ascii="黑体" w:eastAsia="黑体" w:hAnsi="黑体" w:cs="黑体" w:hint="eastAsia"/>
          <w:lang w:eastAsia="zh-CN"/>
        </w:rPr>
        <w:t>20</w:t>
      </w:r>
      <w:r>
        <w:rPr>
          <w:rFonts w:ascii="黑体" w:eastAsia="黑体" w:hAnsi="黑体" w:cs="黑体" w:hint="eastAsia"/>
          <w:lang w:eastAsia="zh-CN"/>
        </w:rPr>
        <w:t>名的股票明细。③整个报告期内买入股票的成本总额及卖出股票的收入总额。</w:t>
      </w:r>
    </w:p>
    <w:p w14:paraId="2B72F4A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82</w:t>
      </w:r>
      <w:r>
        <w:rPr>
          <w:rFonts w:ascii="黑体" w:eastAsia="黑体" w:hAnsi="黑体" w:cs="黑体" w:hint="eastAsia"/>
          <w:lang w:eastAsia="zh-CN"/>
        </w:rPr>
        <w:t>、合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管理部门的基本职责包括</w:t>
      </w:r>
      <w:r>
        <w:rPr>
          <w:rFonts w:ascii="黑体" w:eastAsia="黑体" w:hAnsi="黑体" w:cs="黑体" w:hint="eastAsia"/>
          <w:lang w:eastAsia="zh-CN"/>
        </w:rPr>
        <w:t>()</w:t>
      </w:r>
      <w:r>
        <w:rPr>
          <w:rFonts w:ascii="黑体" w:eastAsia="黑体" w:hAnsi="黑体" w:cs="黑体" w:hint="eastAsia"/>
          <w:lang w:eastAsia="zh-CN"/>
        </w:rPr>
        <w:t>。</w:t>
      </w:r>
    </w:p>
    <w:p w14:paraId="741F609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制定并执行风险为本的合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管理计划</w:t>
      </w:r>
    </w:p>
    <w:p w14:paraId="72C938C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审核评价基金管理人各项政策、程序和操作指南的合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w:t>
      </w:r>
      <w:r>
        <w:rPr>
          <w:rFonts w:ascii="黑体" w:eastAsia="黑体" w:hAnsi="黑体" w:cs="黑体" w:hint="eastAsia"/>
          <w:lang w:eastAsia="zh-CN"/>
        </w:rPr>
        <w:tab/>
      </w:r>
    </w:p>
    <w:p w14:paraId="2C930B1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协助相关培训和教育部门对员工进行合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培训</w:t>
      </w:r>
    </w:p>
    <w:p w14:paraId="201C8BF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决定</w:t>
      </w:r>
      <w:r>
        <w:rPr>
          <w:rFonts w:ascii="黑体" w:eastAsia="黑体" w:hAnsi="黑体" w:cs="黑体" w:hint="eastAsia"/>
          <w:lang w:eastAsia="zh-CN"/>
        </w:rPr>
        <w:t>公司的合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管理部门的设置和职能</w:t>
      </w:r>
    </w:p>
    <w:p w14:paraId="0232D8E1" w14:textId="77777777" w:rsidR="0082448A" w:rsidRDefault="00054E88">
      <w:pPr>
        <w:numPr>
          <w:ilvl w:val="0"/>
          <w:numId w:val="14"/>
        </w:numPr>
        <w:spacing w:line="360" w:lineRule="auto"/>
        <w:rPr>
          <w:rFonts w:ascii="黑体" w:eastAsia="黑体" w:hAnsi="黑体" w:cs="黑体"/>
        </w:rPr>
      </w:pPr>
      <w:proofErr w:type="spellStart"/>
      <w:r>
        <w:rPr>
          <w:rFonts w:ascii="黑体" w:eastAsia="黑体" w:hAnsi="黑体" w:cs="黑体" w:hint="eastAsia"/>
        </w:rPr>
        <w:t>Ⅰ、Ⅱ、Ⅲ</w:t>
      </w:r>
      <w:proofErr w:type="spellEnd"/>
    </w:p>
    <w:p w14:paraId="73B6E828" w14:textId="77777777" w:rsidR="0082448A" w:rsidRDefault="00054E88">
      <w:pPr>
        <w:numPr>
          <w:ilvl w:val="0"/>
          <w:numId w:val="14"/>
        </w:numPr>
        <w:spacing w:line="360" w:lineRule="auto"/>
        <w:rPr>
          <w:rFonts w:ascii="黑体" w:eastAsia="黑体" w:hAnsi="黑体" w:cs="黑体"/>
        </w:rPr>
      </w:pPr>
      <w:proofErr w:type="spellStart"/>
      <w:r>
        <w:rPr>
          <w:rFonts w:ascii="黑体" w:eastAsia="黑体" w:hAnsi="黑体" w:cs="黑体" w:hint="eastAsia"/>
        </w:rPr>
        <w:t>Ⅰ、Ⅱ、Ⅳ</w:t>
      </w:r>
      <w:proofErr w:type="spellEnd"/>
    </w:p>
    <w:p w14:paraId="4AF53E1E"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Ⅰ、Ⅲ、Ⅳ</w:t>
      </w:r>
      <w:proofErr w:type="spellEnd"/>
    </w:p>
    <w:p w14:paraId="3D5CF1EB"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Ⅰ、Ⅱ、Ⅲ、Ⅳ</w:t>
      </w:r>
      <w:proofErr w:type="spellEnd"/>
    </w:p>
    <w:p w14:paraId="31B9A93A" w14:textId="77777777" w:rsidR="0082448A" w:rsidRDefault="00054E88">
      <w:pPr>
        <w:spacing w:line="360" w:lineRule="auto"/>
        <w:rPr>
          <w:rFonts w:ascii="黑体" w:eastAsia="黑体" w:hAnsi="黑体" w:cs="黑体"/>
        </w:rPr>
      </w:pP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A</w:t>
      </w:r>
    </w:p>
    <w:p w14:paraId="3A9DDC4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管理部门应在督察长的管理下协助高级管理</w:t>
      </w:r>
      <w:proofErr w:type="gramStart"/>
      <w:r>
        <w:rPr>
          <w:rFonts w:ascii="黑体" w:eastAsia="黑体" w:hAnsi="黑体" w:cs="黑体" w:hint="eastAsia"/>
          <w:lang w:eastAsia="zh-CN"/>
        </w:rPr>
        <w:t>层有效</w:t>
      </w:r>
      <w:proofErr w:type="gramEnd"/>
      <w:r>
        <w:rPr>
          <w:rFonts w:ascii="黑体" w:eastAsia="黑体" w:hAnsi="黑体" w:cs="黑体" w:hint="eastAsia"/>
          <w:lang w:eastAsia="zh-CN"/>
        </w:rPr>
        <w:t>识别和管理所面临的合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风险，履行以下基本职责：</w:t>
      </w:r>
    </w:p>
    <w:p w14:paraId="5518713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持续关注法律、规则和准则的最新发展，正确理解法律、规则和准则的规定及其精神，准确把握法律、规则和准则对基金经营的影响，及时为高级管理层提供合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建议。</w:t>
      </w:r>
    </w:p>
    <w:p w14:paraId="25BB907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Pr>
          <w:rFonts w:ascii="黑体" w:eastAsia="黑体" w:hAnsi="黑体" w:cs="黑体" w:hint="eastAsia"/>
          <w:lang w:eastAsia="zh-CN"/>
        </w:rPr>
        <w:t>制定并执行风险为本的合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管理计划，包括特定政策和程序的实施与评价、合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风险评估、合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性测试、合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培训与教育等。</w:t>
      </w:r>
    </w:p>
    <w:p w14:paraId="27A1DE0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审核评价基金管理人各项政策、程序和操作指南的合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性，组织、协调和督促各业务条线和内部控制部门对各项政策、程序和操作指南进行梳理和修订，确保各项政策、程序和操作指南符合法律、规则和准则的要求。</w:t>
      </w:r>
    </w:p>
    <w:p w14:paraId="07CF803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w:t>
      </w:r>
      <w:r>
        <w:rPr>
          <w:rFonts w:ascii="黑体" w:eastAsia="黑体" w:hAnsi="黑体" w:cs="黑体" w:hint="eastAsia"/>
          <w:lang w:eastAsia="zh-CN"/>
        </w:rPr>
        <w:t>协助相关培训和教育部门对员工进行合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培训，包括新员工的合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培训，以及所有员工的定期合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培训，并成为员工咨询有关合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问题的内部联络部门。</w:t>
      </w:r>
    </w:p>
    <w:p w14:paraId="3E77B23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(5)</w:t>
      </w:r>
      <w:r>
        <w:rPr>
          <w:rFonts w:ascii="黑体" w:eastAsia="黑体" w:hAnsi="黑体" w:cs="黑体" w:hint="eastAsia"/>
          <w:lang w:eastAsia="zh-CN"/>
        </w:rPr>
        <w:t>组织制定合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管理程序以及合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手册、员工行为准则等合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指南，并评估合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管理程序和合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指南的适当性，为员工恰当执行法律、规则和准则提供指导。</w:t>
      </w:r>
    </w:p>
    <w:p w14:paraId="10FD1D8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(6)</w:t>
      </w:r>
      <w:r>
        <w:rPr>
          <w:rFonts w:ascii="黑体" w:eastAsia="黑体" w:hAnsi="黑体" w:cs="黑体" w:hint="eastAsia"/>
          <w:lang w:eastAsia="zh-CN"/>
        </w:rPr>
        <w:t>积极主动地识别和评估与基金管理人经营活动相关的合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风险，包括为新产品和新业务的开发提供必要的合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性审核和测试，识别和评估新业务方式的拓展、新客户关系的建立以及客户关系的性质发生重大变化等所产生的合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w:t>
      </w:r>
    </w:p>
    <w:p w14:paraId="5962C8A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(7)</w:t>
      </w:r>
      <w:r>
        <w:rPr>
          <w:rFonts w:ascii="黑体" w:eastAsia="黑体" w:hAnsi="黑体" w:cs="黑体" w:hint="eastAsia"/>
          <w:lang w:eastAsia="zh-CN"/>
        </w:rPr>
        <w:t>收集、筛选可能预示潜在合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问题的数据，如消费者投</w:t>
      </w:r>
      <w:r>
        <w:rPr>
          <w:rFonts w:ascii="黑体" w:eastAsia="黑体" w:hAnsi="黑体" w:cs="黑体" w:hint="eastAsia"/>
          <w:lang w:eastAsia="zh-CN"/>
        </w:rPr>
        <w:t>诉的增长数、异常交易等，建立合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风险监测指标，按照风险矩阵衡量合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风险发生的可能性和影响，确定合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风险的优先考虑序列。</w:t>
      </w:r>
    </w:p>
    <w:p w14:paraId="3DB90EE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w:t>
      </w:r>
      <w:r>
        <w:rPr>
          <w:rFonts w:ascii="黑体" w:eastAsia="黑体" w:hAnsi="黑体" w:cs="黑体" w:hint="eastAsia"/>
          <w:lang w:eastAsia="zh-CN"/>
        </w:rPr>
        <w:t>实施充分且有代表性的合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风险评估和测试，包括通过现场审核对各项政策和程序的合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性进行测试，询问政策和程序存在的缺陷，并进行相应的调查，合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性测试结果应按照基金管理人的内部风险管理程序，通过合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风险报告路线向上报告，以确保各项政策和程序符合法律、规则和准则的要求。</w:t>
      </w:r>
    </w:p>
    <w:p w14:paraId="7F7E8CE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(9)</w:t>
      </w:r>
      <w:r>
        <w:rPr>
          <w:rFonts w:ascii="黑体" w:eastAsia="黑体" w:hAnsi="黑体" w:cs="黑体" w:hint="eastAsia"/>
          <w:lang w:eastAsia="zh-CN"/>
        </w:rPr>
        <w:t>保持与监管机构日常的工作联系，跟踪和评估监管意见和监管要求的落实情况。如基金管理合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部门可就基金募集、基金投资、管理</w:t>
      </w:r>
      <w:r>
        <w:rPr>
          <w:rFonts w:ascii="黑体" w:eastAsia="黑体" w:hAnsi="黑体" w:cs="黑体" w:hint="eastAsia"/>
          <w:lang w:eastAsia="zh-CN"/>
        </w:rPr>
        <w:t>人员变动等运作情况主动与监管机构进行沟通，通过监管机构相关信息的反馈避免合</w:t>
      </w:r>
      <w:proofErr w:type="gramStart"/>
      <w:r>
        <w:rPr>
          <w:rFonts w:ascii="黑体" w:eastAsia="黑体" w:hAnsi="黑体" w:cs="黑体" w:hint="eastAsia"/>
          <w:lang w:eastAsia="zh-CN"/>
        </w:rPr>
        <w:t>规</w:t>
      </w:r>
      <w:proofErr w:type="gramEnd"/>
      <w:r>
        <w:rPr>
          <w:rFonts w:ascii="黑体" w:eastAsia="黑体" w:hAnsi="黑体" w:cs="黑体" w:hint="eastAsia"/>
          <w:lang w:eastAsia="zh-CN"/>
        </w:rPr>
        <w:t>风险的发生。</w:t>
      </w:r>
    </w:p>
    <w:p w14:paraId="34EFC4C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83</w:t>
      </w:r>
      <w:r>
        <w:rPr>
          <w:rFonts w:ascii="黑体" w:eastAsia="黑体" w:hAnsi="黑体" w:cs="黑体" w:hint="eastAsia"/>
          <w:lang w:eastAsia="zh-CN"/>
        </w:rPr>
        <w:t>、基金销售机构的准入条件不包括</w:t>
      </w:r>
      <w:r>
        <w:rPr>
          <w:rFonts w:ascii="黑体" w:eastAsia="黑体" w:hAnsi="黑体" w:cs="黑体" w:hint="eastAsia"/>
          <w:lang w:eastAsia="zh-CN"/>
        </w:rPr>
        <w:t>（）</w:t>
      </w:r>
      <w:r>
        <w:rPr>
          <w:rFonts w:ascii="黑体" w:eastAsia="黑体" w:hAnsi="黑体" w:cs="黑体" w:hint="eastAsia"/>
          <w:lang w:eastAsia="zh-CN"/>
        </w:rPr>
        <w:t>。</w:t>
      </w:r>
    </w:p>
    <w:p w14:paraId="6D5D81F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财务状况良好，运作规范稳定</w:t>
      </w:r>
    </w:p>
    <w:p w14:paraId="375032A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办理基金发售、申购和赎回等业务的技术设施，测试结果低于符合国家规定的标准</w:t>
      </w:r>
    </w:p>
    <w:p w14:paraId="1AB5158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制定了完善的资金清算流程</w:t>
      </w:r>
    </w:p>
    <w:p w14:paraId="3008A1F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有符合法律法规要求的反洗</w:t>
      </w:r>
      <w:proofErr w:type="gramStart"/>
      <w:r>
        <w:rPr>
          <w:rFonts w:ascii="黑体" w:eastAsia="黑体" w:hAnsi="黑体" w:cs="黑体" w:hint="eastAsia"/>
          <w:lang w:eastAsia="zh-CN"/>
        </w:rPr>
        <w:t>钱内部</w:t>
      </w:r>
      <w:proofErr w:type="gramEnd"/>
      <w:r>
        <w:rPr>
          <w:rFonts w:ascii="黑体" w:eastAsia="黑体" w:hAnsi="黑体" w:cs="黑体" w:hint="eastAsia"/>
          <w:lang w:eastAsia="zh-CN"/>
        </w:rPr>
        <w:t>控制制度</w:t>
      </w:r>
    </w:p>
    <w:p w14:paraId="563AF9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2F7992C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Pr>
          <w:rFonts w:ascii="黑体" w:eastAsia="黑体" w:hAnsi="黑体" w:cs="黑体" w:hint="eastAsia"/>
          <w:lang w:eastAsia="zh-CN"/>
        </w:rPr>
        <w:t>B</w:t>
      </w:r>
      <w:r>
        <w:rPr>
          <w:rFonts w:ascii="黑体" w:eastAsia="黑体" w:hAnsi="黑体" w:cs="黑体" w:hint="eastAsia"/>
          <w:lang w:eastAsia="zh-CN"/>
        </w:rPr>
        <w:t>项正确表述是：有安全、高效的办理基金发售、申购和赎回等业务的技术设施，且符合中国证监会对基金销售业务信息管理平台的有关要求，基金销售业务的技术系统已与基金管理人、</w:t>
      </w:r>
      <w:r>
        <w:rPr>
          <w:rFonts w:ascii="黑体" w:eastAsia="黑体" w:hAnsi="黑体" w:cs="黑体" w:hint="eastAsia"/>
          <w:lang w:eastAsia="zh-CN"/>
        </w:rPr>
        <w:t>中国证券登记结算公司相应的技术系统进行了联网测试，测试结果符合国家规定的标准。</w:t>
      </w:r>
    </w:p>
    <w:p w14:paraId="660187E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84</w:t>
      </w:r>
      <w:r>
        <w:rPr>
          <w:rFonts w:ascii="黑体" w:eastAsia="黑体" w:hAnsi="黑体" w:cs="黑体" w:hint="eastAsia"/>
          <w:lang w:eastAsia="zh-CN"/>
        </w:rPr>
        <w:t>、下列哪一项不属于基金与银行储蓄存款的差别</w:t>
      </w:r>
      <w:r>
        <w:rPr>
          <w:rFonts w:ascii="黑体" w:eastAsia="黑体" w:hAnsi="黑体" w:cs="黑体" w:hint="eastAsia"/>
          <w:lang w:eastAsia="zh-CN"/>
        </w:rPr>
        <w:t>()</w:t>
      </w:r>
    </w:p>
    <w:p w14:paraId="63C89DE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性质不同</w:t>
      </w:r>
    </w:p>
    <w:p w14:paraId="225ED56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收益与风险特性不同</w:t>
      </w:r>
    </w:p>
    <w:p w14:paraId="2B2E920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投资方向不同</w:t>
      </w:r>
    </w:p>
    <w:p w14:paraId="34A447A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信息披露程度不同</w:t>
      </w:r>
    </w:p>
    <w:p w14:paraId="1D5D54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2080220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【试题解析】：基金与银行储蓄存款的差异：</w:t>
      </w:r>
    </w:p>
    <w:p w14:paraId="6EA6F4E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性质不同；</w:t>
      </w:r>
    </w:p>
    <w:p w14:paraId="160D69B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Pr>
          <w:rFonts w:ascii="黑体" w:eastAsia="黑体" w:hAnsi="黑体" w:cs="黑体" w:hint="eastAsia"/>
          <w:lang w:eastAsia="zh-CN"/>
        </w:rPr>
        <w:t>收益与风险特性不同；</w:t>
      </w:r>
    </w:p>
    <w:p w14:paraId="1B9DE68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信息披露程度不同。</w:t>
      </w:r>
    </w:p>
    <w:p w14:paraId="13A0A5D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85</w:t>
      </w:r>
      <w:r>
        <w:rPr>
          <w:rFonts w:ascii="黑体" w:eastAsia="黑体" w:hAnsi="黑体" w:cs="黑体" w:hint="eastAsia"/>
          <w:lang w:eastAsia="zh-CN"/>
        </w:rPr>
        <w:t>、根据《证券投资基金法》的规定，以下各事项中属于公募证券投资基金的招募说明书必备内容的是</w:t>
      </w:r>
      <w:r>
        <w:rPr>
          <w:rFonts w:ascii="黑体" w:eastAsia="黑体" w:hAnsi="黑体" w:cs="黑体" w:hint="eastAsia"/>
          <w:lang w:eastAsia="zh-CN"/>
        </w:rPr>
        <w:t>（）</w:t>
      </w:r>
      <w:r>
        <w:rPr>
          <w:rFonts w:ascii="黑体" w:eastAsia="黑体" w:hAnsi="黑体" w:cs="黑体" w:hint="eastAsia"/>
          <w:lang w:eastAsia="zh-CN"/>
        </w:rPr>
        <w:t>。</w:t>
      </w:r>
    </w:p>
    <w:p w14:paraId="15075E8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基金从事证券交易的清算交收安排</w:t>
      </w:r>
    </w:p>
    <w:p w14:paraId="56C1718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基金投资各类证券指令的发送和执行</w:t>
      </w:r>
    </w:p>
    <w:p w14:paraId="562DFD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基金管理人和托管人基本情况</w:t>
      </w:r>
    </w:p>
    <w:p w14:paraId="3D5A32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律师事务所为基金募集出具的法律意见书</w:t>
      </w:r>
    </w:p>
    <w:p w14:paraId="4841212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5A2C6B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【试题解析】：招募说明书的主要披露事项（</w:t>
      </w:r>
      <w:r>
        <w:rPr>
          <w:rFonts w:ascii="黑体" w:eastAsia="黑体" w:hAnsi="黑体" w:cs="黑体" w:hint="eastAsia"/>
          <w:lang w:eastAsia="zh-CN"/>
        </w:rPr>
        <w:t>1</w:t>
      </w:r>
      <w:r>
        <w:rPr>
          <w:rFonts w:ascii="黑体" w:eastAsia="黑体" w:hAnsi="黑体" w:cs="黑体" w:hint="eastAsia"/>
          <w:lang w:eastAsia="zh-CN"/>
        </w:rPr>
        <w:t>）招募说明书摘要。（</w:t>
      </w:r>
      <w:r>
        <w:rPr>
          <w:rFonts w:ascii="黑体" w:eastAsia="黑体" w:hAnsi="黑体" w:cs="黑体" w:hint="eastAsia"/>
          <w:lang w:eastAsia="zh-CN"/>
        </w:rPr>
        <w:t>2</w:t>
      </w:r>
      <w:r>
        <w:rPr>
          <w:rFonts w:ascii="黑体" w:eastAsia="黑体" w:hAnsi="黑体" w:cs="黑体" w:hint="eastAsia"/>
          <w:lang w:eastAsia="zh-CN"/>
        </w:rPr>
        <w:t>）基金募集申请的核准文件名称和核准日期。（</w:t>
      </w:r>
      <w:r>
        <w:rPr>
          <w:rFonts w:ascii="黑体" w:eastAsia="黑体" w:hAnsi="黑体" w:cs="黑体" w:hint="eastAsia"/>
          <w:lang w:eastAsia="zh-CN"/>
        </w:rPr>
        <w:t>3</w:t>
      </w:r>
      <w:r>
        <w:rPr>
          <w:rFonts w:ascii="黑体" w:eastAsia="黑体" w:hAnsi="黑体" w:cs="黑体" w:hint="eastAsia"/>
          <w:lang w:eastAsia="zh-CN"/>
        </w:rPr>
        <w:t>）基金管理人、基金托管人的基本情况。（</w:t>
      </w:r>
      <w:r>
        <w:rPr>
          <w:rFonts w:ascii="黑体" w:eastAsia="黑体" w:hAnsi="黑体" w:cs="黑体" w:hint="eastAsia"/>
          <w:lang w:eastAsia="zh-CN"/>
        </w:rPr>
        <w:t>4</w:t>
      </w:r>
      <w:r>
        <w:rPr>
          <w:rFonts w:ascii="黑体" w:eastAsia="黑体" w:hAnsi="黑体" w:cs="黑体" w:hint="eastAsia"/>
          <w:lang w:eastAsia="zh-CN"/>
        </w:rPr>
        <w:t>）基金份额的发售日期、价格、费用和期限。（</w:t>
      </w:r>
      <w:r>
        <w:rPr>
          <w:rFonts w:ascii="黑体" w:eastAsia="黑体" w:hAnsi="黑体" w:cs="黑体" w:hint="eastAsia"/>
          <w:lang w:eastAsia="zh-CN"/>
        </w:rPr>
        <w:t>5</w:t>
      </w:r>
      <w:r>
        <w:rPr>
          <w:rFonts w:ascii="黑体" w:eastAsia="黑体" w:hAnsi="黑体" w:cs="黑体" w:hint="eastAsia"/>
          <w:lang w:eastAsia="zh-CN"/>
        </w:rPr>
        <w:t>）基金份额的发售方式、发售机构及登记机构名称。（</w:t>
      </w:r>
      <w:r>
        <w:rPr>
          <w:rFonts w:ascii="黑体" w:eastAsia="黑体" w:hAnsi="黑体" w:cs="黑体" w:hint="eastAsia"/>
          <w:lang w:eastAsia="zh-CN"/>
        </w:rPr>
        <w:t>6</w:t>
      </w:r>
      <w:r>
        <w:rPr>
          <w:rFonts w:ascii="黑体" w:eastAsia="黑体" w:hAnsi="黑体" w:cs="黑体" w:hint="eastAsia"/>
          <w:lang w:eastAsia="zh-CN"/>
        </w:rPr>
        <w:t>）基</w:t>
      </w:r>
      <w:r>
        <w:rPr>
          <w:rFonts w:ascii="黑体" w:eastAsia="黑体" w:hAnsi="黑体" w:cs="黑体" w:hint="eastAsia"/>
          <w:lang w:eastAsia="zh-CN"/>
        </w:rPr>
        <w:t>金份额申购、赎回的场所、时间、程序、数额与价格，拒绝或暂停接受申购、暂停赎回或延缓支付、巨额赎回的安排等。（</w:t>
      </w:r>
      <w:r>
        <w:rPr>
          <w:rFonts w:ascii="黑体" w:eastAsia="黑体" w:hAnsi="黑体" w:cs="黑体" w:hint="eastAsia"/>
          <w:lang w:eastAsia="zh-CN"/>
        </w:rPr>
        <w:t>7</w:t>
      </w:r>
      <w:r>
        <w:rPr>
          <w:rFonts w:ascii="黑体" w:eastAsia="黑体" w:hAnsi="黑体" w:cs="黑体" w:hint="eastAsia"/>
          <w:lang w:eastAsia="zh-CN"/>
        </w:rPr>
        <w:t>）基金的投资目标、投资方向、投资策略、业绩比较基准、投资限制。（</w:t>
      </w:r>
      <w:r>
        <w:rPr>
          <w:rFonts w:ascii="黑体" w:eastAsia="黑体" w:hAnsi="黑体" w:cs="黑体" w:hint="eastAsia"/>
          <w:lang w:eastAsia="zh-CN"/>
        </w:rPr>
        <w:t>8</w:t>
      </w:r>
      <w:r>
        <w:rPr>
          <w:rFonts w:ascii="黑体" w:eastAsia="黑体" w:hAnsi="黑体" w:cs="黑体" w:hint="eastAsia"/>
          <w:lang w:eastAsia="zh-CN"/>
        </w:rPr>
        <w:t>）基金资产的估值。（</w:t>
      </w:r>
      <w:r>
        <w:rPr>
          <w:rFonts w:ascii="黑体" w:eastAsia="黑体" w:hAnsi="黑体" w:cs="黑体" w:hint="eastAsia"/>
          <w:lang w:eastAsia="zh-CN"/>
        </w:rPr>
        <w:t>9</w:t>
      </w:r>
      <w:r>
        <w:rPr>
          <w:rFonts w:ascii="黑体" w:eastAsia="黑体" w:hAnsi="黑体" w:cs="黑体" w:hint="eastAsia"/>
          <w:lang w:eastAsia="zh-CN"/>
        </w:rPr>
        <w:t>）基金管理人和基金托管人的报酬及其他基金运作费用的费率水平、收取方式。（</w:t>
      </w:r>
      <w:r>
        <w:rPr>
          <w:rFonts w:ascii="黑体" w:eastAsia="黑体" w:hAnsi="黑体" w:cs="黑体" w:hint="eastAsia"/>
          <w:lang w:eastAsia="zh-CN"/>
        </w:rPr>
        <w:t>10</w:t>
      </w:r>
      <w:r>
        <w:rPr>
          <w:rFonts w:ascii="黑体" w:eastAsia="黑体" w:hAnsi="黑体" w:cs="黑体" w:hint="eastAsia"/>
          <w:lang w:eastAsia="zh-CN"/>
        </w:rPr>
        <w:t>）基金认购费、申购费、赎回费、转换费的费率水平、计算公式、收取方式。（</w:t>
      </w:r>
      <w:r>
        <w:rPr>
          <w:rFonts w:ascii="黑体" w:eastAsia="黑体" w:hAnsi="黑体" w:cs="黑体" w:hint="eastAsia"/>
          <w:lang w:eastAsia="zh-CN"/>
        </w:rPr>
        <w:t>11</w:t>
      </w:r>
      <w:r>
        <w:rPr>
          <w:rFonts w:ascii="黑体" w:eastAsia="黑体" w:hAnsi="黑体" w:cs="黑体" w:hint="eastAsia"/>
          <w:lang w:eastAsia="zh-CN"/>
        </w:rPr>
        <w:t>）出具法律意见书的律师事务所和审计基金财产的会计师事务所的名称和住所。（</w:t>
      </w:r>
      <w:r>
        <w:rPr>
          <w:rFonts w:ascii="黑体" w:eastAsia="黑体" w:hAnsi="黑体" w:cs="黑体" w:hint="eastAsia"/>
          <w:lang w:eastAsia="zh-CN"/>
        </w:rPr>
        <w:t>12</w:t>
      </w:r>
      <w:r>
        <w:rPr>
          <w:rFonts w:ascii="黑体" w:eastAsia="黑体" w:hAnsi="黑体" w:cs="黑体" w:hint="eastAsia"/>
          <w:lang w:eastAsia="zh-CN"/>
        </w:rPr>
        <w:t>）风险警示内容。（</w:t>
      </w:r>
      <w:r>
        <w:rPr>
          <w:rFonts w:ascii="黑体" w:eastAsia="黑体" w:hAnsi="黑体" w:cs="黑体" w:hint="eastAsia"/>
          <w:lang w:eastAsia="zh-CN"/>
        </w:rPr>
        <w:t>13</w:t>
      </w:r>
      <w:r>
        <w:rPr>
          <w:rFonts w:ascii="黑体" w:eastAsia="黑体" w:hAnsi="黑体" w:cs="黑体" w:hint="eastAsia"/>
          <w:lang w:eastAsia="zh-CN"/>
        </w:rPr>
        <w:t>）基金合同和基金托管协议的内容摘要。</w:t>
      </w:r>
    </w:p>
    <w:p w14:paraId="50AE2EA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86</w:t>
      </w:r>
      <w:r>
        <w:rPr>
          <w:rFonts w:ascii="黑体" w:eastAsia="黑体" w:hAnsi="黑体" w:cs="黑体" w:hint="eastAsia"/>
          <w:lang w:eastAsia="zh-CN"/>
        </w:rPr>
        <w:t>、基金从业人员在执业活动</w:t>
      </w:r>
      <w:r>
        <w:rPr>
          <w:rFonts w:ascii="黑体" w:eastAsia="黑体" w:hAnsi="黑体" w:cs="黑体" w:hint="eastAsia"/>
          <w:lang w:eastAsia="zh-CN"/>
        </w:rPr>
        <w:t>中接触到的秘密不包括</w:t>
      </w:r>
      <w:r>
        <w:rPr>
          <w:rFonts w:ascii="黑体" w:eastAsia="黑体" w:hAnsi="黑体" w:cs="黑体" w:hint="eastAsia"/>
          <w:lang w:eastAsia="zh-CN"/>
        </w:rPr>
        <w:t>（）</w:t>
      </w:r>
      <w:r>
        <w:rPr>
          <w:rFonts w:ascii="黑体" w:eastAsia="黑体" w:hAnsi="黑体" w:cs="黑体" w:hint="eastAsia"/>
          <w:lang w:eastAsia="zh-CN"/>
        </w:rPr>
        <w:t>。</w:t>
      </w:r>
    </w:p>
    <w:p w14:paraId="453F894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商业秘密</w:t>
      </w:r>
      <w:r>
        <w:rPr>
          <w:rFonts w:ascii="黑体" w:eastAsia="黑体" w:hAnsi="黑体" w:cs="黑体" w:hint="eastAsia"/>
          <w:lang w:eastAsia="zh-CN"/>
        </w:rPr>
        <w:t>B.</w:t>
      </w:r>
      <w:r>
        <w:rPr>
          <w:rFonts w:ascii="黑体" w:eastAsia="黑体" w:hAnsi="黑体" w:cs="黑体" w:hint="eastAsia"/>
          <w:lang w:eastAsia="zh-CN"/>
        </w:rPr>
        <w:t>客户资料</w:t>
      </w:r>
      <w:r>
        <w:rPr>
          <w:rFonts w:ascii="黑体" w:eastAsia="黑体" w:hAnsi="黑体" w:cs="黑体" w:hint="eastAsia"/>
          <w:lang w:eastAsia="zh-CN"/>
        </w:rPr>
        <w:t>C.</w:t>
      </w:r>
      <w:r>
        <w:rPr>
          <w:rFonts w:ascii="黑体" w:eastAsia="黑体" w:hAnsi="黑体" w:cs="黑体" w:hint="eastAsia"/>
          <w:lang w:eastAsia="zh-CN"/>
        </w:rPr>
        <w:t>国家机密</w:t>
      </w:r>
      <w:r>
        <w:rPr>
          <w:rFonts w:ascii="黑体" w:eastAsia="黑体" w:hAnsi="黑体" w:cs="黑体" w:hint="eastAsia"/>
          <w:lang w:eastAsia="zh-CN"/>
        </w:rPr>
        <w:t>D.</w:t>
      </w:r>
      <w:r>
        <w:rPr>
          <w:rFonts w:ascii="黑体" w:eastAsia="黑体" w:hAnsi="黑体" w:cs="黑体" w:hint="eastAsia"/>
          <w:lang w:eastAsia="zh-CN"/>
        </w:rPr>
        <w:t>内幕信息</w:t>
      </w:r>
    </w:p>
    <w:p w14:paraId="3182BB91" w14:textId="77777777" w:rsidR="0082448A" w:rsidRDefault="0082448A">
      <w:pPr>
        <w:spacing w:line="360" w:lineRule="auto"/>
        <w:rPr>
          <w:rFonts w:ascii="黑体" w:eastAsia="黑体" w:hAnsi="黑体" w:cs="黑体"/>
          <w:lang w:eastAsia="zh-CN"/>
        </w:rPr>
      </w:pPr>
    </w:p>
    <w:p w14:paraId="7F6281C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011A139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【试题解析】：基金从业人员在执业活动中接触到的秘密主要包括三类：①商业秘密；②客户资料；③内幕信息。</w:t>
      </w:r>
    </w:p>
    <w:p w14:paraId="606EC01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87</w:t>
      </w:r>
      <w:r>
        <w:rPr>
          <w:rFonts w:ascii="黑体" w:eastAsia="黑体" w:hAnsi="黑体" w:cs="黑体" w:hint="eastAsia"/>
          <w:lang w:eastAsia="zh-CN"/>
        </w:rPr>
        <w:t>、下列有关公司业务持续风险的说法正确的是</w:t>
      </w:r>
      <w:r>
        <w:rPr>
          <w:rFonts w:ascii="黑体" w:eastAsia="黑体" w:hAnsi="黑体" w:cs="黑体" w:hint="eastAsia"/>
          <w:lang w:eastAsia="zh-CN"/>
        </w:rPr>
        <w:t>（）</w:t>
      </w:r>
      <w:r>
        <w:rPr>
          <w:rFonts w:ascii="黑体" w:eastAsia="黑体" w:hAnsi="黑体" w:cs="黑体" w:hint="eastAsia"/>
          <w:lang w:eastAsia="zh-CN"/>
        </w:rPr>
        <w:t>。</w:t>
      </w:r>
    </w:p>
    <w:p w14:paraId="13CC986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基金公司在公司总部及分公司须制定书面的商业应急和灾难恢复计划，每年至少定期测试</w:t>
      </w:r>
      <w:r>
        <w:rPr>
          <w:rFonts w:ascii="黑体" w:eastAsia="黑体" w:hAnsi="黑体" w:cs="黑体" w:hint="eastAsia"/>
          <w:lang w:eastAsia="zh-CN"/>
        </w:rPr>
        <w:t>2</w:t>
      </w:r>
      <w:r>
        <w:rPr>
          <w:rFonts w:ascii="黑体" w:eastAsia="黑体" w:hAnsi="黑体" w:cs="黑体" w:hint="eastAsia"/>
          <w:lang w:eastAsia="zh-CN"/>
        </w:rPr>
        <w:t>次</w:t>
      </w:r>
    </w:p>
    <w:p w14:paraId="2AFEE55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在计划中，建立危机处理决策、执行及责任机构</w:t>
      </w:r>
    </w:p>
    <w:p w14:paraId="0FB0BFC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制定各种可预期极端情况下的危机处理制度</w:t>
      </w:r>
    </w:p>
    <w:p w14:paraId="0AB9FD3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根据严重程度对危机进行分级归类和管理</w:t>
      </w:r>
    </w:p>
    <w:p w14:paraId="1C345BEF" w14:textId="77777777" w:rsidR="0082448A" w:rsidRDefault="00054E88">
      <w:pPr>
        <w:numPr>
          <w:ilvl w:val="0"/>
          <w:numId w:val="15"/>
        </w:numPr>
        <w:spacing w:line="360" w:lineRule="auto"/>
        <w:rPr>
          <w:rFonts w:ascii="黑体" w:eastAsia="黑体" w:hAnsi="黑体" w:cs="黑体"/>
        </w:rPr>
      </w:pPr>
      <w:proofErr w:type="spellStart"/>
      <w:r>
        <w:rPr>
          <w:rFonts w:ascii="黑体" w:eastAsia="黑体" w:hAnsi="黑体" w:cs="黑体" w:hint="eastAsia"/>
        </w:rPr>
        <w:t>Ⅰ、Ⅱ、Ⅲ</w:t>
      </w:r>
      <w:proofErr w:type="spellEnd"/>
    </w:p>
    <w:p w14:paraId="1FB7ACB4" w14:textId="77777777" w:rsidR="0082448A" w:rsidRDefault="00054E88">
      <w:pPr>
        <w:numPr>
          <w:ilvl w:val="0"/>
          <w:numId w:val="15"/>
        </w:numPr>
        <w:spacing w:line="360" w:lineRule="auto"/>
        <w:rPr>
          <w:rFonts w:ascii="黑体" w:eastAsia="黑体" w:hAnsi="黑体" w:cs="黑体"/>
        </w:rPr>
      </w:pPr>
      <w:proofErr w:type="spellStart"/>
      <w:r>
        <w:rPr>
          <w:rFonts w:ascii="黑体" w:eastAsia="黑体" w:hAnsi="黑体" w:cs="黑体" w:hint="eastAsia"/>
        </w:rPr>
        <w:t>Ⅰ、Ⅱ、Ⅳ</w:t>
      </w:r>
      <w:proofErr w:type="spellEnd"/>
    </w:p>
    <w:p w14:paraId="646936CD"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Ⅱ、Ⅲ、Ⅳ</w:t>
      </w:r>
      <w:proofErr w:type="spellEnd"/>
    </w:p>
    <w:p w14:paraId="33684644"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Ⅰ、Ⅱ、Ⅲ、Ⅳ</w:t>
      </w:r>
      <w:proofErr w:type="spellEnd"/>
    </w:p>
    <w:p w14:paraId="425C78D8" w14:textId="77777777" w:rsidR="0082448A" w:rsidRDefault="00054E88">
      <w:pPr>
        <w:spacing w:line="360" w:lineRule="auto"/>
        <w:rPr>
          <w:rFonts w:ascii="黑体" w:eastAsia="黑体" w:hAnsi="黑体" w:cs="黑体"/>
          <w:lang w:eastAsia="zh-CN"/>
        </w:rPr>
      </w:pP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C</w:t>
      </w:r>
    </w:p>
    <w:p w14:paraId="7094BD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业务持续风险是指由于公司危机处理机制、备份机制准备不足，导致危机发生时公司不能持续运作的风险。公司的业务持续风险管理系统应该包括两方面内容：一是日常运营中，公司主要业务的风险评估和监测办法、重要部门风险指标考核体系以及业务人员的道德风险防范系统等；二是危机情况下的风险处置，公司需要有灵活有效的应急、应变措施和危机处理机制。基金公司在公司总部及分公司均须制定书面的商业应急和灾难恢复计划，这些计划应覆盖公司主要业务运营的范围，明确负责灾难恢复和危机处理的人员</w:t>
      </w:r>
      <w:r>
        <w:rPr>
          <w:rFonts w:ascii="黑体" w:eastAsia="黑体" w:hAnsi="黑体" w:cs="黑体" w:hint="eastAsia"/>
          <w:lang w:eastAsia="zh-CN"/>
        </w:rPr>
        <w:t>以及各自应负的责任。在计划中，建立危机处理决策、执行及责任机构，制定各种可预期极端情况下的危机处理制度，包括危机认定、授权和责任、业务恢复顺序、事后检讨和完善等内容，并根据严重程度对危机进行分级归类和管理；建立危机预警机制，包括信息监测及反馈机制。</w:t>
      </w:r>
      <w:r w:rsidRPr="00B105F2">
        <w:rPr>
          <w:rFonts w:ascii="黑体" w:eastAsia="黑体" w:hAnsi="黑体" w:cs="黑体" w:hint="eastAsia"/>
          <w:highlight w:val="yellow"/>
          <w:lang w:eastAsia="zh-CN"/>
        </w:rPr>
        <w:t>应急和灾难恢复计划应该定期予以测试，每年至少测试演习一次</w:t>
      </w:r>
      <w:r>
        <w:rPr>
          <w:rFonts w:ascii="黑体" w:eastAsia="黑体" w:hAnsi="黑体" w:cs="黑体" w:hint="eastAsia"/>
          <w:lang w:eastAsia="zh-CN"/>
        </w:rPr>
        <w:t>(</w:t>
      </w:r>
      <w:proofErr w:type="gramStart"/>
      <w:r>
        <w:rPr>
          <w:rFonts w:ascii="黑体" w:eastAsia="黑体" w:hAnsi="黑体" w:cs="黑体" w:hint="eastAsia"/>
          <w:lang w:eastAsia="zh-CN"/>
        </w:rPr>
        <w:t>Ⅰ项说法</w:t>
      </w:r>
      <w:proofErr w:type="gramEnd"/>
      <w:r>
        <w:rPr>
          <w:rFonts w:ascii="黑体" w:eastAsia="黑体" w:hAnsi="黑体" w:cs="黑体" w:hint="eastAsia"/>
          <w:lang w:eastAsia="zh-CN"/>
        </w:rPr>
        <w:t>错误）。</w:t>
      </w:r>
    </w:p>
    <w:p w14:paraId="153C789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88</w:t>
      </w:r>
      <w:r>
        <w:rPr>
          <w:rFonts w:ascii="黑体" w:eastAsia="黑体" w:hAnsi="黑体" w:cs="黑体" w:hint="eastAsia"/>
          <w:lang w:eastAsia="zh-CN"/>
        </w:rPr>
        <w:t>、基金管理公司或基金代销机构使用基金宜传推介材料出现违规的情形，对直接负责的基金管理公司或基金代销机构高级管理人员和其他直接责任人员采取的监管措施不包括</w:t>
      </w:r>
      <w:r>
        <w:rPr>
          <w:rFonts w:ascii="黑体" w:eastAsia="黑体" w:hAnsi="黑体" w:cs="黑体" w:hint="eastAsia"/>
          <w:lang w:eastAsia="zh-CN"/>
        </w:rPr>
        <w:t>（）</w:t>
      </w:r>
      <w:r>
        <w:rPr>
          <w:rFonts w:ascii="黑体" w:eastAsia="黑体" w:hAnsi="黑体" w:cs="黑体" w:hint="eastAsia"/>
          <w:lang w:eastAsia="zh-CN"/>
        </w:rPr>
        <w:t>。</w:t>
      </w:r>
    </w:p>
    <w:p w14:paraId="4BEA6F3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开除职务</w:t>
      </w:r>
    </w:p>
    <w:p w14:paraId="7BB8E28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监管谈话</w:t>
      </w:r>
    </w:p>
    <w:p w14:paraId="7ED7173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出具警示函</w:t>
      </w:r>
    </w:p>
    <w:p w14:paraId="1CA20EB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记入诚信档案</w:t>
      </w:r>
    </w:p>
    <w:p w14:paraId="101B60D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A</w:t>
      </w:r>
    </w:p>
    <w:p w14:paraId="055DFFB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对直接负责的基金管理公司或基金代销机构高级管理人员和其他直接责任人员，采取监管谈话、出具警示函、记入诚信档案、暂停履行职务、认定为不适宜担任相关职务者等行政监管措施，或建议公司或机构免除有关高管人员的职务。</w:t>
      </w:r>
    </w:p>
    <w:p w14:paraId="022764B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89</w:t>
      </w:r>
      <w:r>
        <w:rPr>
          <w:rFonts w:ascii="黑体" w:eastAsia="黑体" w:hAnsi="黑体" w:cs="黑体" w:hint="eastAsia"/>
          <w:lang w:eastAsia="zh-CN"/>
        </w:rPr>
        <w:t>、封闭式基金份额上市交易，基金合同期限为</w:t>
      </w:r>
      <w:r>
        <w:rPr>
          <w:rFonts w:ascii="黑体" w:eastAsia="黑体" w:hAnsi="黑体" w:cs="黑体" w:hint="eastAsia"/>
          <w:lang w:eastAsia="zh-CN"/>
        </w:rPr>
        <w:t>（）</w:t>
      </w:r>
      <w:r>
        <w:rPr>
          <w:rFonts w:ascii="黑体" w:eastAsia="黑体" w:hAnsi="黑体" w:cs="黑体" w:hint="eastAsia"/>
          <w:lang w:eastAsia="zh-CN"/>
        </w:rPr>
        <w:t>年以上。</w:t>
      </w:r>
    </w:p>
    <w:p w14:paraId="3C4EE55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A.1</w:t>
      </w:r>
    </w:p>
    <w:p w14:paraId="39C225C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B.3</w:t>
      </w:r>
    </w:p>
    <w:p w14:paraId="68306A4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C.5</w:t>
      </w:r>
    </w:p>
    <w:p w14:paraId="246B2DD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D.10</w:t>
      </w:r>
    </w:p>
    <w:p w14:paraId="3EC991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55F10E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1A5CA9">
        <w:rPr>
          <w:rFonts w:ascii="黑体" w:eastAsia="黑体" w:hAnsi="黑体" w:cs="黑体" w:hint="eastAsia"/>
          <w:highlight w:val="yellow"/>
          <w:lang w:eastAsia="zh-CN"/>
        </w:rPr>
        <w:t>封闭式基金份额上市交易，基金合同期限为</w:t>
      </w:r>
      <w:r w:rsidRPr="001A5CA9">
        <w:rPr>
          <w:rFonts w:ascii="黑体" w:eastAsia="黑体" w:hAnsi="黑体" w:cs="黑体" w:hint="eastAsia"/>
          <w:highlight w:val="yellow"/>
          <w:lang w:eastAsia="zh-CN"/>
        </w:rPr>
        <w:t>5</w:t>
      </w:r>
      <w:r w:rsidRPr="001A5CA9">
        <w:rPr>
          <w:rFonts w:ascii="黑体" w:eastAsia="黑体" w:hAnsi="黑体" w:cs="黑体" w:hint="eastAsia"/>
          <w:highlight w:val="yellow"/>
          <w:lang w:eastAsia="zh-CN"/>
        </w:rPr>
        <w:t>年以上。</w:t>
      </w:r>
    </w:p>
    <w:p w14:paraId="1BB74B86" w14:textId="77777777" w:rsidR="0082448A" w:rsidRDefault="0082448A">
      <w:pPr>
        <w:spacing w:line="360" w:lineRule="auto"/>
        <w:rPr>
          <w:rFonts w:ascii="黑体" w:eastAsia="黑体" w:hAnsi="黑体" w:cs="黑体"/>
          <w:lang w:eastAsia="zh-CN"/>
        </w:rPr>
      </w:pPr>
    </w:p>
    <w:p w14:paraId="61D917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90</w:t>
      </w:r>
      <w:r>
        <w:rPr>
          <w:rFonts w:ascii="黑体" w:eastAsia="黑体" w:hAnsi="黑体" w:cs="黑体" w:hint="eastAsia"/>
          <w:lang w:eastAsia="zh-CN"/>
        </w:rPr>
        <w:t>、下列关于基金信息披露的作用，说法不正确的是</w:t>
      </w:r>
      <w:r>
        <w:rPr>
          <w:rFonts w:ascii="黑体" w:eastAsia="黑体" w:hAnsi="黑体" w:cs="黑体" w:hint="eastAsia"/>
          <w:lang w:eastAsia="zh-CN"/>
        </w:rPr>
        <w:t>（）</w:t>
      </w:r>
      <w:r>
        <w:rPr>
          <w:rFonts w:ascii="黑体" w:eastAsia="黑体" w:hAnsi="黑体" w:cs="黑体" w:hint="eastAsia"/>
          <w:lang w:eastAsia="zh-CN"/>
        </w:rPr>
        <w:t>。</w:t>
      </w:r>
    </w:p>
    <w:p w14:paraId="60589FA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A.</w:t>
      </w:r>
      <w:r>
        <w:rPr>
          <w:rFonts w:ascii="黑体" w:eastAsia="黑体" w:hAnsi="黑体" w:cs="黑体" w:hint="eastAsia"/>
          <w:lang w:eastAsia="zh-CN"/>
        </w:rPr>
        <w:t>基金信息披露有利于投资者的价值判断</w:t>
      </w:r>
    </w:p>
    <w:p w14:paraId="42F1CDF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基金信息披露有利于防止利益冲突与利益输送</w:t>
      </w:r>
    </w:p>
    <w:p w14:paraId="51785A9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基金信息披露有利于提高证券市场的效率</w:t>
      </w:r>
    </w:p>
    <w:p w14:paraId="11376F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基金信息披露在防止信息滥用方面作用不甚明显，只能够小范围短时间内防止信息滥用</w:t>
      </w:r>
      <w:r>
        <w:rPr>
          <w:rFonts w:ascii="黑体" w:eastAsia="黑体" w:hAnsi="黑体" w:cs="黑体" w:hint="eastAsia"/>
          <w:lang w:eastAsia="zh-CN"/>
        </w:rPr>
        <w:tab/>
      </w:r>
    </w:p>
    <w:p w14:paraId="16CEA0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0FE11C0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【试题解析】：基金信息披露的作用主要表现在四个方面：</w:t>
      </w:r>
    </w:p>
    <w:p w14:paraId="49FDFC4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、有利于投资者的价值判断。</w:t>
      </w:r>
    </w:p>
    <w:p w14:paraId="2FC537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Pr>
          <w:rFonts w:ascii="黑体" w:eastAsia="黑体" w:hAnsi="黑体" w:cs="黑体" w:hint="eastAsia"/>
          <w:lang w:eastAsia="zh-CN"/>
        </w:rPr>
        <w:t>、有利于防止利益冲突与利益输送。</w:t>
      </w:r>
    </w:p>
    <w:p w14:paraId="3BEFB47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、有利于提高证券市场的效率。</w:t>
      </w:r>
    </w:p>
    <w:p w14:paraId="75EB408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w:t>
      </w:r>
      <w:r>
        <w:rPr>
          <w:rFonts w:ascii="黑体" w:eastAsia="黑体" w:hAnsi="黑体" w:cs="黑体" w:hint="eastAsia"/>
          <w:lang w:eastAsia="zh-CN"/>
        </w:rPr>
        <w:t>、能有</w:t>
      </w:r>
      <w:r>
        <w:rPr>
          <w:rFonts w:ascii="黑体" w:eastAsia="黑体" w:hAnsi="黑体" w:cs="黑体" w:hint="eastAsia"/>
          <w:lang w:eastAsia="zh-CN"/>
        </w:rPr>
        <w:t>效防止信息滥用。</w:t>
      </w:r>
    </w:p>
    <w:p w14:paraId="5D183CB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91</w:t>
      </w:r>
      <w:r>
        <w:rPr>
          <w:rFonts w:ascii="黑体" w:eastAsia="黑体" w:hAnsi="黑体" w:cs="黑体" w:hint="eastAsia"/>
          <w:lang w:eastAsia="zh-CN"/>
        </w:rPr>
        <w:t>、基金产品风险评价所依据的因素不包括</w:t>
      </w:r>
      <w:r>
        <w:rPr>
          <w:rFonts w:ascii="黑体" w:eastAsia="黑体" w:hAnsi="黑体" w:cs="黑体" w:hint="eastAsia"/>
          <w:lang w:eastAsia="zh-CN"/>
        </w:rPr>
        <w:t>（）</w:t>
      </w:r>
      <w:r>
        <w:rPr>
          <w:rFonts w:ascii="黑体" w:eastAsia="黑体" w:hAnsi="黑体" w:cs="黑体" w:hint="eastAsia"/>
          <w:lang w:eastAsia="zh-CN"/>
        </w:rPr>
        <w:t>。</w:t>
      </w:r>
    </w:p>
    <w:p w14:paraId="05DDE3B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基金招募说明书所明示的投资方向、投资范围和投资比例</w:t>
      </w:r>
    </w:p>
    <w:p w14:paraId="2C75B5E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基金的历史规模和持仓比例</w:t>
      </w:r>
    </w:p>
    <w:p w14:paraId="3AD031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基金风险和收益的计算方法</w:t>
      </w:r>
    </w:p>
    <w:p w14:paraId="5FFEC91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基金成立以来有无违规行为发生</w:t>
      </w:r>
    </w:p>
    <w:p w14:paraId="4C74FA2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3EAC931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【试题解析】：基金产品风险评价应当至少依据以下四个因素：</w:t>
      </w:r>
    </w:p>
    <w:p w14:paraId="7D94922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w:t>
      </w:r>
      <w:r>
        <w:rPr>
          <w:rFonts w:ascii="黑体" w:eastAsia="黑体" w:hAnsi="黑体" w:cs="黑体" w:hint="eastAsia"/>
          <w:lang w:eastAsia="zh-CN"/>
        </w:rPr>
        <w:t>基金招募说明书所明示的投资方向、投资范围和投资比例；</w:t>
      </w:r>
    </w:p>
    <w:p w14:paraId="47B8D5F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(2)</w:t>
      </w:r>
      <w:r>
        <w:rPr>
          <w:rFonts w:ascii="黑体" w:eastAsia="黑体" w:hAnsi="黑体" w:cs="黑体" w:hint="eastAsia"/>
          <w:lang w:eastAsia="zh-CN"/>
        </w:rPr>
        <w:t>基金的历史规模和持仓比例；</w:t>
      </w:r>
    </w:p>
    <w:p w14:paraId="18F523E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(3)</w:t>
      </w:r>
      <w:r>
        <w:rPr>
          <w:rFonts w:ascii="黑体" w:eastAsia="黑体" w:hAnsi="黑体" w:cs="黑体" w:hint="eastAsia"/>
          <w:lang w:eastAsia="zh-CN"/>
        </w:rPr>
        <w:t>基金的过往业绩及基金净值的历史波动程度；</w:t>
      </w:r>
    </w:p>
    <w:p w14:paraId="0F6EE6C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(4)</w:t>
      </w:r>
      <w:r>
        <w:rPr>
          <w:rFonts w:ascii="黑体" w:eastAsia="黑体" w:hAnsi="黑体" w:cs="黑体" w:hint="eastAsia"/>
          <w:lang w:eastAsia="zh-CN"/>
        </w:rPr>
        <w:t>基金成立以来有无违规行为发生。</w:t>
      </w:r>
    </w:p>
    <w:p w14:paraId="2C97366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92</w:t>
      </w:r>
      <w:r>
        <w:rPr>
          <w:rFonts w:ascii="黑体" w:eastAsia="黑体" w:hAnsi="黑体" w:cs="黑体" w:hint="eastAsia"/>
          <w:lang w:eastAsia="zh-CN"/>
        </w:rPr>
        <w:t>、期货公司及其子公司从事资产管理业务包括</w:t>
      </w:r>
      <w:r>
        <w:rPr>
          <w:rFonts w:ascii="黑体" w:eastAsia="黑体" w:hAnsi="黑体" w:cs="黑体" w:hint="eastAsia"/>
          <w:lang w:eastAsia="zh-CN"/>
        </w:rPr>
        <w:t>（）</w:t>
      </w:r>
      <w:r>
        <w:rPr>
          <w:rFonts w:ascii="黑体" w:eastAsia="黑体" w:hAnsi="黑体" w:cs="黑体" w:hint="eastAsia"/>
          <w:lang w:eastAsia="zh-CN"/>
        </w:rPr>
        <w:t>。</w:t>
      </w:r>
    </w:p>
    <w:p w14:paraId="400FFC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Ⅰ</w:t>
      </w:r>
      <w:r>
        <w:rPr>
          <w:rFonts w:ascii="黑体" w:eastAsia="黑体" w:hAnsi="黑体" w:cs="黑体" w:hint="eastAsia"/>
          <w:lang w:eastAsia="zh-CN"/>
        </w:rPr>
        <w:t>.</w:t>
      </w:r>
      <w:r>
        <w:rPr>
          <w:rFonts w:ascii="黑体" w:eastAsia="黑体" w:hAnsi="黑体" w:cs="黑体" w:hint="eastAsia"/>
          <w:lang w:eastAsia="zh-CN"/>
        </w:rPr>
        <w:t>为单一客户办理资产管理业务</w:t>
      </w:r>
    </w:p>
    <w:p w14:paraId="404DA28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Ⅱ</w:t>
      </w:r>
      <w:r>
        <w:rPr>
          <w:rFonts w:ascii="黑体" w:eastAsia="黑体" w:hAnsi="黑体" w:cs="黑体" w:hint="eastAsia"/>
          <w:lang w:eastAsia="zh-CN"/>
        </w:rPr>
        <w:t>.</w:t>
      </w:r>
      <w:r>
        <w:rPr>
          <w:rFonts w:ascii="黑体" w:eastAsia="黑体" w:hAnsi="黑体" w:cs="黑体" w:hint="eastAsia"/>
          <w:lang w:eastAsia="zh-CN"/>
        </w:rPr>
        <w:t>为特定多个客户办理资产管理业务</w:t>
      </w:r>
    </w:p>
    <w:p w14:paraId="7D610F7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Ⅲ</w:t>
      </w:r>
      <w:r>
        <w:rPr>
          <w:rFonts w:ascii="黑体" w:eastAsia="黑体" w:hAnsi="黑体" w:cs="黑体" w:hint="eastAsia"/>
          <w:lang w:eastAsia="zh-CN"/>
        </w:rPr>
        <w:t>.</w:t>
      </w:r>
      <w:r>
        <w:rPr>
          <w:rFonts w:ascii="黑体" w:eastAsia="黑体" w:hAnsi="黑体" w:cs="黑体" w:hint="eastAsia"/>
          <w:lang w:eastAsia="zh-CN"/>
        </w:rPr>
        <w:t>为单一客户办理专项资产管理业务</w:t>
      </w:r>
    </w:p>
    <w:p w14:paraId="0F9B8D8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Ⅳ</w:t>
      </w:r>
      <w:r>
        <w:rPr>
          <w:rFonts w:ascii="黑体" w:eastAsia="黑体" w:hAnsi="黑体" w:cs="黑体" w:hint="eastAsia"/>
          <w:lang w:eastAsia="zh-CN"/>
        </w:rPr>
        <w:t>.</w:t>
      </w:r>
      <w:r>
        <w:rPr>
          <w:rFonts w:ascii="黑体" w:eastAsia="黑体" w:hAnsi="黑体" w:cs="黑体" w:hint="eastAsia"/>
          <w:lang w:eastAsia="zh-CN"/>
        </w:rPr>
        <w:t>为客户办理特定目的的专项资产管理业务</w:t>
      </w:r>
    </w:p>
    <w:p w14:paraId="5D90E4D5" w14:textId="77777777" w:rsidR="0082448A" w:rsidRDefault="00054E88">
      <w:pPr>
        <w:numPr>
          <w:ilvl w:val="0"/>
          <w:numId w:val="16"/>
        </w:numPr>
        <w:spacing w:line="360" w:lineRule="auto"/>
        <w:rPr>
          <w:rFonts w:ascii="黑体" w:eastAsia="黑体" w:hAnsi="黑体" w:cs="黑体"/>
        </w:rPr>
      </w:pPr>
      <w:proofErr w:type="spellStart"/>
      <w:r>
        <w:rPr>
          <w:rFonts w:ascii="黑体" w:eastAsia="黑体" w:hAnsi="黑体" w:cs="黑体" w:hint="eastAsia"/>
        </w:rPr>
        <w:t>Ⅰ、Ⅲ、Ⅳ</w:t>
      </w:r>
      <w:proofErr w:type="spellEnd"/>
    </w:p>
    <w:p w14:paraId="1AA79E17" w14:textId="77777777" w:rsidR="0082448A" w:rsidRDefault="00054E88">
      <w:pPr>
        <w:numPr>
          <w:ilvl w:val="0"/>
          <w:numId w:val="16"/>
        </w:numPr>
        <w:spacing w:line="360" w:lineRule="auto"/>
        <w:rPr>
          <w:rFonts w:ascii="黑体" w:eastAsia="黑体" w:hAnsi="黑体" w:cs="黑体"/>
        </w:rPr>
      </w:pPr>
      <w:proofErr w:type="spellStart"/>
      <w:r>
        <w:rPr>
          <w:rFonts w:ascii="黑体" w:eastAsia="黑体" w:hAnsi="黑体" w:cs="黑体" w:hint="eastAsia"/>
        </w:rPr>
        <w:t>Ⅱ、Ⅲ、Ⅳ</w:t>
      </w:r>
      <w:proofErr w:type="spellEnd"/>
    </w:p>
    <w:p w14:paraId="2B68A29C"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C.</w:t>
      </w:r>
      <w:r>
        <w:rPr>
          <w:rFonts w:ascii="黑体" w:eastAsia="黑体" w:hAnsi="黑体" w:cs="黑体" w:hint="eastAsia"/>
        </w:rPr>
        <w:t>Ⅰ、Ⅱ</w:t>
      </w:r>
      <w:proofErr w:type="spellEnd"/>
    </w:p>
    <w:p w14:paraId="683314BC" w14:textId="77777777" w:rsidR="0082448A" w:rsidRDefault="00054E88">
      <w:pPr>
        <w:spacing w:line="360" w:lineRule="auto"/>
        <w:rPr>
          <w:rFonts w:ascii="黑体" w:eastAsia="黑体" w:hAnsi="黑体" w:cs="黑体"/>
        </w:rPr>
      </w:pPr>
      <w:proofErr w:type="spellStart"/>
      <w:r>
        <w:rPr>
          <w:rFonts w:ascii="黑体" w:eastAsia="黑体" w:hAnsi="黑体" w:cs="黑体" w:hint="eastAsia"/>
        </w:rPr>
        <w:t>D.</w:t>
      </w:r>
      <w:r>
        <w:rPr>
          <w:rFonts w:ascii="黑体" w:eastAsia="黑体" w:hAnsi="黑体" w:cs="黑体" w:hint="eastAsia"/>
        </w:rPr>
        <w:t>Ⅰ、Ⅱ、Ⅳ</w:t>
      </w:r>
      <w:proofErr w:type="spellEnd"/>
    </w:p>
    <w:p w14:paraId="0AAF56E1" w14:textId="77777777" w:rsidR="0082448A" w:rsidRDefault="00054E88">
      <w:pPr>
        <w:spacing w:line="360" w:lineRule="auto"/>
        <w:rPr>
          <w:rFonts w:ascii="黑体" w:eastAsia="黑体" w:hAnsi="黑体" w:cs="黑体"/>
          <w:lang w:eastAsia="zh-CN"/>
        </w:rPr>
      </w:pPr>
      <w:r>
        <w:rPr>
          <w:rFonts w:ascii="黑体" w:eastAsia="黑体" w:hAnsi="黑体" w:cs="黑体" w:hint="eastAsia"/>
        </w:rPr>
        <w:t>【</w:t>
      </w:r>
      <w:proofErr w:type="spellStart"/>
      <w:r>
        <w:rPr>
          <w:rFonts w:ascii="黑体" w:eastAsia="黑体" w:hAnsi="黑体" w:cs="黑体" w:hint="eastAsia"/>
        </w:rPr>
        <w:t>标准答案</w:t>
      </w:r>
      <w:proofErr w:type="spellEnd"/>
      <w:r>
        <w:rPr>
          <w:rFonts w:ascii="黑体" w:eastAsia="黑体" w:hAnsi="黑体" w:cs="黑体" w:hint="eastAsia"/>
        </w:rPr>
        <w:t>】：</w:t>
      </w:r>
      <w:r>
        <w:rPr>
          <w:rFonts w:ascii="黑体" w:eastAsia="黑体" w:hAnsi="黑体" w:cs="黑体" w:hint="eastAsia"/>
        </w:rPr>
        <w:t>C</w:t>
      </w:r>
    </w:p>
    <w:p w14:paraId="03A49C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w:t>
      </w:r>
      <w:r w:rsidRPr="001A5CA9">
        <w:rPr>
          <w:rFonts w:ascii="黑体" w:eastAsia="黑体" w:hAnsi="黑体" w:cs="黑体" w:hint="eastAsia"/>
          <w:highlight w:val="yellow"/>
          <w:lang w:eastAsia="zh-CN"/>
        </w:rPr>
        <w:t>期货公司及其子公司从事资产管理业务包括为单一客户办理资产管理业务和为特定多个客户办理资产管理业务。</w:t>
      </w:r>
    </w:p>
    <w:p w14:paraId="5D10EAC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93</w:t>
      </w:r>
      <w:r>
        <w:rPr>
          <w:rFonts w:ascii="黑体" w:eastAsia="黑体" w:hAnsi="黑体" w:cs="黑体" w:hint="eastAsia"/>
          <w:lang w:eastAsia="zh-CN"/>
        </w:rPr>
        <w:t>、在避险策略基金中，一般本金保证比例为</w:t>
      </w:r>
      <w:r>
        <w:rPr>
          <w:rFonts w:ascii="黑体" w:eastAsia="黑体" w:hAnsi="黑体" w:cs="黑体" w:hint="eastAsia"/>
          <w:lang w:eastAsia="zh-CN"/>
        </w:rPr>
        <w:t>（）</w:t>
      </w:r>
      <w:r>
        <w:rPr>
          <w:rFonts w:ascii="黑体" w:eastAsia="黑体" w:hAnsi="黑体" w:cs="黑体" w:hint="eastAsia"/>
          <w:lang w:eastAsia="zh-CN"/>
        </w:rPr>
        <w:t>，但也有低于或高于这一比例的情况。</w:t>
      </w:r>
    </w:p>
    <w:p w14:paraId="6D0B48C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A.0.2</w:t>
      </w:r>
    </w:p>
    <w:p w14:paraId="64F2EF0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B.0.5</w:t>
      </w:r>
    </w:p>
    <w:p w14:paraId="56C7B99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C.0.8</w:t>
      </w:r>
    </w:p>
    <w:p w14:paraId="47272FC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D.1</w:t>
      </w:r>
    </w:p>
    <w:p w14:paraId="45614E1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【标准答案】：</w:t>
      </w:r>
      <w:r>
        <w:rPr>
          <w:rFonts w:ascii="黑体" w:eastAsia="黑体" w:hAnsi="黑体" w:cs="黑体" w:hint="eastAsia"/>
          <w:lang w:eastAsia="zh-CN"/>
        </w:rPr>
        <w:t>D</w:t>
      </w:r>
    </w:p>
    <w:p w14:paraId="40FDD64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【试题解析】：境外的避险策略基金形式多样。其中，基金提供的保证有本金保证、收益保证和红利保证，具体比例由基金公司自行规定。</w:t>
      </w:r>
      <w:r w:rsidRPr="00DA2115">
        <w:rPr>
          <w:rFonts w:ascii="黑体" w:eastAsia="黑体" w:hAnsi="黑体" w:cs="黑体" w:hint="eastAsia"/>
          <w:highlight w:val="yellow"/>
          <w:lang w:eastAsia="zh-CN"/>
        </w:rPr>
        <w:t>一般本金保证比例为</w:t>
      </w:r>
      <w:r w:rsidRPr="00DA2115">
        <w:rPr>
          <w:rFonts w:ascii="黑体" w:eastAsia="黑体" w:hAnsi="黑体" w:cs="黑体" w:hint="eastAsia"/>
          <w:highlight w:val="yellow"/>
          <w:lang w:eastAsia="zh-CN"/>
        </w:rPr>
        <w:t>100</w:t>
      </w:r>
      <w:r w:rsidRPr="00DA2115">
        <w:rPr>
          <w:rFonts w:ascii="黑体" w:eastAsia="黑体" w:hAnsi="黑体" w:cs="黑体" w:hint="eastAsia"/>
          <w:highlight w:val="yellow"/>
          <w:lang w:eastAsia="zh-CN"/>
        </w:rPr>
        <w:t>％，但也有低于</w:t>
      </w:r>
      <w:r w:rsidRPr="00DA2115">
        <w:rPr>
          <w:rFonts w:ascii="黑体" w:eastAsia="黑体" w:hAnsi="黑体" w:cs="黑体" w:hint="eastAsia"/>
          <w:highlight w:val="yellow"/>
          <w:lang w:eastAsia="zh-CN"/>
        </w:rPr>
        <w:t>100</w:t>
      </w:r>
      <w:r w:rsidRPr="00DA2115">
        <w:rPr>
          <w:rFonts w:ascii="黑体" w:eastAsia="黑体" w:hAnsi="黑体" w:cs="黑体" w:hint="eastAsia"/>
          <w:highlight w:val="yellow"/>
          <w:lang w:eastAsia="zh-CN"/>
        </w:rPr>
        <w:t>％或高于</w:t>
      </w:r>
      <w:r w:rsidRPr="00DA2115">
        <w:rPr>
          <w:rFonts w:ascii="黑体" w:eastAsia="黑体" w:hAnsi="黑体" w:cs="黑体" w:hint="eastAsia"/>
          <w:highlight w:val="yellow"/>
          <w:lang w:eastAsia="zh-CN"/>
        </w:rPr>
        <w:t>100</w:t>
      </w:r>
      <w:r w:rsidRPr="00DA2115">
        <w:rPr>
          <w:rFonts w:ascii="黑体" w:eastAsia="黑体" w:hAnsi="黑体" w:cs="黑体" w:hint="eastAsia"/>
          <w:highlight w:val="yellow"/>
          <w:lang w:eastAsia="zh-CN"/>
        </w:rPr>
        <w:t>％的情况。</w:t>
      </w:r>
    </w:p>
    <w:p w14:paraId="6511EFF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94</w:t>
      </w:r>
      <w:r>
        <w:rPr>
          <w:rFonts w:ascii="黑体" w:eastAsia="黑体" w:hAnsi="黑体" w:cs="黑体" w:hint="eastAsia"/>
          <w:lang w:eastAsia="zh-CN"/>
        </w:rPr>
        <w:t>、道德和法律都是行为规范，都是重要的社会调控手段，都属于</w:t>
      </w:r>
      <w:r>
        <w:rPr>
          <w:rFonts w:ascii="黑体" w:eastAsia="黑体" w:hAnsi="黑体" w:cs="黑体" w:hint="eastAsia"/>
          <w:lang w:eastAsia="zh-CN"/>
        </w:rPr>
        <w:t>（）</w:t>
      </w:r>
      <w:r>
        <w:rPr>
          <w:rFonts w:ascii="黑体" w:eastAsia="黑体" w:hAnsi="黑体" w:cs="黑体" w:hint="eastAsia"/>
          <w:lang w:eastAsia="zh-CN"/>
        </w:rPr>
        <w:t>范畴。</w:t>
      </w:r>
    </w:p>
    <w:p w14:paraId="7C2F4A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经济基础</w:t>
      </w:r>
    </w:p>
    <w:p w14:paraId="3D3C33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上层建筑</w:t>
      </w:r>
    </w:p>
    <w:p w14:paraId="4990890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自我约束</w:t>
      </w:r>
    </w:p>
    <w:p w14:paraId="48E6592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强制手段</w:t>
      </w:r>
    </w:p>
    <w:p w14:paraId="47F6945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59A6AF4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【试题解析】：道德和法律都是行为规范，都是重要的社会调控手段。二者都属于上层建筑范畴，都为一定的社会经济基础服务。</w:t>
      </w:r>
    </w:p>
    <w:p w14:paraId="6A9EAABA"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95</w:t>
      </w:r>
      <w:r>
        <w:rPr>
          <w:rFonts w:ascii="黑体" w:eastAsia="黑体" w:hAnsi="黑体" w:cs="黑体" w:hint="eastAsia"/>
          <w:lang w:eastAsia="zh-CN"/>
        </w:rPr>
        <w:t>、基金管理人内部控制的基本目标是</w:t>
      </w:r>
      <w:r>
        <w:rPr>
          <w:rFonts w:ascii="黑体" w:eastAsia="黑体" w:hAnsi="黑体" w:cs="黑体" w:hint="eastAsia"/>
          <w:lang w:eastAsia="zh-CN"/>
        </w:rPr>
        <w:t>（）</w:t>
      </w:r>
      <w:r>
        <w:rPr>
          <w:rFonts w:ascii="黑体" w:eastAsia="黑体" w:hAnsi="黑体" w:cs="黑体" w:hint="eastAsia"/>
          <w:lang w:eastAsia="zh-CN"/>
        </w:rPr>
        <w:t>。</w:t>
      </w:r>
    </w:p>
    <w:p w14:paraId="6408986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确保经营业务的稳健运行和受托资产的安全完整</w:t>
      </w:r>
    </w:p>
    <w:p w14:paraId="38CBAAC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实现公司的持续、稳定、健康发展</w:t>
      </w:r>
    </w:p>
    <w:p w14:paraId="78630B0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基金及其管理人的财务信息真实、完整</w:t>
      </w:r>
    </w:p>
    <w:p w14:paraId="0AA9EB2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防范和化解经营风险</w:t>
      </w:r>
    </w:p>
    <w:p w14:paraId="33ADE24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 xml:space="preserve">C </w:t>
      </w:r>
    </w:p>
    <w:p w14:paraId="30CF55E0" w14:textId="77777777" w:rsidR="0082448A" w:rsidRDefault="00054E88">
      <w:pPr>
        <w:spacing w:line="360" w:lineRule="auto"/>
        <w:rPr>
          <w:rFonts w:ascii="黑体" w:eastAsia="黑体" w:hAnsi="黑体" w:cs="黑体"/>
          <w:lang w:eastAsia="zh-CN"/>
        </w:rPr>
      </w:pPr>
      <w:r>
        <w:rPr>
          <w:rFonts w:ascii="黑体" w:eastAsia="黑体" w:hAnsi="黑体" w:cs="黑体"/>
          <w:lang w:eastAsia="zh-CN"/>
        </w:rPr>
        <w:t>【试题解析】：</w:t>
      </w:r>
      <w:r>
        <w:rPr>
          <w:rFonts w:ascii="黑体" w:eastAsia="黑体" w:hAnsi="黑体" w:cs="黑体" w:hint="eastAsia"/>
          <w:lang w:eastAsia="zh-CN"/>
        </w:rPr>
        <w:t>基金及其管理人的</w:t>
      </w:r>
      <w:r w:rsidRPr="00DA2115">
        <w:rPr>
          <w:rFonts w:ascii="黑体" w:eastAsia="黑体" w:hAnsi="黑体" w:cs="黑体" w:hint="eastAsia"/>
          <w:highlight w:val="yellow"/>
          <w:lang w:eastAsia="zh-CN"/>
        </w:rPr>
        <w:t>财务信息真实、完整</w:t>
      </w:r>
      <w:r>
        <w:rPr>
          <w:rFonts w:ascii="黑体" w:eastAsia="黑体" w:hAnsi="黑体" w:cs="黑体" w:hint="eastAsia"/>
          <w:lang w:eastAsia="zh-CN"/>
        </w:rPr>
        <w:t>既是基金管理人内部控制的</w:t>
      </w:r>
      <w:r w:rsidRPr="00DA2115">
        <w:rPr>
          <w:rFonts w:ascii="黑体" w:eastAsia="黑体" w:hAnsi="黑体" w:cs="黑体" w:hint="eastAsia"/>
          <w:highlight w:val="yellow"/>
          <w:lang w:eastAsia="zh-CN"/>
        </w:rPr>
        <w:t>基本目标</w:t>
      </w:r>
      <w:r>
        <w:rPr>
          <w:rFonts w:ascii="黑体" w:eastAsia="黑体" w:hAnsi="黑体" w:cs="黑体" w:hint="eastAsia"/>
          <w:lang w:eastAsia="zh-CN"/>
        </w:rPr>
        <w:t>，又是企业内部控制基本的、非常重要的手段。</w:t>
      </w:r>
    </w:p>
    <w:p w14:paraId="1D1E4B2B"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96</w:t>
      </w:r>
      <w:r>
        <w:rPr>
          <w:rFonts w:ascii="黑体" w:eastAsia="黑体" w:hAnsi="黑体" w:cs="黑体" w:hint="eastAsia"/>
          <w:lang w:eastAsia="zh-CN"/>
        </w:rPr>
        <w:t>、某基金公司挪用基金募集专户中的资金用于短期投资，有一定</w:t>
      </w:r>
      <w:r>
        <w:rPr>
          <w:rFonts w:ascii="黑体" w:eastAsia="黑体" w:hAnsi="黑体" w:cs="黑体" w:hint="eastAsia"/>
          <w:lang w:eastAsia="zh-CN"/>
        </w:rPr>
        <w:t>收益，募集结束后，基金公司将挪用的资金返还到基金募集专户中，后被中国证券监督管理委员会发现并查处，可能被采取的处罚是</w:t>
      </w:r>
      <w:r>
        <w:rPr>
          <w:rFonts w:ascii="黑体" w:eastAsia="黑体" w:hAnsi="黑体" w:cs="黑体" w:hint="eastAsia"/>
          <w:lang w:eastAsia="zh-CN"/>
        </w:rPr>
        <w:t>（）</w:t>
      </w:r>
      <w:r>
        <w:rPr>
          <w:rFonts w:ascii="黑体" w:eastAsia="黑体" w:hAnsi="黑体" w:cs="黑体" w:hint="eastAsia"/>
          <w:lang w:eastAsia="zh-CN"/>
        </w:rPr>
        <w:t>。</w:t>
      </w:r>
    </w:p>
    <w:p w14:paraId="2E366D7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收益应当</w:t>
      </w:r>
      <w:proofErr w:type="gramStart"/>
      <w:r>
        <w:rPr>
          <w:rFonts w:ascii="黑体" w:eastAsia="黑体" w:hAnsi="黑体" w:cs="黑体" w:hint="eastAsia"/>
          <w:lang w:eastAsia="zh-CN"/>
        </w:rPr>
        <w:t>归基金</w:t>
      </w:r>
      <w:proofErr w:type="gramEnd"/>
      <w:r>
        <w:rPr>
          <w:rFonts w:ascii="黑体" w:eastAsia="黑体" w:hAnsi="黑体" w:cs="黑体" w:hint="eastAsia"/>
          <w:lang w:eastAsia="zh-CN"/>
        </w:rPr>
        <w:t>财产</w:t>
      </w:r>
    </w:p>
    <w:p w14:paraId="7912349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收益应当</w:t>
      </w:r>
      <w:proofErr w:type="gramStart"/>
      <w:r>
        <w:rPr>
          <w:rFonts w:ascii="黑体" w:eastAsia="黑体" w:hAnsi="黑体" w:cs="黑体" w:hint="eastAsia"/>
          <w:lang w:eastAsia="zh-CN"/>
        </w:rPr>
        <w:t>归基金</w:t>
      </w:r>
      <w:proofErr w:type="gramEnd"/>
      <w:r>
        <w:rPr>
          <w:rFonts w:ascii="黑体" w:eastAsia="黑体" w:hAnsi="黑体" w:cs="黑体" w:hint="eastAsia"/>
          <w:lang w:eastAsia="zh-CN"/>
        </w:rPr>
        <w:t>公司</w:t>
      </w:r>
    </w:p>
    <w:p w14:paraId="4A784DD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收益应当归挪用时已经认购基金的投资人</w:t>
      </w:r>
    </w:p>
    <w:p w14:paraId="044EE19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收益被中国证券监督管理委员会没收</w:t>
      </w:r>
    </w:p>
    <w:p w14:paraId="6130FEF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2FB27B3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中国证监会发现基金机构在基金活动中存在违法违规行为的，应当对相关机构依法进行行政处罚。中国证监会可以采取的行政处罚指施主要包括：没收违法所得、罚款、责令改正、警告、暂停或者撤消基金从业资格、暂停或者撤消相关业务许可、责令停止等。</w:t>
      </w:r>
      <w:r>
        <w:rPr>
          <w:rFonts w:ascii="黑体" w:eastAsia="黑体" w:hAnsi="黑体" w:cs="黑体" w:hint="eastAsia"/>
          <w:lang w:eastAsia="zh-CN"/>
        </w:rPr>
        <w:t>挪用基金取得的收益属于违法所得，应当被中国证监没收。</w:t>
      </w:r>
    </w:p>
    <w:p w14:paraId="6D2E926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97</w:t>
      </w:r>
      <w:r>
        <w:rPr>
          <w:rFonts w:ascii="黑体" w:eastAsia="黑体" w:hAnsi="黑体" w:cs="黑体" w:hint="eastAsia"/>
          <w:lang w:eastAsia="zh-CN"/>
        </w:rPr>
        <w:t>、某基金公司员工甲认为，投资者保护是监管机构和自律组织的一项重要工作，与基金管理公司没有关系；员工乙认为，投资者保护工作可以提高投资者素质，因此可以确保投资者不发生亏损。针对甲乙两位员工的观点，以下判断正确的是</w:t>
      </w:r>
      <w:r>
        <w:rPr>
          <w:rFonts w:ascii="黑体" w:eastAsia="黑体" w:hAnsi="黑体" w:cs="黑体" w:hint="eastAsia"/>
          <w:lang w:eastAsia="zh-CN"/>
        </w:rPr>
        <w:t>（）</w:t>
      </w:r>
      <w:r>
        <w:rPr>
          <w:rFonts w:ascii="黑体" w:eastAsia="黑体" w:hAnsi="黑体" w:cs="黑体" w:hint="eastAsia"/>
          <w:lang w:eastAsia="zh-CN"/>
        </w:rPr>
        <w:t>。</w:t>
      </w:r>
    </w:p>
    <w:p w14:paraId="2EB33895"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甲的观点正确，乙的观点错误</w:t>
      </w:r>
    </w:p>
    <w:p w14:paraId="2C8E8AC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甲的观点错误，乙的观点错误</w:t>
      </w:r>
    </w:p>
    <w:p w14:paraId="736E447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甲的观点正确，乙的观点正确</w:t>
      </w:r>
    </w:p>
    <w:p w14:paraId="68464D9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甲的观点错误，乙的观点正确</w:t>
      </w:r>
    </w:p>
    <w:p w14:paraId="6C1BA67E"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B</w:t>
      </w:r>
    </w:p>
    <w:p w14:paraId="7BCF2DA6"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lastRenderedPageBreak/>
        <w:t>【试题解析】：投资者保护，是指针对个人投资者所进行的有目的、有计划、有组织地传播有关投资知识，传授有关投资经验，培养有关投资技能，倡导理性的投资观念，提示相关的投资风险，告知投资者的权利和保护途径，提高投资者素质（并最终起到保护投资者利益的作用）的一项系统的社会活动。其手段就是用简单的语言向投资者解释他们在投资过程中所面临的各种问题以及应对措施。投资者权益保护是国际证监会组织</w:t>
      </w:r>
      <w:r>
        <w:rPr>
          <w:rFonts w:ascii="黑体" w:eastAsia="黑体" w:hAnsi="黑体" w:cs="黑体" w:hint="eastAsia"/>
          <w:lang w:eastAsia="zh-CN"/>
        </w:rPr>
        <w:t>(</w:t>
      </w:r>
      <w:r>
        <w:rPr>
          <w:rFonts w:ascii="黑体" w:eastAsia="黑体" w:hAnsi="黑体" w:cs="黑体" w:hint="eastAsia"/>
          <w:lang w:eastAsia="zh-CN"/>
        </w:rPr>
        <w:t>Ⅰ</w:t>
      </w:r>
      <w:r>
        <w:rPr>
          <w:rFonts w:ascii="黑体" w:eastAsia="黑体" w:hAnsi="黑体" w:cs="黑体" w:hint="eastAsia"/>
          <w:lang w:eastAsia="zh-CN"/>
        </w:rPr>
        <w:t>OSCO</w:t>
      </w:r>
      <w:r>
        <w:rPr>
          <w:rFonts w:ascii="黑体" w:eastAsia="黑体" w:hAnsi="黑体" w:cs="黑体" w:hint="eastAsia"/>
          <w:lang w:eastAsia="zh-CN"/>
        </w:rPr>
        <w:t>）提出的证券监管三大目标之一。加强公司治理、健全投资者适当性制度、良好的投资者教育是投资者权益保护的几种重要手段。在发达国</w:t>
      </w:r>
      <w:r>
        <w:rPr>
          <w:rFonts w:ascii="黑体" w:eastAsia="黑体" w:hAnsi="黑体" w:cs="黑体" w:hint="eastAsia"/>
          <w:lang w:eastAsia="zh-CN"/>
        </w:rPr>
        <w:t>家，保护投资者权益的相关措施非常受重视。</w:t>
      </w:r>
    </w:p>
    <w:p w14:paraId="56173F8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98</w:t>
      </w:r>
      <w:r>
        <w:rPr>
          <w:rFonts w:ascii="黑体" w:eastAsia="黑体" w:hAnsi="黑体" w:cs="黑体" w:hint="eastAsia"/>
          <w:lang w:eastAsia="zh-CN"/>
        </w:rPr>
        <w:t>、传统的销售理论中的</w:t>
      </w:r>
      <w:r>
        <w:rPr>
          <w:rFonts w:ascii="黑体" w:eastAsia="黑体" w:hAnsi="黑体" w:cs="黑体" w:hint="eastAsia"/>
          <w:lang w:eastAsia="zh-CN"/>
        </w:rPr>
        <w:t>4Ps</w:t>
      </w:r>
      <w:r>
        <w:rPr>
          <w:rFonts w:ascii="黑体" w:eastAsia="黑体" w:hAnsi="黑体" w:cs="黑体" w:hint="eastAsia"/>
          <w:lang w:eastAsia="zh-CN"/>
        </w:rPr>
        <w:t>是指</w:t>
      </w:r>
      <w:r>
        <w:rPr>
          <w:rFonts w:ascii="黑体" w:eastAsia="黑体" w:hAnsi="黑体" w:cs="黑体" w:hint="eastAsia"/>
          <w:lang w:eastAsia="zh-CN"/>
        </w:rPr>
        <w:t>（）</w:t>
      </w:r>
      <w:r>
        <w:rPr>
          <w:rFonts w:ascii="黑体" w:eastAsia="黑体" w:hAnsi="黑体" w:cs="黑体" w:hint="eastAsia"/>
          <w:lang w:eastAsia="zh-CN"/>
        </w:rPr>
        <w:t>。</w:t>
      </w:r>
    </w:p>
    <w:p w14:paraId="54EBF7A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产品、数量、价格、渠道</w:t>
      </w:r>
    </w:p>
    <w:p w14:paraId="7B87A51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数量、价格、渠道、促销</w:t>
      </w:r>
    </w:p>
    <w:p w14:paraId="1DD4654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产品、价格、渠道、促销</w:t>
      </w:r>
    </w:p>
    <w:p w14:paraId="783D2DA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价格、渠道、总额、促销</w:t>
      </w:r>
    </w:p>
    <w:p w14:paraId="5E0C4A1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C</w:t>
      </w:r>
    </w:p>
    <w:p w14:paraId="1883FF1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【试题解析】：销售理论中的</w:t>
      </w:r>
      <w:r>
        <w:rPr>
          <w:rFonts w:ascii="黑体" w:eastAsia="黑体" w:hAnsi="黑体" w:cs="黑体" w:hint="eastAsia"/>
          <w:lang w:eastAsia="zh-CN"/>
        </w:rPr>
        <w:t>4Ps</w:t>
      </w:r>
      <w:r>
        <w:rPr>
          <w:rFonts w:ascii="黑体" w:eastAsia="黑体" w:hAnsi="黑体" w:cs="黑体" w:hint="eastAsia"/>
          <w:lang w:eastAsia="zh-CN"/>
        </w:rPr>
        <w:t>是指产品、价格、渠道与促销。</w:t>
      </w:r>
    </w:p>
    <w:p w14:paraId="1ADE1D4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99</w:t>
      </w:r>
      <w:r>
        <w:rPr>
          <w:rFonts w:ascii="黑体" w:eastAsia="黑体" w:hAnsi="黑体" w:cs="黑体" w:hint="eastAsia"/>
          <w:lang w:eastAsia="zh-CN"/>
        </w:rPr>
        <w:t>、公开募集基金的</w:t>
      </w:r>
      <w:r w:rsidRPr="00601C73">
        <w:rPr>
          <w:rFonts w:ascii="黑体" w:eastAsia="黑体" w:hAnsi="黑体" w:cs="黑体" w:hint="eastAsia"/>
          <w:highlight w:val="yellow"/>
          <w:lang w:eastAsia="zh-CN"/>
        </w:rPr>
        <w:t>基金合同</w:t>
      </w:r>
      <w:r>
        <w:rPr>
          <w:rFonts w:ascii="黑体" w:eastAsia="黑体" w:hAnsi="黑体" w:cs="黑体" w:hint="eastAsia"/>
          <w:lang w:eastAsia="zh-CN"/>
        </w:rPr>
        <w:t>的内容不包括</w:t>
      </w:r>
      <w:r>
        <w:rPr>
          <w:rFonts w:ascii="黑体" w:eastAsia="黑体" w:hAnsi="黑体" w:cs="黑体" w:hint="eastAsia"/>
          <w:lang w:eastAsia="zh-CN"/>
        </w:rPr>
        <w:t>（）</w:t>
      </w:r>
      <w:r>
        <w:rPr>
          <w:rFonts w:ascii="黑体" w:eastAsia="黑体" w:hAnsi="黑体" w:cs="黑体" w:hint="eastAsia"/>
          <w:lang w:eastAsia="zh-CN"/>
        </w:rPr>
        <w:t>。</w:t>
      </w:r>
    </w:p>
    <w:p w14:paraId="5615F34D"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募集基金的目的和基金名称</w:t>
      </w:r>
    </w:p>
    <w:p w14:paraId="2323A7E4"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基金的运作方式</w:t>
      </w:r>
    </w:p>
    <w:p w14:paraId="29ECA448"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基金管理人、基金托管人的名称和住所</w:t>
      </w:r>
    </w:p>
    <w:p w14:paraId="76671873"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风险警示内容</w:t>
      </w:r>
    </w:p>
    <w:p w14:paraId="6C21D9C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69ABA331"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【试题解析】：公开募集基金的基金合同应当包括下列内容：①募集基金的目的和基金名称；②</w:t>
      </w:r>
      <w:r w:rsidRPr="00601C73">
        <w:rPr>
          <w:rFonts w:ascii="黑体" w:eastAsia="黑体" w:hAnsi="黑体" w:cs="黑体" w:hint="eastAsia"/>
          <w:highlight w:val="yellow"/>
          <w:lang w:eastAsia="zh-CN"/>
        </w:rPr>
        <w:t>基金管理人、基金托管人的名称和住所</w:t>
      </w:r>
      <w:r>
        <w:rPr>
          <w:rFonts w:ascii="黑体" w:eastAsia="黑体" w:hAnsi="黑体" w:cs="黑体" w:hint="eastAsia"/>
          <w:lang w:eastAsia="zh-CN"/>
        </w:rPr>
        <w:t>；③基金的运作方式；④封闭式基金的基金份额总额和基金合同期限，或者开放式基金的最低募集份额总额；⑤确定基金份额发售日期、价格和费用的原则；⑥基金份额持有人、基金管理人和基金托管人的权利、义务；⑦基金份额持有人大会召集、议事及表决的程序和规则；⑧基金份额发售、交易、申购、赎回的程序、时间、地点、费用计算方式，以及给付赎回款项的时间和方式；⑨基金收益分配原则、执行方式；⑩基金管理人、基金托管人报</w:t>
      </w:r>
      <w:r>
        <w:rPr>
          <w:rFonts w:ascii="黑体" w:eastAsia="黑体" w:hAnsi="黑体" w:cs="黑体" w:hint="eastAsia"/>
          <w:lang w:eastAsia="zh-CN"/>
        </w:rPr>
        <w:t>酬的提取、支付方式与比例；与基金财产管理、运用有关的其他费用的提取、支付方式；基金财产的投资方向和投资限制；</w:t>
      </w:r>
      <w:r w:rsidRPr="00601C73">
        <w:rPr>
          <w:rFonts w:ascii="黑体" w:eastAsia="黑体" w:hAnsi="黑体" w:cs="黑体" w:hint="eastAsia"/>
          <w:highlight w:val="yellow"/>
          <w:lang w:eastAsia="zh-CN"/>
        </w:rPr>
        <w:t>基金资产净值的计算方法和公告方式；基金募集未达到法定要求的处理方式；基金合同解除和终止的事由、程序以及基金财产清算方式；</w:t>
      </w:r>
      <w:r>
        <w:rPr>
          <w:rFonts w:ascii="黑体" w:eastAsia="黑体" w:hAnsi="黑体" w:cs="黑体" w:hint="eastAsia"/>
          <w:lang w:eastAsia="zh-CN"/>
        </w:rPr>
        <w:t>争议解决方式；当事人约定的其他事项。</w:t>
      </w:r>
      <w:r w:rsidRPr="00601C73">
        <w:rPr>
          <w:rFonts w:ascii="黑体" w:eastAsia="黑体" w:hAnsi="黑体" w:cs="黑体" w:hint="eastAsia"/>
          <w:highlight w:val="yellow"/>
          <w:lang w:eastAsia="zh-CN"/>
        </w:rPr>
        <w:t>D</w:t>
      </w:r>
      <w:r w:rsidRPr="00601C73">
        <w:rPr>
          <w:rFonts w:ascii="黑体" w:eastAsia="黑体" w:hAnsi="黑体" w:cs="黑体" w:hint="eastAsia"/>
          <w:highlight w:val="yellow"/>
          <w:lang w:eastAsia="zh-CN"/>
        </w:rPr>
        <w:t>项为基金招募说明书的内容</w:t>
      </w:r>
      <w:r>
        <w:rPr>
          <w:rFonts w:ascii="黑体" w:eastAsia="黑体" w:hAnsi="黑体" w:cs="黑体" w:hint="eastAsia"/>
          <w:lang w:eastAsia="zh-CN"/>
        </w:rPr>
        <w:t>。</w:t>
      </w:r>
    </w:p>
    <w:p w14:paraId="78A08629"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100</w:t>
      </w:r>
      <w:r>
        <w:rPr>
          <w:rFonts w:ascii="黑体" w:eastAsia="黑体" w:hAnsi="黑体" w:cs="黑体" w:hint="eastAsia"/>
          <w:lang w:eastAsia="zh-CN"/>
        </w:rPr>
        <w:t>、下列不属于基金售后服务的是</w:t>
      </w:r>
      <w:r>
        <w:rPr>
          <w:rFonts w:ascii="黑体" w:eastAsia="黑体" w:hAnsi="黑体" w:cs="黑体" w:hint="eastAsia"/>
          <w:lang w:eastAsia="zh-CN"/>
        </w:rPr>
        <w:t>（）</w:t>
      </w:r>
      <w:r>
        <w:rPr>
          <w:rFonts w:ascii="黑体" w:eastAsia="黑体" w:hAnsi="黑体" w:cs="黑体" w:hint="eastAsia"/>
          <w:lang w:eastAsia="zh-CN"/>
        </w:rPr>
        <w:t>。</w:t>
      </w:r>
    </w:p>
    <w:p w14:paraId="4147BA4C"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A.</w:t>
      </w:r>
      <w:r>
        <w:rPr>
          <w:rFonts w:ascii="黑体" w:eastAsia="黑体" w:hAnsi="黑体" w:cs="黑体" w:hint="eastAsia"/>
          <w:lang w:eastAsia="zh-CN"/>
        </w:rPr>
        <w:t>定期提供产品净值信息</w:t>
      </w:r>
    </w:p>
    <w:p w14:paraId="77C2C28F"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B.</w:t>
      </w:r>
      <w:r>
        <w:rPr>
          <w:rFonts w:ascii="黑体" w:eastAsia="黑体" w:hAnsi="黑体" w:cs="黑体" w:hint="eastAsia"/>
          <w:lang w:eastAsia="zh-CN"/>
        </w:rPr>
        <w:t>提醒客户及时核对交易确认</w:t>
      </w:r>
    </w:p>
    <w:p w14:paraId="05AED6B2"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C.</w:t>
      </w:r>
      <w:r>
        <w:rPr>
          <w:rFonts w:ascii="黑体" w:eastAsia="黑体" w:hAnsi="黑体" w:cs="黑体" w:hint="eastAsia"/>
          <w:lang w:eastAsia="zh-CN"/>
        </w:rPr>
        <w:t>向客户介绍客户服务、信息查询等的办法和路径</w:t>
      </w:r>
    </w:p>
    <w:p w14:paraId="1F6F3020"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D.</w:t>
      </w:r>
      <w:r>
        <w:rPr>
          <w:rFonts w:ascii="黑体" w:eastAsia="黑体" w:hAnsi="黑体" w:cs="黑体" w:hint="eastAsia"/>
          <w:lang w:eastAsia="zh-CN"/>
        </w:rPr>
        <w:t>协助客户办理开立账户、申购、赎回、资料变更等基金业务</w:t>
      </w:r>
    </w:p>
    <w:p w14:paraId="0795FDB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【标准答案】：</w:t>
      </w:r>
      <w:r>
        <w:rPr>
          <w:rFonts w:ascii="黑体" w:eastAsia="黑体" w:hAnsi="黑体" w:cs="黑体" w:hint="eastAsia"/>
          <w:lang w:eastAsia="zh-CN"/>
        </w:rPr>
        <w:t>D</w:t>
      </w:r>
    </w:p>
    <w:p w14:paraId="203310E7" w14:textId="77777777" w:rsidR="0082448A" w:rsidRDefault="00054E88">
      <w:pPr>
        <w:spacing w:line="360" w:lineRule="auto"/>
        <w:rPr>
          <w:rFonts w:ascii="黑体" w:eastAsia="黑体" w:hAnsi="黑体" w:cs="黑体"/>
          <w:lang w:eastAsia="zh-CN"/>
        </w:rPr>
      </w:pPr>
      <w:r>
        <w:rPr>
          <w:rFonts w:ascii="黑体" w:eastAsia="黑体" w:hAnsi="黑体" w:cs="黑体" w:hint="eastAsia"/>
          <w:lang w:eastAsia="zh-CN"/>
        </w:rPr>
        <w:t>【试题解析】：售后服务主要包括：①提醒客户及时核对交易确认；②向客户介绍客户服务、信息查询等的办法和路径；③定期提供产品净值信息；④基金公司、基金产品发生变化时及时通知客户</w:t>
      </w:r>
    </w:p>
    <w:p w14:paraId="621C22F7" w14:textId="77777777" w:rsidR="0082448A" w:rsidRDefault="0082448A">
      <w:pPr>
        <w:spacing w:line="360" w:lineRule="auto"/>
        <w:rPr>
          <w:rFonts w:ascii="黑体" w:eastAsia="黑体" w:hAnsi="黑体" w:cs="黑体"/>
          <w:lang w:eastAsia="zh-CN"/>
        </w:rPr>
      </w:pPr>
    </w:p>
    <w:p w14:paraId="6C764EA5" w14:textId="77777777" w:rsidR="0082448A" w:rsidRDefault="0082448A">
      <w:pPr>
        <w:spacing w:line="360" w:lineRule="auto"/>
        <w:rPr>
          <w:rFonts w:ascii="黑体" w:eastAsia="黑体" w:hAnsi="黑体" w:cs="黑体"/>
          <w:lang w:eastAsia="zh-CN"/>
        </w:rPr>
      </w:pPr>
    </w:p>
    <w:sectPr w:rsidR="0082448A">
      <w:footerReference w:type="default" r:id="rId7"/>
      <w:pgSz w:w="11900" w:h="16839"/>
      <w:pgMar w:top="579" w:right="528" w:bottom="504" w:left="579" w:header="0"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55A54" w14:textId="77777777" w:rsidR="00054E88" w:rsidRDefault="00054E88">
      <w:r>
        <w:separator/>
      </w:r>
    </w:p>
  </w:endnote>
  <w:endnote w:type="continuationSeparator" w:id="0">
    <w:p w14:paraId="64911C53" w14:textId="77777777" w:rsidR="00054E88" w:rsidRDefault="0005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auto"/>
    <w:pitch w:val="default"/>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AAAD0" w14:textId="77777777" w:rsidR="0082448A" w:rsidRDefault="0082448A">
    <w:pPr>
      <w:spacing w:line="208" w:lineRule="exact"/>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E6D0C" w14:textId="77777777" w:rsidR="00054E88" w:rsidRDefault="00054E88">
      <w:r>
        <w:separator/>
      </w:r>
    </w:p>
  </w:footnote>
  <w:footnote w:type="continuationSeparator" w:id="0">
    <w:p w14:paraId="07E3254E" w14:textId="77777777" w:rsidR="00054E88" w:rsidRDefault="00054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5D57F2"/>
    <w:multiLevelType w:val="singleLevel"/>
    <w:tmpl w:val="855D57F2"/>
    <w:lvl w:ilvl="0">
      <w:start w:val="72"/>
      <w:numFmt w:val="decimal"/>
      <w:suff w:val="nothing"/>
      <w:lvlText w:val="%1、"/>
      <w:lvlJc w:val="left"/>
    </w:lvl>
  </w:abstractNum>
  <w:abstractNum w:abstractNumId="1" w15:restartNumberingAfterBreak="0">
    <w:nsid w:val="96BE50F7"/>
    <w:multiLevelType w:val="singleLevel"/>
    <w:tmpl w:val="96BE50F7"/>
    <w:lvl w:ilvl="0">
      <w:start w:val="37"/>
      <w:numFmt w:val="decimal"/>
      <w:suff w:val="nothing"/>
      <w:lvlText w:val="%1、"/>
      <w:lvlJc w:val="left"/>
    </w:lvl>
  </w:abstractNum>
  <w:abstractNum w:abstractNumId="2" w15:restartNumberingAfterBreak="0">
    <w:nsid w:val="9720DB39"/>
    <w:multiLevelType w:val="singleLevel"/>
    <w:tmpl w:val="9720DB39"/>
    <w:lvl w:ilvl="0">
      <w:start w:val="1"/>
      <w:numFmt w:val="upperLetter"/>
      <w:lvlText w:val="%1."/>
      <w:lvlJc w:val="left"/>
      <w:pPr>
        <w:tabs>
          <w:tab w:val="left" w:pos="312"/>
        </w:tabs>
      </w:pPr>
    </w:lvl>
  </w:abstractNum>
  <w:abstractNum w:abstractNumId="3" w15:restartNumberingAfterBreak="0">
    <w:nsid w:val="A04906DD"/>
    <w:multiLevelType w:val="singleLevel"/>
    <w:tmpl w:val="A04906DD"/>
    <w:lvl w:ilvl="0">
      <w:start w:val="23"/>
      <w:numFmt w:val="decimal"/>
      <w:suff w:val="nothing"/>
      <w:lvlText w:val="%1、"/>
      <w:lvlJc w:val="left"/>
    </w:lvl>
  </w:abstractNum>
  <w:abstractNum w:abstractNumId="4" w15:restartNumberingAfterBreak="0">
    <w:nsid w:val="AEDAC166"/>
    <w:multiLevelType w:val="singleLevel"/>
    <w:tmpl w:val="AEDAC166"/>
    <w:lvl w:ilvl="0">
      <w:start w:val="1"/>
      <w:numFmt w:val="upperLetter"/>
      <w:lvlText w:val="%1."/>
      <w:lvlJc w:val="left"/>
      <w:pPr>
        <w:tabs>
          <w:tab w:val="left" w:pos="312"/>
        </w:tabs>
      </w:pPr>
    </w:lvl>
  </w:abstractNum>
  <w:abstractNum w:abstractNumId="5" w15:restartNumberingAfterBreak="0">
    <w:nsid w:val="B747AAF6"/>
    <w:multiLevelType w:val="singleLevel"/>
    <w:tmpl w:val="B747AAF6"/>
    <w:lvl w:ilvl="0">
      <w:start w:val="34"/>
      <w:numFmt w:val="decimal"/>
      <w:suff w:val="nothing"/>
      <w:lvlText w:val="%1、"/>
      <w:lvlJc w:val="left"/>
    </w:lvl>
  </w:abstractNum>
  <w:abstractNum w:abstractNumId="6" w15:restartNumberingAfterBreak="0">
    <w:nsid w:val="B8BE53B9"/>
    <w:multiLevelType w:val="singleLevel"/>
    <w:tmpl w:val="B8BE53B9"/>
    <w:lvl w:ilvl="0">
      <w:start w:val="1"/>
      <w:numFmt w:val="upperLetter"/>
      <w:lvlText w:val="%1."/>
      <w:lvlJc w:val="left"/>
      <w:pPr>
        <w:tabs>
          <w:tab w:val="left" w:pos="312"/>
        </w:tabs>
      </w:pPr>
    </w:lvl>
  </w:abstractNum>
  <w:abstractNum w:abstractNumId="7" w15:restartNumberingAfterBreak="0">
    <w:nsid w:val="C3837493"/>
    <w:multiLevelType w:val="singleLevel"/>
    <w:tmpl w:val="C3837493"/>
    <w:lvl w:ilvl="0">
      <w:start w:val="1"/>
      <w:numFmt w:val="upperLetter"/>
      <w:lvlText w:val="%1."/>
      <w:lvlJc w:val="left"/>
      <w:pPr>
        <w:tabs>
          <w:tab w:val="left" w:pos="312"/>
        </w:tabs>
      </w:pPr>
    </w:lvl>
  </w:abstractNum>
  <w:abstractNum w:abstractNumId="8" w15:restartNumberingAfterBreak="0">
    <w:nsid w:val="C8E45B5A"/>
    <w:multiLevelType w:val="singleLevel"/>
    <w:tmpl w:val="C8E45B5A"/>
    <w:lvl w:ilvl="0">
      <w:start w:val="69"/>
      <w:numFmt w:val="decimal"/>
      <w:suff w:val="nothing"/>
      <w:lvlText w:val="%1、"/>
      <w:lvlJc w:val="left"/>
    </w:lvl>
  </w:abstractNum>
  <w:abstractNum w:abstractNumId="9" w15:restartNumberingAfterBreak="0">
    <w:nsid w:val="CE3C6920"/>
    <w:multiLevelType w:val="singleLevel"/>
    <w:tmpl w:val="CE3C6920"/>
    <w:lvl w:ilvl="0">
      <w:start w:val="17"/>
      <w:numFmt w:val="decimal"/>
      <w:suff w:val="nothing"/>
      <w:lvlText w:val="%1、"/>
      <w:lvlJc w:val="left"/>
    </w:lvl>
  </w:abstractNum>
  <w:abstractNum w:abstractNumId="10" w15:restartNumberingAfterBreak="0">
    <w:nsid w:val="DB4A5039"/>
    <w:multiLevelType w:val="singleLevel"/>
    <w:tmpl w:val="DB4A5039"/>
    <w:lvl w:ilvl="0">
      <w:start w:val="66"/>
      <w:numFmt w:val="decimal"/>
      <w:suff w:val="nothing"/>
      <w:lvlText w:val="%1、"/>
      <w:lvlJc w:val="left"/>
    </w:lvl>
  </w:abstractNum>
  <w:abstractNum w:abstractNumId="11" w15:restartNumberingAfterBreak="0">
    <w:nsid w:val="E4AB9F64"/>
    <w:multiLevelType w:val="singleLevel"/>
    <w:tmpl w:val="E4AB9F64"/>
    <w:lvl w:ilvl="0">
      <w:start w:val="41"/>
      <w:numFmt w:val="decimal"/>
      <w:suff w:val="nothing"/>
      <w:lvlText w:val="%1、"/>
      <w:lvlJc w:val="left"/>
    </w:lvl>
  </w:abstractNum>
  <w:abstractNum w:abstractNumId="12" w15:restartNumberingAfterBreak="0">
    <w:nsid w:val="E6B6B1E6"/>
    <w:multiLevelType w:val="singleLevel"/>
    <w:tmpl w:val="E6B6B1E6"/>
    <w:lvl w:ilvl="0">
      <w:start w:val="1"/>
      <w:numFmt w:val="upperLetter"/>
      <w:lvlText w:val="%1."/>
      <w:lvlJc w:val="left"/>
      <w:pPr>
        <w:tabs>
          <w:tab w:val="left" w:pos="312"/>
        </w:tabs>
      </w:pPr>
    </w:lvl>
  </w:abstractNum>
  <w:abstractNum w:abstractNumId="13" w15:restartNumberingAfterBreak="0">
    <w:nsid w:val="2DCDD066"/>
    <w:multiLevelType w:val="singleLevel"/>
    <w:tmpl w:val="2DCDD066"/>
    <w:lvl w:ilvl="0">
      <w:start w:val="1"/>
      <w:numFmt w:val="upperLetter"/>
      <w:lvlText w:val="%1."/>
      <w:lvlJc w:val="left"/>
      <w:pPr>
        <w:tabs>
          <w:tab w:val="left" w:pos="312"/>
        </w:tabs>
      </w:pPr>
    </w:lvl>
  </w:abstractNum>
  <w:abstractNum w:abstractNumId="14" w15:restartNumberingAfterBreak="0">
    <w:nsid w:val="4D3F1D0F"/>
    <w:multiLevelType w:val="singleLevel"/>
    <w:tmpl w:val="4D3F1D0F"/>
    <w:lvl w:ilvl="0">
      <w:start w:val="1"/>
      <w:numFmt w:val="upperLetter"/>
      <w:lvlText w:val="%1."/>
      <w:lvlJc w:val="left"/>
      <w:pPr>
        <w:tabs>
          <w:tab w:val="left" w:pos="312"/>
        </w:tabs>
      </w:pPr>
    </w:lvl>
  </w:abstractNum>
  <w:abstractNum w:abstractNumId="15" w15:restartNumberingAfterBreak="0">
    <w:nsid w:val="5158A5BE"/>
    <w:multiLevelType w:val="singleLevel"/>
    <w:tmpl w:val="5158A5BE"/>
    <w:lvl w:ilvl="0">
      <w:start w:val="13"/>
      <w:numFmt w:val="decimal"/>
      <w:suff w:val="nothing"/>
      <w:lvlText w:val="%1、"/>
      <w:lvlJc w:val="left"/>
    </w:lvl>
  </w:abstractNum>
  <w:num w:numId="1">
    <w:abstractNumId w:val="15"/>
  </w:num>
  <w:num w:numId="2">
    <w:abstractNumId w:val="9"/>
  </w:num>
  <w:num w:numId="3">
    <w:abstractNumId w:val="3"/>
  </w:num>
  <w:num w:numId="4">
    <w:abstractNumId w:val="4"/>
  </w:num>
  <w:num w:numId="5">
    <w:abstractNumId w:val="5"/>
  </w:num>
  <w:num w:numId="6">
    <w:abstractNumId w:val="1"/>
  </w:num>
  <w:num w:numId="7">
    <w:abstractNumId w:val="6"/>
  </w:num>
  <w:num w:numId="8">
    <w:abstractNumId w:val="11"/>
  </w:num>
  <w:num w:numId="9">
    <w:abstractNumId w:val="7"/>
  </w:num>
  <w:num w:numId="10">
    <w:abstractNumId w:val="10"/>
  </w:num>
  <w:num w:numId="11">
    <w:abstractNumId w:val="8"/>
  </w:num>
  <w:num w:numId="12">
    <w:abstractNumId w:val="13"/>
  </w:num>
  <w:num w:numId="13">
    <w:abstractNumId w:val="0"/>
  </w:num>
  <w:num w:numId="14">
    <w:abstractNumId w:val="14"/>
  </w:num>
  <w:num w:numId="15">
    <w:abstractNumId w:val="2"/>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U5YTk2NWU3OTRhNTU0YjZlNWE0ODExMjY4YzM0MTgifQ=="/>
  </w:docVars>
  <w:rsids>
    <w:rsidRoot w:val="2B8E4514"/>
    <w:rsid w:val="00054E88"/>
    <w:rsid w:val="001A5CA9"/>
    <w:rsid w:val="00280CDF"/>
    <w:rsid w:val="00372F95"/>
    <w:rsid w:val="00601C73"/>
    <w:rsid w:val="0076410B"/>
    <w:rsid w:val="007B733A"/>
    <w:rsid w:val="0082448A"/>
    <w:rsid w:val="00B105F2"/>
    <w:rsid w:val="00B34520"/>
    <w:rsid w:val="00B44E28"/>
    <w:rsid w:val="00C56335"/>
    <w:rsid w:val="00CB5179"/>
    <w:rsid w:val="00D01A24"/>
    <w:rsid w:val="00D8078D"/>
    <w:rsid w:val="00DA2115"/>
    <w:rsid w:val="00F75917"/>
    <w:rsid w:val="2B8E4514"/>
    <w:rsid w:val="74296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4223D"/>
  <w15:docId w15:val="{6D67D38C-7A90-463B-B21E-445117B5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14"/>
      <w:szCs w:val="14"/>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customStyle="1" w:styleId="TableText">
    <w:name w:val="Table Text"/>
    <w:basedOn w:val="a"/>
    <w:semiHidden/>
    <w:qFormat/>
    <w:rPr>
      <w:rFonts w:ascii="微软雅黑" w:eastAsia="微软雅黑" w:hAnsi="微软雅黑" w:cs="微软雅黑"/>
      <w:sz w:val="14"/>
      <w:szCs w:val="14"/>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27</Pages>
  <Words>3800</Words>
  <Characters>21663</Characters>
  <Application>Microsoft Office Word</Application>
  <DocSecurity>0</DocSecurity>
  <Lines>180</Lines>
  <Paragraphs>50</Paragraphs>
  <ScaleCrop>false</ScaleCrop>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8237476691</dc:creator>
  <cp:lastModifiedBy>yansong.dys</cp:lastModifiedBy>
  <cp:revision>2</cp:revision>
  <dcterms:created xsi:type="dcterms:W3CDTF">2024-10-22T14:55:00Z</dcterms:created>
  <dcterms:modified xsi:type="dcterms:W3CDTF">2024-11-05T03:18:00Z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1652B59FE8EB4A41A2277CBD7BF65418_11</vt:lpwstr>
  </property>
</Properties>
</file>