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FE270">
      <w:pPr>
        <w:keepNext w:val="0"/>
        <w:keepLines w:val="0"/>
        <w:widowControl/>
        <w:suppressLineNumbers w:val="0"/>
        <w:jc w:val="center"/>
        <w:rPr>
          <w:rFonts w:hint="default"/>
          <w:lang w:val="en-US"/>
        </w:rPr>
      </w:pPr>
      <w:r>
        <w:rPr>
          <w:rFonts w:hint="eastAsia" w:ascii="微软雅黑" w:hAnsi="微软雅黑" w:eastAsia="微软雅黑" w:cs="微软雅黑"/>
          <w:color w:val="FF0000"/>
          <w:kern w:val="0"/>
          <w:sz w:val="14"/>
          <w:szCs w:val="14"/>
          <w:lang w:val="en-US" w:eastAsia="zh-CN" w:bidi="ar"/>
        </w:rPr>
        <w:t>证券投资基金基础 （一）</w:t>
      </w:r>
    </w:p>
    <w:p w14:paraId="12003193">
      <w:pPr>
        <w:keepNext w:val="0"/>
        <w:keepLines w:val="0"/>
        <w:widowControl/>
        <w:suppressLineNumbers w:val="0"/>
        <w:jc w:val="left"/>
      </w:pPr>
      <w:r>
        <w:rPr>
          <w:rFonts w:hint="default" w:ascii="MicrosoftYaHei-Bold" w:hAnsi="MicrosoftYaHei-Bold" w:eastAsia="MicrosoftYaHei-Bold" w:cs="MicrosoftYaHei-Bold"/>
          <w:b/>
          <w:bCs/>
          <w:color w:val="333333"/>
          <w:kern w:val="0"/>
          <w:sz w:val="12"/>
          <w:szCs w:val="12"/>
          <w:lang w:val="en-US" w:eastAsia="zh-CN" w:bidi="ar"/>
        </w:rPr>
        <w:t xml:space="preserve">题目类型：单选题 </w:t>
      </w:r>
    </w:p>
    <w:p w14:paraId="12346F7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1、下列关于不动产投资工具的说法完全正确的是（）。 </w:t>
      </w:r>
    </w:p>
    <w:p w14:paraId="2695BA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房地产投资信托 </w:t>
      </w:r>
    </w:p>
    <w:p w14:paraId="402080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房地产权益基金 </w:t>
      </w:r>
    </w:p>
    <w:p w14:paraId="5A57A42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房地产有限合伙 </w:t>
      </w:r>
    </w:p>
    <w:p w14:paraId="5FF7E16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以上说法都对 </w:t>
      </w:r>
    </w:p>
    <w:p w14:paraId="5342C13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2、我国场内股票交易的买卖双方支付的过户费属于（）的收入。 </w:t>
      </w:r>
    </w:p>
    <w:p w14:paraId="500526F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中国结算公司 </w:t>
      </w:r>
    </w:p>
    <w:p w14:paraId="2604AB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证券经纪商 </w:t>
      </w:r>
    </w:p>
    <w:p w14:paraId="530C60A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证券交易所 </w:t>
      </w:r>
    </w:p>
    <w:p w14:paraId="0179C29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证券监督管理机构 </w:t>
      </w:r>
    </w:p>
    <w:p w14:paraId="51DCD25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3、按计息方式分类,债券可以分为固定利率债券、浮动利率债券和（）。 </w:t>
      </w:r>
    </w:p>
    <w:p w14:paraId="725460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息票债券 </w:t>
      </w:r>
    </w:p>
    <w:p w14:paraId="31D5047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贴现债券 </w:t>
      </w:r>
    </w:p>
    <w:p w14:paraId="1AB03DD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零息债券 </w:t>
      </w:r>
    </w:p>
    <w:p w14:paraId="6CFBEB7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可赎回债券 </w:t>
      </w:r>
    </w:p>
    <w:p w14:paraId="687CF15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4、2008年金融危机使全球经济处于低迷状态，这种状态同样影响并波及基金市场。这主要体现了市场风险中的（）。 </w:t>
      </w:r>
    </w:p>
    <w:p w14:paraId="5B257A7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利率风险 </w:t>
      </w:r>
    </w:p>
    <w:p w14:paraId="4ED62C3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汇率风险 </w:t>
      </w:r>
    </w:p>
    <w:p w14:paraId="68714D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购买力风险 </w:t>
      </w:r>
    </w:p>
    <w:p w14:paraId="4B8FF7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经济周期性波动风险 </w:t>
      </w:r>
    </w:p>
    <w:p w14:paraId="49CFE21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5、投资者投资不动产的主要形式不包括（）。 </w:t>
      </w:r>
    </w:p>
    <w:p w14:paraId="446980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房地产有限合伙 </w:t>
      </w:r>
    </w:p>
    <w:p w14:paraId="7F9FBB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房地产权益基金 </w:t>
      </w:r>
    </w:p>
    <w:p w14:paraId="354AAA8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房地产直接投资 </w:t>
      </w:r>
    </w:p>
    <w:p w14:paraId="647029F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房地产投资信托</w:t>
      </w:r>
    </w:p>
    <w:p w14:paraId="7FBD3EB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6、标准普尔500指数以1941年至1942年为基期，基期指数定为（），以股票上市量为权数，按基期采用加权平均法进行计算。 </w:t>
      </w:r>
    </w:p>
    <w:p w14:paraId="37DADF0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10 </w:t>
      </w:r>
    </w:p>
    <w:p w14:paraId="509E31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100 </w:t>
      </w:r>
    </w:p>
    <w:p w14:paraId="5D8FAE5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500 </w:t>
      </w:r>
    </w:p>
    <w:p w14:paraId="47FD41F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1000 </w:t>
      </w:r>
    </w:p>
    <w:p w14:paraId="64852A7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7、关于相关系数py可能的取值范围，以下表述正确的是（）。 </w:t>
      </w:r>
    </w:p>
    <w:p w14:paraId="5A4491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-l&lt;py&lt;0 </w:t>
      </w:r>
    </w:p>
    <w:p w14:paraId="3366DD2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-l&lt;py&lt;l </w:t>
      </w:r>
    </w:p>
    <w:p w14:paraId="5DB96EE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-1≤py≤1 </w:t>
      </w:r>
    </w:p>
    <w:p w14:paraId="3B8A0E4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0≤py≤1 </w:t>
      </w:r>
    </w:p>
    <w:p w14:paraId="4B9605C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8、某投资者在2016年6月3日(周五)申请赎回200份基金，当日基金份额净值为1.55元，在2016年6日(周一)赎回成功，该基金收益率为18%，则该投资者 申请赎回期间的收益为（）。 </w:t>
      </w:r>
    </w:p>
    <w:p w14:paraId="78C80D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0.459 </w:t>
      </w:r>
    </w:p>
    <w:p w14:paraId="13226C7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1.459 </w:t>
      </w:r>
    </w:p>
    <w:p w14:paraId="2AFCE4A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2.459 </w:t>
      </w:r>
    </w:p>
    <w:p w14:paraId="3F2A0A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3.459 </w:t>
      </w:r>
    </w:p>
    <w:p w14:paraId="68E8414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9、下列选项中列入基金费用的是（）。 </w:t>
      </w:r>
    </w:p>
    <w:p w14:paraId="140435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基金合同生效前所发生的验资费、会计师和律师费、信息披露等费用 </w:t>
      </w:r>
    </w:p>
    <w:p w14:paraId="2BFA70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基金管理人和基金托管人处理与基金运作无关的事项发生的费用 </w:t>
      </w:r>
    </w:p>
    <w:p w14:paraId="62EDDDB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基金管理人和基金托管人因未履行或未完全履行义务导致的费用支出或基金财产的损失 </w:t>
      </w:r>
    </w:p>
    <w:p w14:paraId="71844D7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基金运作而正常发生的开户费、银行汇划手续费、持有人大会费等费用 </w:t>
      </w:r>
    </w:p>
    <w:p w14:paraId="4FE4B8A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10、有以下几项投资交易活动： </w:t>
      </w:r>
    </w:p>
    <w:p w14:paraId="4712FBD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Ⅰ.香港投资者通过其金互认买入内地基金份额 </w:t>
      </w:r>
    </w:p>
    <w:p w14:paraId="7A39345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Ⅱ.香港投资者通过其金互认卖出内地基金份额 </w:t>
      </w:r>
    </w:p>
    <w:p w14:paraId="37BF84F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Ⅲ.某公募其金卖出股票 </w:t>
      </w:r>
    </w:p>
    <w:p w14:paraId="3F0CF3D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Ⅳ.某私募基金买入股票 </w:t>
      </w:r>
    </w:p>
    <w:p w14:paraId="7F77D6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Ⅴ.某机构投资者卖出基金 </w:t>
      </w:r>
    </w:p>
    <w:p w14:paraId="7731337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Ⅵ.某个人投资者卖出股票 </w:t>
      </w:r>
    </w:p>
    <w:p w14:paraId="68D6231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按照目前的税收政策，不需要缴纳印花税的是（）。 </w:t>
      </w:r>
    </w:p>
    <w:p w14:paraId="6BDC644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Ⅰ、Ⅱ、Ⅲ、Ⅳ、Ⅴ </w:t>
      </w:r>
    </w:p>
    <w:p w14:paraId="7E62B6B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Ⅰ、Ⅱ、Ⅲ、Ⅴ、Ⅵ </w:t>
      </w:r>
    </w:p>
    <w:p w14:paraId="5FA08F0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Ⅲ、Ⅳ </w:t>
      </w:r>
    </w:p>
    <w:p w14:paraId="22E3C7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Ⅰ、Ⅱ、Ⅳ、Ⅴ</w:t>
      </w:r>
    </w:p>
    <w:p w14:paraId="39A77DA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11、下列有关债权资本的表述，不正确的是（）。 </w:t>
      </w:r>
    </w:p>
    <w:p w14:paraId="7F035FA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债权资本是通过借债方式筹集的资本 </w:t>
      </w:r>
    </w:p>
    <w:p w14:paraId="1B9A0D2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由于公司拖欠利息或破产的可能性高于政府，所以公司贷款利率一般情况下会高于国债的利息 </w:t>
      </w:r>
    </w:p>
    <w:p w14:paraId="633F81E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经营状况稳健的公司支付较高的利息，而风险较高的公司则需要支付较低的利息 </w:t>
      </w:r>
    </w:p>
    <w:p w14:paraId="242957D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一个拥有100%权益资本的公司被称为无杠杆公司，因为它没有债权资本 </w:t>
      </w:r>
    </w:p>
    <w:p w14:paraId="37CF121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12、下列对于做市商和投资者描述中，正确的有（）。 </w:t>
      </w:r>
    </w:p>
    <w:p w14:paraId="2FD9CF6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Ⅰ当接到投资者卖出某种证券的报价时，做市商以自有证券买入 </w:t>
      </w:r>
    </w:p>
    <w:p w14:paraId="6576AC4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Ⅱ当接到投资者购买某种证券的报价时，做市商用其自有资金卖出 </w:t>
      </w:r>
    </w:p>
    <w:p w14:paraId="50C204F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Ⅲ做市商为了维护证券的流动性必须具备一定的实力，充足的可交易资金和证券是必不可少的 </w:t>
      </w:r>
    </w:p>
    <w:p w14:paraId="54808FA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Ⅳ在做市商与投资者的交易过程中，要价始终大于出价 </w:t>
      </w:r>
    </w:p>
    <w:p w14:paraId="70C2099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 </w:t>
      </w:r>
    </w:p>
    <w:p w14:paraId="5CB419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3C3456D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16D455C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Ⅲ、Ⅳ </w:t>
      </w:r>
    </w:p>
    <w:p w14:paraId="5EAE4D8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13、买断式回购的具体期限由交易双方确定，但最长不得超过（）天。 </w:t>
      </w:r>
    </w:p>
    <w:p w14:paraId="56E588F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30 </w:t>
      </w:r>
    </w:p>
    <w:p w14:paraId="2C8688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60 </w:t>
      </w:r>
    </w:p>
    <w:p w14:paraId="7695D76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90 </w:t>
      </w:r>
    </w:p>
    <w:p w14:paraId="1C3ECBF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91 </w:t>
      </w:r>
    </w:p>
    <w:p w14:paraId="47C313E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14、基金销售过程中发生的由基金投资者自己承担的费用不包括（）。 </w:t>
      </w:r>
    </w:p>
    <w:p w14:paraId="53DFDD9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申购费 </w:t>
      </w:r>
    </w:p>
    <w:p w14:paraId="5129E2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赎回费 </w:t>
      </w:r>
    </w:p>
    <w:p w14:paraId="43BDBC2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基金转换费 </w:t>
      </w:r>
    </w:p>
    <w:p w14:paraId="18B6B7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基金管理费 </w:t>
      </w:r>
    </w:p>
    <w:p w14:paraId="1936704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15、A债券的市场利率每上升50个基点，债券的价格下跌0.75%,同期债券B，市场利率每下跌40个基点，债券价格上升0.6%，债券A与债券B比较，说法正确的是（）。 </w:t>
      </w:r>
    </w:p>
    <w:p w14:paraId="4117BAC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债券A的修正久期大于债券B </w:t>
      </w:r>
    </w:p>
    <w:p w14:paraId="0644A14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债券A的修正久期小于债券B </w:t>
      </w:r>
    </w:p>
    <w:p w14:paraId="700422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债券A的修正久期等于债券B </w:t>
      </w:r>
    </w:p>
    <w:p w14:paraId="452C0B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条件不足，无法进行比较 </w:t>
      </w:r>
    </w:p>
    <w:p w14:paraId="12074D2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16、下列交易成本中，属于隐性成本的是（）。 </w:t>
      </w:r>
    </w:p>
    <w:p w14:paraId="540F7CA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Ⅰ.监管费 </w:t>
      </w:r>
    </w:p>
    <w:p w14:paraId="39F5EF5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Ⅱ.冲击成本 </w:t>
      </w:r>
    </w:p>
    <w:p w14:paraId="71DCCA1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Ⅲ.对冲费用 </w:t>
      </w:r>
    </w:p>
    <w:p w14:paraId="4D27CD7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Ⅳ.技术供应商的收费 </w:t>
      </w:r>
    </w:p>
    <w:p w14:paraId="0657320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 </w:t>
      </w:r>
    </w:p>
    <w:p w14:paraId="7DAEE82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52197E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5CDB97C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Ⅱ、Ⅲ</w:t>
      </w:r>
    </w:p>
    <w:p w14:paraId="6841839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17、关于证券市场线，下列表述正确的是（）。 </w:t>
      </w:r>
    </w:p>
    <w:p w14:paraId="0DF4646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Ⅰ．证券市场线给出了所有有效投资组合风险与预期收益率之间的关系 </w:t>
      </w:r>
    </w:p>
    <w:p w14:paraId="3D008D5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Ⅱ．证券市场线给出了每一个风险资产的风险与预期收益率之间的关系 </w:t>
      </w:r>
    </w:p>
    <w:p w14:paraId="684402E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Ⅲ．证券市场线坐标图的横轴以标准差来衡量风险 </w:t>
      </w:r>
    </w:p>
    <w:p w14:paraId="38FE3C0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Ⅳ．证券市场线坐标图的横轴以贝塔值来衡量风险 </w:t>
      </w:r>
    </w:p>
    <w:p w14:paraId="6BF84B1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 </w:t>
      </w:r>
    </w:p>
    <w:p w14:paraId="1894742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Ⅱ、Ⅳ </w:t>
      </w:r>
    </w:p>
    <w:p w14:paraId="5BA685C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Ⅰ、Ⅳ </w:t>
      </w:r>
    </w:p>
    <w:p w14:paraId="602A93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Ⅰ、Ⅲ </w:t>
      </w:r>
    </w:p>
    <w:p w14:paraId="5A0F0A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18、下列关于股票回购方式的说法中，不正确的是（）。 </w:t>
      </w:r>
    </w:p>
    <w:p w14:paraId="53A761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公司在股票的公开交易市场上按照高出股票当前市场价格的价格回购 </w:t>
      </w:r>
    </w:p>
    <w:p w14:paraId="173502E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公司在股票的公开交易市场上按照公司股票当前市场价格回购 </w:t>
      </w:r>
    </w:p>
    <w:p w14:paraId="4C38F8B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公司在特定期间向股东发出以高于股票当前市场价格的某一价格回购既定数量股票的要约 </w:t>
      </w:r>
    </w:p>
    <w:p w14:paraId="5CFD071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公司以协议价格直接向一个或几个主要股东回购股票，协议价格一般低于当前的股票市场价格 </w:t>
      </w:r>
    </w:p>
    <w:p w14:paraId="5EE712D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19、下列股票估值方法不属于相对价值法的是（）。 </w:t>
      </w:r>
    </w:p>
    <w:p w14:paraId="54F9BD2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市盈率模型 </w:t>
      </w:r>
    </w:p>
    <w:p w14:paraId="15BD8C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企业价值倍数 </w:t>
      </w:r>
    </w:p>
    <w:p w14:paraId="643786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经济附加值模型 </w:t>
      </w:r>
    </w:p>
    <w:p w14:paraId="1E5C741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市销率模型 </w:t>
      </w:r>
    </w:p>
    <w:p w14:paraId="360544E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20、下列关于各国基金国际化的概况，说法正确的是（）。 </w:t>
      </w:r>
    </w:p>
    <w:p w14:paraId="30AA03C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Ⅰ英国基金经常通过与东道国国内的基金进行合作来进行国际化发售，以降低募集成本 </w:t>
      </w:r>
    </w:p>
    <w:p w14:paraId="28D28BB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Ⅱ卢森堡是欧洲第一个推行UCITS指令的国家，是目前全球最大的UCITS基金注册地 </w:t>
      </w:r>
    </w:p>
    <w:p w14:paraId="4874B10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Ⅲ爱尔兰之所以成为广受认可的国际投资基金中心，是由于其在国际合作、国内监管以及税收等方面具有优势 </w:t>
      </w:r>
    </w:p>
    <w:p w14:paraId="065881F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Ⅳ英国基金的国际化投资是伴随着其他国家的证券市场开放而不断往前推进的 </w:t>
      </w:r>
    </w:p>
    <w:p w14:paraId="42D715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13B4EA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 </w:t>
      </w:r>
    </w:p>
    <w:p w14:paraId="57F4274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Ⅲ、Ⅳ </w:t>
      </w:r>
    </w:p>
    <w:p w14:paraId="7F249BC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 </w:t>
      </w:r>
    </w:p>
    <w:p w14:paraId="2E84147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21、从事（）投资的人员或机构被称为“天使”投资者。 </w:t>
      </w:r>
    </w:p>
    <w:p w14:paraId="2764982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大宗商品 </w:t>
      </w:r>
    </w:p>
    <w:p w14:paraId="03D807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风险 </w:t>
      </w:r>
    </w:p>
    <w:p w14:paraId="1DB1628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另类 </w:t>
      </w:r>
    </w:p>
    <w:p w14:paraId="13BBCA5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衍生金融产品 </w:t>
      </w:r>
    </w:p>
    <w:p w14:paraId="4DB36BE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22、下列关于QFII基金托管人资格的规定，错误的是（）。 </w:t>
      </w:r>
    </w:p>
    <w:p w14:paraId="234378D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有专门的资产托管部 </w:t>
      </w:r>
    </w:p>
    <w:p w14:paraId="2A31BF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实收资本不少于80亿元人民币</w:t>
      </w:r>
      <w:r>
        <w:rPr>
          <w:rFonts w:hint="default" w:ascii="Arial" w:hAnsi="Arial" w:eastAsia="宋体" w:cs="Arial"/>
          <w:color w:val="000000"/>
          <w:kern w:val="0"/>
          <w:sz w:val="16"/>
          <w:szCs w:val="16"/>
          <w:lang w:val="en-US" w:eastAsia="zh-CN" w:bidi="ar"/>
        </w:rPr>
        <w:t xml:space="preserve">5/18 </w:t>
      </w:r>
    </w:p>
    <w:p w14:paraId="6EF8D51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最近3年没有重大违反外汇管理规定的记录 </w:t>
      </w:r>
    </w:p>
    <w:p w14:paraId="16969A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外资商业银行境内分行在境内持续经营2年以上的，可申请成为托管人 </w:t>
      </w:r>
    </w:p>
    <w:p w14:paraId="607ACC7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23、本质上，回购协议是一种（）。 </w:t>
      </w:r>
    </w:p>
    <w:p w14:paraId="079D71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证券抵押贷款 </w:t>
      </w:r>
    </w:p>
    <w:p w14:paraId="6BE913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融资租赁 </w:t>
      </w:r>
    </w:p>
    <w:p w14:paraId="0EB7DD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信用贷款 </w:t>
      </w:r>
    </w:p>
    <w:p w14:paraId="577532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金融衍生品 </w:t>
      </w:r>
    </w:p>
    <w:p w14:paraId="7F167EB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24、下列关于资产负债率的说法，错误的是（）。 </w:t>
      </w:r>
    </w:p>
    <w:p w14:paraId="224A6C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资产负债率是使用频率最高的债务比率 </w:t>
      </w:r>
    </w:p>
    <w:p w14:paraId="644DE9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资产负债率多大最为合适，是难以精确计算决定的 </w:t>
      </w:r>
    </w:p>
    <w:p w14:paraId="40537E0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资产负债率在同行业企业中有较大的参考价值 </w:t>
      </w:r>
    </w:p>
    <w:p w14:paraId="596E586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资产负债率=资产/负债 </w:t>
      </w:r>
    </w:p>
    <w:p w14:paraId="496F4AB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25、关于基金日常估值程序，以下表述错误的是（）。 </w:t>
      </w:r>
    </w:p>
    <w:p w14:paraId="4C93CFF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基金管理人每个交易日对基金资产估值后，将基金份额净值结果发给基金托管人 </w:t>
      </w:r>
    </w:p>
    <w:p w14:paraId="127DA6C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基金托管人按基金合同规定的估值方法、时间、程序对基金管理人的计算结果进行复核 </w:t>
      </w:r>
    </w:p>
    <w:p w14:paraId="370B265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基金份额净值的最终结果由基金注册登记机构对外公告 </w:t>
      </w:r>
    </w:p>
    <w:p w14:paraId="3151408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基金日常估值由基金管理人进行 </w:t>
      </w:r>
    </w:p>
    <w:p w14:paraId="10F5A77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26、货币市场工具产生于信用活动，交易价格为（）。 </w:t>
      </w:r>
    </w:p>
    <w:p w14:paraId="4A506ED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本利和 </w:t>
      </w:r>
    </w:p>
    <w:p w14:paraId="1550AC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现金 </w:t>
      </w:r>
    </w:p>
    <w:p w14:paraId="0EEE00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利差 </w:t>
      </w:r>
    </w:p>
    <w:p w14:paraId="6A9675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利率 </w:t>
      </w:r>
    </w:p>
    <w:p w14:paraId="7EBFA11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27、下列关于债券结算方式的说法中，正确的是（）。 </w:t>
      </w:r>
    </w:p>
    <w:p w14:paraId="4D76BB2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Ⅰ纯券过户的特点是快捷、简便，其本质是资金清算风险由交易双方承担 </w:t>
      </w:r>
    </w:p>
    <w:p w14:paraId="51C33EB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Ⅱ见券付款有利于收券方控制风险，但付券方会有一个风险敞口，付券方在选择此方式时应充分考虑对方的信誉情况 </w:t>
      </w:r>
    </w:p>
    <w:p w14:paraId="09F5FDA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Ⅲ见款付券有利于付券方控制风险，但收券方会有一个风险敞口，在收券方对付券方比较信赖的情况下可以采用 </w:t>
      </w:r>
    </w:p>
    <w:p w14:paraId="042DE2F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Ⅳ券款对付的特点是结算双方风险对等，是一种高效率、高风险的结算方式 </w:t>
      </w:r>
    </w:p>
    <w:p w14:paraId="56A1914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2F92B0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20A475F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5535FA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6793FA4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28、下列不属于按标的资产对权证进行的分类是（）。 </w:t>
      </w:r>
    </w:p>
    <w:p w14:paraId="21C84E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股权类权证 </w:t>
      </w:r>
    </w:p>
    <w:p w14:paraId="3B1CC3C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债权类权证</w:t>
      </w:r>
    </w:p>
    <w:p w14:paraId="16A23D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认股权证 </w:t>
      </w:r>
    </w:p>
    <w:p w14:paraId="68203E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其他权证 </w:t>
      </w:r>
    </w:p>
    <w:p w14:paraId="2CF5190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29、当β=1.5时，市场组合上涨（），该资产随之上涨（）。 </w:t>
      </w:r>
    </w:p>
    <w:p w14:paraId="6AA89C8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1%，1.5% </w:t>
      </w:r>
    </w:p>
    <w:p w14:paraId="1B19EB7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1%，1% </w:t>
      </w:r>
    </w:p>
    <w:p w14:paraId="17B9E34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1.5%，1.5% </w:t>
      </w:r>
    </w:p>
    <w:p w14:paraId="1898A89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0.5%，1% </w:t>
      </w:r>
    </w:p>
    <w:p w14:paraId="5C033C5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30、上海证券交易所和深圳证券交易所A股过户费均按照成交金额的（）向买卖双方投资者分别收取。 </w:t>
      </w:r>
    </w:p>
    <w:p w14:paraId="755C384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0.01‰ </w:t>
      </w:r>
    </w:p>
    <w:p w14:paraId="0026B78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0.02‰ </w:t>
      </w:r>
    </w:p>
    <w:p w14:paraId="366538A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0.1‰ </w:t>
      </w:r>
    </w:p>
    <w:p w14:paraId="785CCDA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0.2‰ </w:t>
      </w:r>
    </w:p>
    <w:p w14:paraId="4CF779F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31、下列关于我国QFII的发展历程，说法错误的是（）。 </w:t>
      </w:r>
    </w:p>
    <w:p w14:paraId="41590B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《合格境外机构投资者境内证券投资管理暂行办法》的正式实施，标志着QFII制度在我国正式进入操作阶段 </w:t>
      </w:r>
    </w:p>
    <w:p w14:paraId="721F116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2002年11月5日，上海证券交易所和深圳证券交易所发布了《合格境外机构投资者证券交易实施细则》 </w:t>
      </w:r>
    </w:p>
    <w:p w14:paraId="3FDF00E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2003年5月23日，瑞士银行和野村证券株式会社成为我国第一批获准入境的境外机构投资者 </w:t>
      </w:r>
    </w:p>
    <w:p w14:paraId="5AA983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2003年7月9日．瑞士银行通过电话下达了第一单交易指令，意味着QFIl正式在我国证券市场上实际参与投资 </w:t>
      </w:r>
    </w:p>
    <w:p w14:paraId="427915D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32、下列关于QDII基金的投资范围的说法正确的是( )。 </w:t>
      </w:r>
    </w:p>
    <w:p w14:paraId="779BE24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QDII基金可以用于购买不动产 </w:t>
      </w:r>
    </w:p>
    <w:p w14:paraId="632D5F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QDII基金可以用于购买房地产抵押按揭 </w:t>
      </w:r>
    </w:p>
    <w:p w14:paraId="1DADADC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QDII基金可以用于购买贵重金属或代表贵重金属的凭证 </w:t>
      </w:r>
    </w:p>
    <w:p w14:paraId="77C67E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QDII基金可以用于购买远期合约 </w:t>
      </w:r>
    </w:p>
    <w:p w14:paraId="488A44D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33、下列关于期权价格的影响因子，说法正确的是（）。 </w:t>
      </w:r>
    </w:p>
    <w:p w14:paraId="799556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对看跌期权而言，标的资产的价格越高，执行价格越低，其价格就越高 </w:t>
      </w:r>
    </w:p>
    <w:p w14:paraId="1E89A44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对买方而言，当无风险利率上升时，看涨期权的价格随之降低 </w:t>
      </w:r>
    </w:p>
    <w:p w14:paraId="5680406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波动率越大，对期权多头越不利，期权价格也应越低 </w:t>
      </w:r>
    </w:p>
    <w:p w14:paraId="6C73304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在期权有效期内，标的资产产生的红利将使看涨期权价格下降 </w:t>
      </w:r>
    </w:p>
    <w:p w14:paraId="178C65D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34、下列各项内容可以通过基金财务报告的分析获得的有（）。 </w:t>
      </w:r>
    </w:p>
    <w:p w14:paraId="7447553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Ⅰ基金分红能力分析 </w:t>
      </w:r>
    </w:p>
    <w:p w14:paraId="74C903D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Ⅱ基金持仓结构分析 </w:t>
      </w:r>
    </w:p>
    <w:p w14:paraId="2249D07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Ⅲ基金资产估值分析 </w:t>
      </w:r>
    </w:p>
    <w:p w14:paraId="1D8AA69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Ⅳ基金费用情况分析 </w:t>
      </w:r>
    </w:p>
    <w:p w14:paraId="6090C8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690A0C2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Ⅰ、Ⅱ、Ⅳ</w:t>
      </w:r>
    </w:p>
    <w:p w14:paraId="6E25B1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21F420E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0584A9D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35、以下关于平均收益率的说法，正确的是（）。 </w:t>
      </w:r>
    </w:p>
    <w:p w14:paraId="033359E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平均收益率一般可分为算术平均收益率和几何平均收益率 </w:t>
      </w:r>
    </w:p>
    <w:p w14:paraId="1CDCDC5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算术平均收益率运用了复利的思想 </w:t>
      </w:r>
    </w:p>
    <w:p w14:paraId="2E7B9F5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算术平均收益率考虑了货币的时间价值 </w:t>
      </w:r>
    </w:p>
    <w:p w14:paraId="72C09B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几何平均收益率运用了单利的思想 </w:t>
      </w:r>
    </w:p>
    <w:p w14:paraId="2722591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36、根据杜邦分析，在假定其它财务数据不变的情况下，以下变化将导致企业净资产收益率下降的是（）。 </w:t>
      </w:r>
    </w:p>
    <w:p w14:paraId="06ED4A7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销售收入和总资产等额下降 </w:t>
      </w:r>
    </w:p>
    <w:p w14:paraId="1AB4A2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销售收入和净利润等额上升 </w:t>
      </w:r>
    </w:p>
    <w:p w14:paraId="6545BD5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总资产和净资产等额增加 </w:t>
      </w:r>
    </w:p>
    <w:p w14:paraId="04DEFD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总资产和总负债等额增加 </w:t>
      </w:r>
    </w:p>
    <w:p w14:paraId="27585E9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37、基金公司交易员在交易执行环节，对银行间市场交易对手的风险评估不足，造成交易违约，这属于（）。 </w:t>
      </w:r>
    </w:p>
    <w:p w14:paraId="552D12B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投资风险 </w:t>
      </w:r>
    </w:p>
    <w:p w14:paraId="5143C95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信用风险 </w:t>
      </w:r>
    </w:p>
    <w:p w14:paraId="3CBB4B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市场风险 </w:t>
      </w:r>
    </w:p>
    <w:p w14:paraId="6D91180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操作风险 </w:t>
      </w:r>
    </w:p>
    <w:p w14:paraId="1CB596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38、期权合约的要素包括（）。 </w:t>
      </w:r>
    </w:p>
    <w:p w14:paraId="76BB4BE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Ⅰ.标的资产 </w:t>
      </w:r>
    </w:p>
    <w:p w14:paraId="04B9ED2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Ⅱ.执行价格 </w:t>
      </w:r>
    </w:p>
    <w:p w14:paraId="4824C81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Ⅲ.通知日 </w:t>
      </w:r>
    </w:p>
    <w:p w14:paraId="0ABE54B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Ⅳ.期权费 </w:t>
      </w:r>
    </w:p>
    <w:p w14:paraId="554EDA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7BF5E74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Ⅰ、Ⅲ、Ⅳ </w:t>
      </w:r>
    </w:p>
    <w:p w14:paraId="37287BC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24D3A1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743E7B6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39、下列属于流动资产的是（）。 </w:t>
      </w:r>
    </w:p>
    <w:p w14:paraId="4A47CE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应收账款 </w:t>
      </w:r>
    </w:p>
    <w:p w14:paraId="01173EC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应付票据 </w:t>
      </w:r>
    </w:p>
    <w:p w14:paraId="778E0C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短期借款 </w:t>
      </w:r>
    </w:p>
    <w:p w14:paraId="60A12B5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应付账款</w:t>
      </w:r>
    </w:p>
    <w:p w14:paraId="7374131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40、A公司2015年的总资产、总负债、销售收入、净利润均较2014年上升1亿元，则以下说法正确的是（）。 </w:t>
      </w:r>
    </w:p>
    <w:p w14:paraId="797A83F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A公司2015年净资产收益率高于2014年 </w:t>
      </w:r>
    </w:p>
    <w:p w14:paraId="1173DF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A公司2015年总资产收益率高于2014年 </w:t>
      </w:r>
    </w:p>
    <w:p w14:paraId="360B4EE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A公司2015年总资产收益率低于2014年 </w:t>
      </w:r>
    </w:p>
    <w:p w14:paraId="0F4E3E4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A公司2015年销售利润率高于2014年 </w:t>
      </w:r>
    </w:p>
    <w:p w14:paraId="5007E20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41、无论期限的长短，央行票据的交易流通起始日均为债券债务（）。 </w:t>
      </w:r>
    </w:p>
    <w:p w14:paraId="508C320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登记日当天 </w:t>
      </w:r>
    </w:p>
    <w:p w14:paraId="32898C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登记日次日 </w:t>
      </w:r>
    </w:p>
    <w:p w14:paraId="534AA1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登记日次工作日 </w:t>
      </w:r>
    </w:p>
    <w:p w14:paraId="311ABE6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债券缴款次日 </w:t>
      </w:r>
    </w:p>
    <w:p w14:paraId="31B40F8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42、浮动利率的表达式为（）。 </w:t>
      </w:r>
    </w:p>
    <w:p w14:paraId="0FE9C2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浮动利率=银行定期存款利率+利差 </w:t>
      </w:r>
    </w:p>
    <w:p w14:paraId="429E21A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浮动利率=基准利率+利差 </w:t>
      </w:r>
    </w:p>
    <w:p w14:paraId="1244BA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浮动利率=基准利率-利差 </w:t>
      </w:r>
    </w:p>
    <w:p w14:paraId="2A702D4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浮动利率=银行定期存款利率-利率 </w:t>
      </w:r>
    </w:p>
    <w:p w14:paraId="1766D91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43、某企业的年末财务报表中显示，该年度的销售收入为30万，净利润为15万，企业年末总资产为120万，所有者权益为80万。则该企业的净资产收益率 </w:t>
      </w:r>
    </w:p>
    <w:p w14:paraId="0C8803A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为（）。 </w:t>
      </w:r>
    </w:p>
    <w:p w14:paraId="024A2CA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0.185 </w:t>
      </w:r>
    </w:p>
    <w:p w14:paraId="1B140AF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0.1875 </w:t>
      </w:r>
    </w:p>
    <w:p w14:paraId="3CC4EBA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0.1825 </w:t>
      </w:r>
    </w:p>
    <w:p w14:paraId="6686A2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0.1855 </w:t>
      </w:r>
    </w:p>
    <w:p w14:paraId="3DE1092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44、在资本市场理论假设成立的前提下，下列对市场均衡状态的判断中，错误的有（）。 </w:t>
      </w:r>
    </w:p>
    <w:p w14:paraId="24D2DAD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Ⅰ市场投资组合包含市场上所有风险资产，其包含的各资产的投资比例与整个市场上的风险资产的相对市值比例一致 </w:t>
      </w:r>
    </w:p>
    <w:p w14:paraId="10FCB23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Ⅱ市场组合是最优风险投资组合，即资本市场线与有效边界的切点 </w:t>
      </w:r>
    </w:p>
    <w:p w14:paraId="0E55BC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Ⅲ市场组合的风险溢价与市场组合的方差和投资者的典型风险偏好成反比 </w:t>
      </w:r>
    </w:p>
    <w:p w14:paraId="5DF13E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Ⅳ单个资产的风险溢价与市场投资组合m的风险溢价和该资产的β系数成比例 </w:t>
      </w:r>
    </w:p>
    <w:p w14:paraId="725C53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Ⅱ、Ⅲ、Ⅳ </w:t>
      </w:r>
    </w:p>
    <w:p w14:paraId="79A059D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67B99E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Ⅰ、Ⅳ </w:t>
      </w:r>
    </w:p>
    <w:p w14:paraId="71A73BD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 </w:t>
      </w:r>
    </w:p>
    <w:p w14:paraId="1F6B7A4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45、境内机构投资者可以委托符合一定条件的投资顾问进行境外证券投资，这些条件不包括()。 </w:t>
      </w:r>
    </w:p>
    <w:p w14:paraId="616D3BF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在境外设立，经所在国家或地区监管机构批准从事投资管理业务 </w:t>
      </w:r>
    </w:p>
    <w:p w14:paraId="13F2424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经营投资管理业务达10年以上</w:t>
      </w:r>
    </w:p>
    <w:p w14:paraId="3AC4D64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最近5年没有受到所在国家或地区监管机构的重大处罚 </w:t>
      </w:r>
    </w:p>
    <w:p w14:paraId="4524BA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最近一个会计年度管理的证券资产不少于100亿美元或等值货币 </w:t>
      </w:r>
    </w:p>
    <w:p w14:paraId="0863EBF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46、跨境投资风险中的估值风险主要有（）。 </w:t>
      </w:r>
    </w:p>
    <w:p w14:paraId="034FC10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Ⅰ.多品种和多币种核算问题 </w:t>
      </w:r>
    </w:p>
    <w:p w14:paraId="7444B74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Ⅱ.基金估值核算数据来源不一致 </w:t>
      </w:r>
    </w:p>
    <w:p w14:paraId="4A07E64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Ⅲ.证券交易不活跃 </w:t>
      </w:r>
    </w:p>
    <w:p w14:paraId="2F0E24C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Ⅳ.各国税收制度不一致 </w:t>
      </w:r>
    </w:p>
    <w:p w14:paraId="706F189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Ⅰ、Ⅱ、Ⅳ </w:t>
      </w:r>
    </w:p>
    <w:p w14:paraId="78A009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6D5698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5AFEEE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 </w:t>
      </w:r>
    </w:p>
    <w:p w14:paraId="1CCB0D6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47、下列不属于国内外的私募股权投资机构类型的是（）。 </w:t>
      </w:r>
    </w:p>
    <w:p w14:paraId="3E96FB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专业化的私募投资基金 </w:t>
      </w:r>
    </w:p>
    <w:p w14:paraId="5DCB722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大型多元化金融机构下设的直接投资部门 </w:t>
      </w:r>
    </w:p>
    <w:p w14:paraId="757A442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具有政府背景的投资基金 </w:t>
      </w:r>
    </w:p>
    <w:p w14:paraId="76C57A0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大型企业的风险管理部门 </w:t>
      </w:r>
    </w:p>
    <w:p w14:paraId="32101A6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48、如果某证券市场的证券价格仅反映了历史价格信息，而未充分反映当前与证券有关的公开信息及内部信息，说明该证券市场为（）。 </w:t>
      </w:r>
    </w:p>
    <w:p w14:paraId="43E3B0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半强有效市场 </w:t>
      </w:r>
    </w:p>
    <w:p w14:paraId="002B58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无效市场 </w:t>
      </w:r>
    </w:p>
    <w:p w14:paraId="6D24E3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弱有效市场 </w:t>
      </w:r>
    </w:p>
    <w:p w14:paraId="358CF5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强有效市场 </w:t>
      </w:r>
    </w:p>
    <w:p w14:paraId="0515172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49、某基金的贝塔值为1.2，收益率为15%，市场组合的收益率为12%，无风险利率8%，其詹森α为（）。 </w:t>
      </w:r>
    </w:p>
    <w:p w14:paraId="2781B63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0.02 </w:t>
      </w:r>
    </w:p>
    <w:p w14:paraId="459825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0.022 </w:t>
      </w:r>
    </w:p>
    <w:p w14:paraId="33FD8A1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0.031 </w:t>
      </w:r>
    </w:p>
    <w:p w14:paraId="36F217E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0.033 </w:t>
      </w:r>
    </w:p>
    <w:p w14:paraId="4B2B1F8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50、下列属于全球领先另类投资管理人的是（）。 </w:t>
      </w:r>
    </w:p>
    <w:p w14:paraId="23FDA76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Ⅰ．桥水 </w:t>
      </w:r>
    </w:p>
    <w:p w14:paraId="3D9E2B2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Ⅱ．TH房地产 </w:t>
      </w:r>
    </w:p>
    <w:p w14:paraId="138BF2F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Ⅲ．韦莱韬悦 </w:t>
      </w:r>
    </w:p>
    <w:p w14:paraId="5931AA8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Ⅳ．麦格理集团 </w:t>
      </w:r>
    </w:p>
    <w:p w14:paraId="70D0CB3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Ⅴ．黑石 </w:t>
      </w:r>
    </w:p>
    <w:p w14:paraId="767C18D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 </w:t>
      </w:r>
    </w:p>
    <w:p w14:paraId="25A368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Ⅱ、Ⅲ、Ⅳ、Ⅴ </w:t>
      </w:r>
    </w:p>
    <w:p w14:paraId="603D9CD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Ⅰ、Ⅱ、Ⅲ、Ⅴ </w:t>
      </w:r>
    </w:p>
    <w:p w14:paraId="0BD019A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Ⅰ、Ⅱ、Ⅳ、Ⅴ</w:t>
      </w:r>
    </w:p>
    <w:p w14:paraId="1130504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51、（）是指通过换股方式获得目标公司的控制权。 </w:t>
      </w:r>
    </w:p>
    <w:p w14:paraId="1525EA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股权稀释 </w:t>
      </w:r>
    </w:p>
    <w:p w14:paraId="4AB2DD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股票转换 </w:t>
      </w:r>
    </w:p>
    <w:p w14:paraId="14AE4B7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股票支付 </w:t>
      </w:r>
    </w:p>
    <w:p w14:paraId="63ED070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股票回购 </w:t>
      </w:r>
    </w:p>
    <w:p w14:paraId="4B73E97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52、UCITS五号令中补充和更新的内容包括（）。 </w:t>
      </w:r>
    </w:p>
    <w:p w14:paraId="516AEAC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Ⅰ.托管机构的资格条件 </w:t>
      </w:r>
    </w:p>
    <w:p w14:paraId="02A41B0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Ⅱ.管理公司的护照 </w:t>
      </w:r>
    </w:p>
    <w:p w14:paraId="125AABC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Ⅲ.引入基金管理公司通行证 </w:t>
      </w:r>
    </w:p>
    <w:p w14:paraId="41EDE95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Ⅳ.引入管理人薪酬政策 </w:t>
      </w:r>
    </w:p>
    <w:p w14:paraId="4802B87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Ⅴ.完善处罚惩戒体系 </w:t>
      </w:r>
    </w:p>
    <w:p w14:paraId="1133425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79AA62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Ⅰ、Ⅱ、Ⅳ、Ⅴ </w:t>
      </w:r>
    </w:p>
    <w:p w14:paraId="11A40A1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Ⅰ、Ⅳ、Ⅴ </w:t>
      </w:r>
    </w:p>
    <w:p w14:paraId="462923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Ⅰ、Ⅱ、Ⅲ、Ⅳ、Ⅴ </w:t>
      </w:r>
    </w:p>
    <w:p w14:paraId="5EF4348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53、（）中国证监会颁布《外资参股基金管理公司设立规则》，正式允许外资参股基金管理公司。 </w:t>
      </w:r>
    </w:p>
    <w:p w14:paraId="7A8E20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2003年6月 </w:t>
      </w:r>
    </w:p>
    <w:p w14:paraId="55E558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2002年6月 </w:t>
      </w:r>
    </w:p>
    <w:p w14:paraId="1F45D8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2003年12月 </w:t>
      </w:r>
    </w:p>
    <w:p w14:paraId="369B32B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2002年12月 </w:t>
      </w:r>
    </w:p>
    <w:p w14:paraId="5D394F5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54、关于预期损失，下列表述正确的是（）。 </w:t>
      </w:r>
    </w:p>
    <w:p w14:paraId="31C30E6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预期损失是指在给定时间区间和置信区间内，投资组合所面临的潜在最小损失 </w:t>
      </w:r>
    </w:p>
    <w:p w14:paraId="37F2E45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预期损失是指在给定时间区间和置信区间内，投资组合损失的期望值 </w:t>
      </w:r>
    </w:p>
    <w:p w14:paraId="6E48FF9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预期损失只是一个分位值，不能衡量最左侧灰色区域的风险情况 </w:t>
      </w:r>
    </w:p>
    <w:p w14:paraId="4D97090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预期损失是指给定时间和置信区间内，投资组合所面临的潜在最大损失 </w:t>
      </w:r>
    </w:p>
    <w:p w14:paraId="04D6B1A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55、根据《公开募集证券投资基金运作管理办法》的规定，封闭式基金的收益分配频率为（）。 </w:t>
      </w:r>
    </w:p>
    <w:p w14:paraId="67996D1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每月一次 </w:t>
      </w:r>
    </w:p>
    <w:p w14:paraId="53E2EF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每半年一次 </w:t>
      </w:r>
    </w:p>
    <w:p w14:paraId="2CEBA87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每年不得少于一次 </w:t>
      </w:r>
    </w:p>
    <w:p w14:paraId="7768AD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每年不得少于两次 </w:t>
      </w:r>
    </w:p>
    <w:p w14:paraId="4749E7A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56、以下属于债券投资系统性风险的是（）。 </w:t>
      </w:r>
    </w:p>
    <w:p w14:paraId="5DFFB40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债券信用评级被下调 </w:t>
      </w:r>
    </w:p>
    <w:p w14:paraId="0DC3FD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通货膨胀 </w:t>
      </w:r>
    </w:p>
    <w:p w14:paraId="5EB29B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信用债交易流动性不足 </w:t>
      </w:r>
    </w:p>
    <w:p w14:paraId="794A4D8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发行方宣布回购债券</w:t>
      </w:r>
    </w:p>
    <w:p w14:paraId="2DA74F8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rB=15%，C股票的期望收益率rC=10%;则该股票组合期望收益率是（）。 </w:t>
      </w:r>
    </w:p>
    <w:p w14:paraId="1FCA413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0.12 </w:t>
      </w:r>
    </w:p>
    <w:p w14:paraId="755B6C1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0.14 </w:t>
      </w:r>
    </w:p>
    <w:p w14:paraId="17FD49D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0.16 </w:t>
      </w:r>
    </w:p>
    <w:p w14:paraId="033C7B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0.18 </w:t>
      </w:r>
    </w:p>
    <w:p w14:paraId="44024E9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58、下列关于权证的价值说法错误的是（）。 </w:t>
      </w:r>
    </w:p>
    <w:p w14:paraId="3E729B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认股权证总是具有价值 </w:t>
      </w:r>
    </w:p>
    <w:p w14:paraId="3459EB5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认股权证的价值等于其内在价值与时间价值之和 </w:t>
      </w:r>
    </w:p>
    <w:p w14:paraId="714CB25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认股权证的内在价值：Max{（普通股市价一行权价格）×行权比例，0} </w:t>
      </w:r>
    </w:p>
    <w:p w14:paraId="387745D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当标的资产的市场价格低于行权价格时，权证的内在价值等于0 </w:t>
      </w:r>
    </w:p>
    <w:p w14:paraId="12415BF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59、在1988~1991年，中国债券市场主要以（）为主。 </w:t>
      </w:r>
    </w:p>
    <w:p w14:paraId="096A83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柜台交易市场 </w:t>
      </w:r>
    </w:p>
    <w:p w14:paraId="5781AE8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交易所市场 </w:t>
      </w:r>
    </w:p>
    <w:p w14:paraId="089BE7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银行间市场 </w:t>
      </w:r>
    </w:p>
    <w:p w14:paraId="3299C81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场外市场 </w:t>
      </w:r>
    </w:p>
    <w:p w14:paraId="36591D0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60、《T章程》（）强制性，（）合同性。 </w:t>
      </w:r>
    </w:p>
    <w:p w14:paraId="78E728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具备；不具备 </w:t>
      </w:r>
    </w:p>
    <w:p w14:paraId="1AC175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不具备；具备 </w:t>
      </w:r>
    </w:p>
    <w:p w14:paraId="5EA474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不具备；不具备 </w:t>
      </w:r>
    </w:p>
    <w:p w14:paraId="2DF5A2D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具备；具备 </w:t>
      </w:r>
    </w:p>
    <w:p w14:paraId="3C971A1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61、下列关于互换合约说法，错误的是（）。 </w:t>
      </w:r>
    </w:p>
    <w:p w14:paraId="0E0F354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互换合约是指交易双方约定在未来某一时期相互交换某种合约标的资产的合约 </w:t>
      </w:r>
    </w:p>
    <w:p w14:paraId="3B7AF56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互换合约是双方约定的在未来某期间内交换其认为具有相等经济价值现金流的合约 </w:t>
      </w:r>
    </w:p>
    <w:p w14:paraId="51B41EC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最为常见的互换合约是信用违约互换合约 </w:t>
      </w:r>
    </w:p>
    <w:p w14:paraId="56D894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货币互换合约是指两种货币资金的本金交换 </w:t>
      </w:r>
    </w:p>
    <w:p w14:paraId="48E0444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62、股票可以通过依法转让而变现的特性是指股票的（）。 </w:t>
      </w:r>
    </w:p>
    <w:p w14:paraId="18DA4F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期限性 </w:t>
      </w:r>
    </w:p>
    <w:p w14:paraId="18564A7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风险性 </w:t>
      </w:r>
    </w:p>
    <w:p w14:paraId="034C1C3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流动性 </w:t>
      </w:r>
    </w:p>
    <w:p w14:paraId="0C0917D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永久性 </w:t>
      </w:r>
    </w:p>
    <w:p w14:paraId="39D742B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63、下列选项不属于我国回购协议期限的是（）。</w:t>
      </w:r>
    </w:p>
    <w:p w14:paraId="41B9B92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隔夜回购 </w:t>
      </w:r>
    </w:p>
    <w:p w14:paraId="3E90D1E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4天 </w:t>
      </w:r>
    </w:p>
    <w:p w14:paraId="6291DFC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28天 </w:t>
      </w:r>
    </w:p>
    <w:p w14:paraId="780629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56天 </w:t>
      </w:r>
    </w:p>
    <w:p w14:paraId="5EFF936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64、关于投资大宗商品的主要方式，以下表述正确的是()。 </w:t>
      </w:r>
    </w:p>
    <w:p w14:paraId="6595BC2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Ⅰ.购买大宗商品实物 </w:t>
      </w:r>
    </w:p>
    <w:p w14:paraId="3128607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Ⅱ.购买大宗商品相关股票 </w:t>
      </w:r>
    </w:p>
    <w:p w14:paraId="47642F8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Ⅲ.投资大宗商品衍生工具 </w:t>
      </w:r>
    </w:p>
    <w:p w14:paraId="62DE5C5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Ⅳ.投资大宗商品结构化工具 </w:t>
      </w:r>
    </w:p>
    <w:p w14:paraId="41402F8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2D0856C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4C31F40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 </w:t>
      </w:r>
    </w:p>
    <w:p w14:paraId="0B3C2A7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21825E8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65、（）是股票最基本的特征。 </w:t>
      </w:r>
    </w:p>
    <w:p w14:paraId="1A408F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收益性 </w:t>
      </w:r>
    </w:p>
    <w:p w14:paraId="2A1594C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风险性 </w:t>
      </w:r>
    </w:p>
    <w:p w14:paraId="64FF292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流动性 </w:t>
      </w:r>
    </w:p>
    <w:p w14:paraId="1248910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永久性 </w:t>
      </w:r>
    </w:p>
    <w:p w14:paraId="27F7C11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66、以下关于市盈率指标的说法不正确的是（）。 </w:t>
      </w:r>
    </w:p>
    <w:p w14:paraId="28AADD4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市盈率指标揭示了盈余与股价之间的关系 </w:t>
      </w:r>
    </w:p>
    <w:p w14:paraId="651014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市盈率的倒数是收益率 </w:t>
      </w:r>
    </w:p>
    <w:p w14:paraId="06DE5E7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市盈率指标属于内在估值法的常用指标 </w:t>
      </w:r>
    </w:p>
    <w:p w14:paraId="2210E26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根据市盈率偏高或偏低，投资者判断股票价格被高估或低估 </w:t>
      </w:r>
    </w:p>
    <w:p w14:paraId="627CAEF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67、（）是企业在付息日或负债到期日无法以现金方式支付利息或偿还本金的风险，严重时可能导致企业破产或倒闭。 </w:t>
      </w:r>
    </w:p>
    <w:p w14:paraId="5234C4C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市场风险 </w:t>
      </w:r>
    </w:p>
    <w:p w14:paraId="17C43BA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经营风险 </w:t>
      </w:r>
    </w:p>
    <w:p w14:paraId="3177702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流动性风险 </w:t>
      </w:r>
    </w:p>
    <w:p w14:paraId="1107179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财务风险 </w:t>
      </w:r>
    </w:p>
    <w:p w14:paraId="56431E9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68、（）的引入主要是为克服市盈率等指标的局限性，在评估股票价值时需要对公司的收入质量进行评价。 </w:t>
      </w:r>
    </w:p>
    <w:p w14:paraId="2649F3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市现率 </w:t>
      </w:r>
    </w:p>
    <w:p w14:paraId="2FF86E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市净率 </w:t>
      </w:r>
    </w:p>
    <w:p w14:paraId="4130069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市销率 </w:t>
      </w:r>
    </w:p>
    <w:p w14:paraId="320A29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企业价值倍数</w:t>
      </w:r>
    </w:p>
    <w:p w14:paraId="533D92F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69、一般地，做市商可以分为（）。 </w:t>
      </w:r>
    </w:p>
    <w:p w14:paraId="2FB1B24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特定做市商和普通做市商 </w:t>
      </w:r>
    </w:p>
    <w:p w14:paraId="02447B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单一做市商和多元做市商 </w:t>
      </w:r>
    </w:p>
    <w:p w14:paraId="25955D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普通做市商和多元做市商 </w:t>
      </w:r>
    </w:p>
    <w:p w14:paraId="494B9D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特定做市商和多元做市商 </w:t>
      </w:r>
    </w:p>
    <w:p w14:paraId="24B73AE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70、下列关于在香港设立分支机构的基本条件说法错误的是（）。 </w:t>
      </w:r>
    </w:p>
    <w:p w14:paraId="74D7A0E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公司最近3年内没有因违法违规行为受到行政处罚或者刑事处罚 </w:t>
      </w:r>
    </w:p>
    <w:p w14:paraId="290B3C4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公司治理健全，内部监控完善，经营稳定，有较强的持续经营能力 </w:t>
      </w:r>
    </w:p>
    <w:p w14:paraId="5EA8DBC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拟设立的子公司、分支机构有符合规定的名称、办公场所、业务人员、安全防范设施和与业务有关的其他设施 </w:t>
      </w:r>
    </w:p>
    <w:p w14:paraId="64F844F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拟设立的子公司、分支机构有明确的职责和完善的管理制度 </w:t>
      </w:r>
    </w:p>
    <w:p w14:paraId="6854E6A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71、在计算出基金（）的基础上可以将其分解，研究基金（）的组成，这就是基金的业绩归因。 </w:t>
      </w:r>
    </w:p>
    <w:p w14:paraId="39E2F41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相对收益；相对收益 </w:t>
      </w:r>
    </w:p>
    <w:p w14:paraId="3F07EF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绝对收益；绝对收益 </w:t>
      </w:r>
    </w:p>
    <w:p w14:paraId="0849B29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超额收益；超额收益 </w:t>
      </w:r>
    </w:p>
    <w:p w14:paraId="446216A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全部收益；全部收益 </w:t>
      </w:r>
    </w:p>
    <w:p w14:paraId="42BA987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72、最常用的VaR估算方法不包括（）。 </w:t>
      </w:r>
    </w:p>
    <w:p w14:paraId="679921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方差法 </w:t>
      </w:r>
    </w:p>
    <w:p w14:paraId="2E8995C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参数法 </w:t>
      </w:r>
    </w:p>
    <w:p w14:paraId="4ECF7E1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历史模拟法 </w:t>
      </w:r>
    </w:p>
    <w:p w14:paraId="630E28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蒙特卡洛模拟法 </w:t>
      </w:r>
    </w:p>
    <w:p w14:paraId="367EC4A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73、以下关于正态分布的说法正确的是（）。 </w:t>
      </w:r>
    </w:p>
    <w:p w14:paraId="581CB05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正态分布是最重要的一类离散型随机变量分布 </w:t>
      </w:r>
    </w:p>
    <w:p w14:paraId="48576F0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当没有任何决定性的消息发布的时候，股价走势很多时候呈现出“随机游走”的特点，这里的“随机游走”就是指股价的波动值服从正态分布 </w:t>
      </w:r>
    </w:p>
    <w:p w14:paraId="301C2F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正态分布密度函数的显著特点是中间低两边高，是一条光滑的“钟形曲线” </w:t>
      </w:r>
    </w:p>
    <w:p w14:paraId="3D8E48B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正态分布距离均值越近的地方数值越分散，而在离均值较远的地方数值则很密集 </w:t>
      </w:r>
    </w:p>
    <w:p w14:paraId="5A623FD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74、与被动投资策略相比，主动投资策略（）。 </w:t>
      </w:r>
    </w:p>
    <w:p w14:paraId="70CC331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力求超越市场业绩 </w:t>
      </w:r>
    </w:p>
    <w:p w14:paraId="27036A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投资风险更低 </w:t>
      </w:r>
    </w:p>
    <w:p w14:paraId="78D3EE8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更适合于完全有效的市场 </w:t>
      </w:r>
    </w:p>
    <w:p w14:paraId="06DA89C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交易频率更低，交易费用更低</w:t>
      </w:r>
    </w:p>
    <w:p w14:paraId="3D3A60E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75、下列不属于我国QFII机制的特点的是（）。 </w:t>
      </w:r>
    </w:p>
    <w:p w14:paraId="5C41E94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QFII准入的主体范围扩大、要求提高 </w:t>
      </w:r>
    </w:p>
    <w:p w14:paraId="0C6E06F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我国的QFII制度设计对各类养老基金、慈善基金、保险基金等有政策倾斜 </w:t>
      </w:r>
    </w:p>
    <w:p w14:paraId="4CCF9A1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我国的QFII制度注重吸引长期机构投资者 </w:t>
      </w:r>
    </w:p>
    <w:p w14:paraId="2D793D0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我国QFII机制引入后稳定发展 </w:t>
      </w:r>
    </w:p>
    <w:p w14:paraId="2459CEA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76、投资者5月4日购入的欧式期权5月15日到期，在以下时间投资者可以执行期权（）。 </w:t>
      </w:r>
    </w:p>
    <w:p w14:paraId="25B024E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Ⅰ.5月14日 </w:t>
      </w:r>
    </w:p>
    <w:p w14:paraId="65FA4DF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Ⅱ.5月15日 </w:t>
      </w:r>
    </w:p>
    <w:p w14:paraId="2A852AE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Ⅲ.5月16日 </w:t>
      </w:r>
    </w:p>
    <w:p w14:paraId="00E05FC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21D92A6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 </w:t>
      </w:r>
    </w:p>
    <w:p w14:paraId="38F69D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692DEA8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 </w:t>
      </w:r>
    </w:p>
    <w:p w14:paraId="6BC1DE1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77、国际证监会组织强调，跨境活动涉及的双方主管机构必须尽可能为对方提供有关从事跨境活动的基金的信息，除就例行性事务提供一个定期交换信息的机制外，信息交换措施更可谓双方主管机构提供一个（）的功能性渠道。 </w:t>
      </w:r>
    </w:p>
    <w:p w14:paraId="5451286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相互协助机制 </w:t>
      </w:r>
    </w:p>
    <w:p w14:paraId="5A97C2E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早期预警机制 </w:t>
      </w:r>
    </w:p>
    <w:p w14:paraId="495CF5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临时性事务 </w:t>
      </w:r>
    </w:p>
    <w:p w14:paraId="150DE1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风险预警机制 </w:t>
      </w:r>
    </w:p>
    <w:p w14:paraId="3F1358B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78、A证券的预期收益率为10%，B证券的预期收益率为20%，A证券和B证券占投资组合的比重分别为40%和60%，该投资组合的期望收益率为（）。 </w:t>
      </w:r>
    </w:p>
    <w:p w14:paraId="589AA1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0.16 </w:t>
      </w:r>
    </w:p>
    <w:p w14:paraId="675662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0.3 </w:t>
      </w:r>
    </w:p>
    <w:p w14:paraId="685EBB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0.15 </w:t>
      </w:r>
    </w:p>
    <w:p w14:paraId="4ED209B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0.25 </w:t>
      </w:r>
    </w:p>
    <w:p w14:paraId="129AAE6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79、跨境投资风险包括（）。 </w:t>
      </w:r>
    </w:p>
    <w:p w14:paraId="1ABE72F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Ⅰ政治风险 </w:t>
      </w:r>
    </w:p>
    <w:p w14:paraId="0E97EE9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Ⅱ税收风险 </w:t>
      </w:r>
    </w:p>
    <w:p w14:paraId="2D68A6D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Ⅲ管理风险 </w:t>
      </w:r>
    </w:p>
    <w:p w14:paraId="66F13AF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Ⅳ交易和估值风险 </w:t>
      </w:r>
    </w:p>
    <w:p w14:paraId="7BB64CE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67E48C8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7DC83CF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6A91578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3E467E4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80、基金管理公司应制定估值及份额净值计价错误的识别及应急方案。当错误达到或超过基金资产净值的（）时，基金管理人应及时向中国证监会报告。 </w:t>
      </w:r>
    </w:p>
    <w:p w14:paraId="407DC33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0.0015</w:t>
      </w:r>
    </w:p>
    <w:p w14:paraId="34E7AD1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0.0025 </w:t>
      </w:r>
    </w:p>
    <w:p w14:paraId="62555F5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0.005 </w:t>
      </w:r>
    </w:p>
    <w:p w14:paraId="3F61E5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0.0075 </w:t>
      </w:r>
    </w:p>
    <w:p w14:paraId="1B9841F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81、从2008年9月19日起，基金卖出股票时______印花税，买入股票时______印花税。（） </w:t>
      </w:r>
    </w:p>
    <w:p w14:paraId="4A1E35D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征收；征收 </w:t>
      </w:r>
    </w:p>
    <w:p w14:paraId="2091015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征收；不征收 </w:t>
      </w:r>
    </w:p>
    <w:p w14:paraId="2471339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不征收；征收 </w:t>
      </w:r>
    </w:p>
    <w:p w14:paraId="37B4F71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不征收；不征收 </w:t>
      </w:r>
    </w:p>
    <w:p w14:paraId="46F5FF8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82、关于下行标准差，以下表述错误的是（）。 </w:t>
      </w:r>
    </w:p>
    <w:p w14:paraId="37EA09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通常需要对下行标准差进行年化处理 </w:t>
      </w:r>
    </w:p>
    <w:p w14:paraId="18E4B78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下行标准差关注波动率低于目标的风险 </w:t>
      </w:r>
    </w:p>
    <w:p w14:paraId="2E6E512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如果投资组合在考察期间一直超越目标，则下行标准差将得不到足够的数据点进行计算 </w:t>
      </w:r>
    </w:p>
    <w:p w14:paraId="4D96F1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计算下行标准差时需要知道目标收益率 </w:t>
      </w:r>
    </w:p>
    <w:p w14:paraId="46E4F75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83、沪深300指数期货合约条款最小变动价位是（）指数点。 </w:t>
      </w:r>
    </w:p>
    <w:p w14:paraId="14743CC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0.1 </w:t>
      </w:r>
    </w:p>
    <w:p w14:paraId="0C5E5A1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0.2 </w:t>
      </w:r>
    </w:p>
    <w:p w14:paraId="010947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0.3 </w:t>
      </w:r>
    </w:p>
    <w:p w14:paraId="6A1ACA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0.5 </w:t>
      </w:r>
    </w:p>
    <w:p w14:paraId="15FBBD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84、对基金进行业绩评价的前提是（）。 </w:t>
      </w:r>
    </w:p>
    <w:p w14:paraId="6DA1609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基金盈利能力分析 </w:t>
      </w:r>
    </w:p>
    <w:p w14:paraId="741B71F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主动管理能力分析 </w:t>
      </w:r>
    </w:p>
    <w:p w14:paraId="38831B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基金业绩的持续性分析与预测 </w:t>
      </w:r>
    </w:p>
    <w:p w14:paraId="20D4B4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基金投资风格分析 </w:t>
      </w:r>
    </w:p>
    <w:p w14:paraId="43B4EDE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85、关于基金的利润来源，下列说法错误的是（）。 </w:t>
      </w:r>
    </w:p>
    <w:p w14:paraId="0DEA19D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基金中的基金具有的基金投资收益属于投资收益 </w:t>
      </w:r>
    </w:p>
    <w:p w14:paraId="5A42616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赎回费扣除基本手续费后的余额也是基金的利润来源 </w:t>
      </w:r>
    </w:p>
    <w:p w14:paraId="7633634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投资收益即指基金在其经营过程中因买卖股票、债券等金融资产所获得的资本回报 </w:t>
      </w:r>
    </w:p>
    <w:p w14:paraId="5CB2DDD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利息收入是指由于基金对固定收益类金融资产的投资所实现的收入 </w:t>
      </w:r>
    </w:p>
    <w:p w14:paraId="214B89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86、某投资者在周五申购某场外货币市场基金，假设下周一是工作日，享有基金的分配权益的时点是（）。 </w:t>
      </w:r>
    </w:p>
    <w:p w14:paraId="37FE96C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周六 </w:t>
      </w:r>
    </w:p>
    <w:p w14:paraId="2EE644E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下周一 </w:t>
      </w:r>
    </w:p>
    <w:p w14:paraId="3A2BBFA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周五 </w:t>
      </w:r>
    </w:p>
    <w:p w14:paraId="657D295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周日</w:t>
      </w:r>
    </w:p>
    <w:p w14:paraId="3C499B1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87、自由现金流贴现模型下，FCFF等于（）。 </w:t>
      </w:r>
    </w:p>
    <w:p w14:paraId="43A3BE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FCFF=EBIT×(1-税率)+折旧-资本性支出-追加营运资本 </w:t>
      </w:r>
    </w:p>
    <w:p w14:paraId="11AE1F7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FCFF=EBIT×(1-税率)-折旧-资本性支出-追加营运资本 </w:t>
      </w:r>
    </w:p>
    <w:p w14:paraId="31C5EE8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FCFF=EBIT×(1-税率)+折旧+资本性支出-追加营运资本 </w:t>
      </w:r>
    </w:p>
    <w:p w14:paraId="72DCF61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FCFF=EBIT×(1-税率)-折旧-资本性支出+追加营运资本 </w:t>
      </w:r>
    </w:p>
    <w:p w14:paraId="289CAA7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88、（）是指拟上市公司首次面向不特定的社会公众投资者公开发行股票筹集资金并上市的行为。 </w:t>
      </w:r>
    </w:p>
    <w:p w14:paraId="122643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再融资 </w:t>
      </w:r>
    </w:p>
    <w:p w14:paraId="5A0AEF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股票回购 </w:t>
      </w:r>
    </w:p>
    <w:p w14:paraId="597D9A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股票拆分 </w:t>
      </w:r>
    </w:p>
    <w:p w14:paraId="09118F3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首次公开发行 </w:t>
      </w:r>
    </w:p>
    <w:p w14:paraId="160B375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89、基金的利润来源不包括（）。 </w:t>
      </w:r>
    </w:p>
    <w:p w14:paraId="486347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利息收入 </w:t>
      </w:r>
    </w:p>
    <w:p w14:paraId="4C841A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投资收益 </w:t>
      </w:r>
    </w:p>
    <w:p w14:paraId="13E7A2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手续费返还 </w:t>
      </w:r>
    </w:p>
    <w:p w14:paraId="244112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管理费收入 </w:t>
      </w:r>
    </w:p>
    <w:p w14:paraId="6BF6CBC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90、某日某基金买入s股票10000股，成交价5元/股，当日卖出Q股票20000股，成交价10元/股。按1‰税率征收标准，该基金需缴纳印花税是（）。 </w:t>
      </w:r>
    </w:p>
    <w:p w14:paraId="148FA4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50元 </w:t>
      </w:r>
    </w:p>
    <w:p w14:paraId="6259EBE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200元 </w:t>
      </w:r>
    </w:p>
    <w:p w14:paraId="01DE28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250元 </w:t>
      </w:r>
    </w:p>
    <w:p w14:paraId="677A190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150元 </w:t>
      </w:r>
    </w:p>
    <w:p w14:paraId="0605390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91、根据（）不同，金融期权可以分为欧式期权和美式期权。 </w:t>
      </w:r>
    </w:p>
    <w:p w14:paraId="7BF3677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选择权的性质 </w:t>
      </w:r>
    </w:p>
    <w:p w14:paraId="3CF67E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买方执行期权的时限 </w:t>
      </w:r>
    </w:p>
    <w:p w14:paraId="28A63C6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基础资产性质 </w:t>
      </w:r>
    </w:p>
    <w:p w14:paraId="2B65CE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协定价格与基础资产市场价格的关系 </w:t>
      </w:r>
    </w:p>
    <w:p w14:paraId="1690E85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92、修正的MM定理认为（）。 </w:t>
      </w:r>
    </w:p>
    <w:p w14:paraId="19D7378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企业价值会因为企业融资方式改变而改变 </w:t>
      </w:r>
    </w:p>
    <w:p w14:paraId="24FAC99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企业发行债券或获取贷款越多，企业市场价值越大 </w:t>
      </w:r>
    </w:p>
    <w:p w14:paraId="37D8613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对负债带来的收益与风险进行适当平衡来确定企业价值 </w:t>
      </w:r>
    </w:p>
    <w:p w14:paraId="56C67CE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最佳的资本结构应当是负债和所有者权益之间的一个均衡点</w:t>
      </w:r>
    </w:p>
    <w:p w14:paraId="4A78419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93、对于债权人来说，利息倍数越高越安全。对于举债经营的企业来说，为了维持正常的偿债能力，利息倍数至少应该（），并且越高越好。若利息倍数过低，企业将面临亏损、偿债的稳定性与安全性下降的风险。 </w:t>
      </w:r>
    </w:p>
    <w:p w14:paraId="3F6DE9E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大于0 </w:t>
      </w:r>
    </w:p>
    <w:p w14:paraId="7CBA408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在0和1之间 </w:t>
      </w:r>
    </w:p>
    <w:p w14:paraId="7CC8CB2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为1 </w:t>
      </w:r>
    </w:p>
    <w:p w14:paraId="4ED487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大于1 </w:t>
      </w:r>
    </w:p>
    <w:p w14:paraId="4FAFE4D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94、关于信息比率，以下表述错误的是()。 </w:t>
      </w:r>
    </w:p>
    <w:p w14:paraId="219399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信息比率引入了业绩比较基准因素 </w:t>
      </w:r>
    </w:p>
    <w:p w14:paraId="20EF1D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信息比率是单位跟踪误差所对应的超额收益 </w:t>
      </w:r>
    </w:p>
    <w:p w14:paraId="106182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信息比率反映了跟踪偏离度所对应的收益 </w:t>
      </w:r>
    </w:p>
    <w:p w14:paraId="09ACE70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信息比率是对相对收益率进行风险调整的分析指标 </w:t>
      </w:r>
    </w:p>
    <w:p w14:paraId="7FA06CD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95、（）是以居民住房抵押贷款或商用住房抵押贷款组成的资金池为支持的。 </w:t>
      </w:r>
    </w:p>
    <w:p w14:paraId="430E2B4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住房抵押贷款支持证券 </w:t>
      </w:r>
    </w:p>
    <w:p w14:paraId="3B02CA6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商用住房抵押贷款 </w:t>
      </w:r>
    </w:p>
    <w:p w14:paraId="02256B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人民币债券 </w:t>
      </w:r>
    </w:p>
    <w:p w14:paraId="5676D2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外币债券 </w:t>
      </w:r>
    </w:p>
    <w:p w14:paraId="1E9CF8D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96、基金公司投资交易流程包含的环节有（）。 </w:t>
      </w:r>
    </w:p>
    <w:p w14:paraId="252BE42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Ⅰ.形成投资策略 </w:t>
      </w:r>
    </w:p>
    <w:p w14:paraId="296294E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Ⅱ.构建投资组合和执行交易指令 </w:t>
      </w:r>
    </w:p>
    <w:p w14:paraId="689C85E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Ⅲ.风险控制 </w:t>
      </w:r>
    </w:p>
    <w:p w14:paraId="0C01728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Ⅳ.绩效评估与组合调整 </w:t>
      </w:r>
    </w:p>
    <w:p w14:paraId="29426FD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 </w:t>
      </w:r>
    </w:p>
    <w:p w14:paraId="62969C1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5F6A79B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 </w:t>
      </w:r>
    </w:p>
    <w:p w14:paraId="6D86C85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Ⅰ、Ⅱ、Ⅳ </w:t>
      </w:r>
    </w:p>
    <w:p w14:paraId="64E8F9A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97、（）是基金投资运作的基础部门。 </w:t>
      </w:r>
    </w:p>
    <w:p w14:paraId="458C3F1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交易部 </w:t>
      </w:r>
    </w:p>
    <w:p w14:paraId="280747A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投资决策委员会 </w:t>
      </w:r>
    </w:p>
    <w:p w14:paraId="3B4364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投资部 </w:t>
      </w:r>
    </w:p>
    <w:p w14:paraId="662B5F2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研究部 </w:t>
      </w:r>
    </w:p>
    <w:p w14:paraId="34604AC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98、关于均值、方差模型，以下表述错误的是（）。 </w:t>
      </w:r>
    </w:p>
    <w:p w14:paraId="1C99EC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无差异曲线是在期望收益标准差平面上由相同给定校用的所有点组成的曲线 </w:t>
      </w:r>
    </w:p>
    <w:p w14:paraId="5EFC23D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市场上可投资产所形成的所有组合成为可行集 </w:t>
      </w:r>
    </w:p>
    <w:p w14:paraId="412E0F4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无差异曲线和有效前沿相切的点所代表的投资组合成为最优组合</w:t>
      </w:r>
    </w:p>
    <w:p w14:paraId="165E34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bookmarkStart w:id="0" w:name="_GoBack"/>
      <w:bookmarkEnd w:id="0"/>
      <w:r>
        <w:rPr>
          <w:rFonts w:hint="eastAsia" w:ascii="微软雅黑" w:hAnsi="微软雅黑" w:eastAsia="微软雅黑" w:cs="微软雅黑"/>
          <w:color w:val="000000"/>
          <w:kern w:val="0"/>
          <w:sz w:val="14"/>
          <w:szCs w:val="14"/>
          <w:lang w:val="en-US" w:eastAsia="zh-CN" w:bidi="ar"/>
        </w:rPr>
        <w:t xml:space="preserve">从全局最小方差组合开始，最小方差前沿的下半部分就成为有效前沿 </w:t>
      </w:r>
    </w:p>
    <w:p w14:paraId="3C4858B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99、UCITS三号指令与UCITS一号指令相比最大的突破在于（）。 </w:t>
      </w:r>
    </w:p>
    <w:p w14:paraId="3DFA09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提出了基金投资于同一主体发行的证券，不得超过基金资产净值的5％ </w:t>
      </w:r>
    </w:p>
    <w:p w14:paraId="3EFF039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提出了规范管理公司和简要招募说明书的指令 </w:t>
      </w:r>
    </w:p>
    <w:p w14:paraId="78AD98D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扩大了UCITS基金可以投资的金融工具的范围 </w:t>
      </w:r>
    </w:p>
    <w:p w14:paraId="54A160F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为UCITS管理公司提供了“欧盟护照” </w:t>
      </w:r>
    </w:p>
    <w:p w14:paraId="46A6592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100、（）是基金投资运作的基础部门，通过对宏观经济分析、行业状况、上市公司等进行详细分析和研究。 </w:t>
      </w:r>
    </w:p>
    <w:p w14:paraId="2B4491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投资部 </w:t>
      </w:r>
    </w:p>
    <w:p w14:paraId="4479001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研究部 </w:t>
      </w:r>
    </w:p>
    <w:p w14:paraId="7BFF48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交易部 </w:t>
      </w:r>
    </w:p>
    <w:p w14:paraId="1091CA3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法律部</w:t>
      </w:r>
    </w:p>
    <w:p w14:paraId="32075C6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icrosoftYaHei-Bold">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4E477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2024-10-23T07:02:50Z</dcterms:created>
  <dc:creator>86134</dc:creator>
  <cp:lastModifiedBy>8237476691</cp:lastModifiedBy>
  <dcterms:modified xsi:type="dcterms:W3CDTF">2024-10-23T07:15:58Z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7EA1ECE96BD04AEDB71DB0E01A3DA3BB_12</vt:lpwstr>
  </property>
</Properties>
</file>