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06FDC">
      <w:pPr>
        <w:keepNext w:val="0"/>
        <w:keepLines w:val="0"/>
        <w:widowControl/>
        <w:suppressLineNumbers w:val="0"/>
        <w:jc w:val="center"/>
        <w:rPr>
          <w:rFonts w:hint="default"/>
          <w:lang w:val="en-US"/>
        </w:rPr>
      </w:pPr>
      <w:bookmarkStart w:id="0" w:name="_GoBack"/>
      <w:r>
        <w:rPr>
          <w:rFonts w:hint="eastAsia" w:ascii="微软雅黑" w:hAnsi="微软雅黑" w:eastAsia="微软雅黑" w:cs="微软雅黑"/>
          <w:color w:val="FF0000"/>
          <w:kern w:val="0"/>
          <w:sz w:val="14"/>
          <w:szCs w:val="14"/>
          <w:lang w:val="en-US" w:eastAsia="zh-CN" w:bidi="ar"/>
        </w:rPr>
        <w:t>证券投资基金基础 （二）</w:t>
      </w:r>
    </w:p>
    <w:bookmarkEnd w:id="0"/>
    <w:p w14:paraId="3981244B">
      <w:pPr>
        <w:keepNext w:val="0"/>
        <w:keepLines w:val="0"/>
        <w:widowControl/>
        <w:suppressLineNumbers w:val="0"/>
        <w:jc w:val="left"/>
      </w:pPr>
      <w:r>
        <w:rPr>
          <w:rFonts w:hint="default" w:ascii="MicrosoftYaHei-Bold" w:hAnsi="MicrosoftYaHei-Bold" w:eastAsia="MicrosoftYaHei-Bold" w:cs="MicrosoftYaHei-Bold"/>
          <w:b/>
          <w:bCs/>
          <w:color w:val="333333"/>
          <w:kern w:val="0"/>
          <w:sz w:val="12"/>
          <w:szCs w:val="12"/>
          <w:lang w:val="en-US" w:eastAsia="zh-CN" w:bidi="ar"/>
        </w:rPr>
        <w:t xml:space="preserve">题目类型：单选题 </w:t>
      </w:r>
    </w:p>
    <w:p w14:paraId="103C9A5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1、市销率等于股票价格与（）的比值。 </w:t>
      </w:r>
    </w:p>
    <w:p w14:paraId="1902E48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每股净值 </w:t>
      </w:r>
    </w:p>
    <w:p w14:paraId="2D4AC41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每股收益 </w:t>
      </w:r>
    </w:p>
    <w:p w14:paraId="72E0946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每股销售收入 </w:t>
      </w:r>
    </w:p>
    <w:p w14:paraId="4CB9988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每股股息 </w:t>
      </w:r>
    </w:p>
    <w:p w14:paraId="7511B7B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2、关于债券组合构建，以下说法错误的是（）。 </w:t>
      </w:r>
    </w:p>
    <w:p w14:paraId="4D396C2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债券组合构建需要选择债券个券 </w:t>
      </w:r>
    </w:p>
    <w:p w14:paraId="6D85DC7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债券组合构建需要决定不同信用等级、行业类上的配罝比例 </w:t>
      </w:r>
    </w:p>
    <w:p w14:paraId="03E85EC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债券组合构建不需要考虑杠杆率 </w:t>
      </w:r>
    </w:p>
    <w:p w14:paraId="140138D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债券组合构建需要考虑市场风险和信用风险 </w:t>
      </w:r>
    </w:p>
    <w:p w14:paraId="3EAB66E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3、关于普通投资者和专业投资者的相互转化，下列说法正确的是（）。 </w:t>
      </w:r>
    </w:p>
    <w:p w14:paraId="07F77D8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普通投资者申请转化为专业投资者，必须提出书面申请，但无需提供证明材料 </w:t>
      </w:r>
    </w:p>
    <w:p w14:paraId="1077BEE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普通投资者申请成为专业投资者应当以书面形式向基金销售机构提出申请并确认自主承担可能产生的风险和后果，提供相关证明材料 </w:t>
      </w:r>
    </w:p>
    <w:p w14:paraId="4079333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普通投资者具备一定条件后，主动告知基金销售机构即可转化为专业投资者 </w:t>
      </w:r>
    </w:p>
    <w:p w14:paraId="634D849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符合条件的专业投资者书面告知基金销售机构选择成为普通投资者时，如没有补充证明材料，基金销售机构有权拒绝 </w:t>
      </w:r>
    </w:p>
    <w:p w14:paraId="03AF31A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4、影响债券到期收益率的主要因素有（）。 </w:t>
      </w:r>
    </w:p>
    <w:p w14:paraId="6647CA2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市场利率 </w:t>
      </w:r>
    </w:p>
    <w:p w14:paraId="43669AE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期限 </w:t>
      </w:r>
    </w:p>
    <w:p w14:paraId="610A4A4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税收待遇 </w:t>
      </w:r>
    </w:p>
    <w:p w14:paraId="315A4DD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票面利率 </w:t>
      </w:r>
    </w:p>
    <w:p w14:paraId="30BAD8A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5、关于资本资产定价模型的基本假定的说法（）是错误的。 </w:t>
      </w:r>
    </w:p>
    <w:p w14:paraId="2FA0E48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所有投资者的投资期限都是相同的，并且不在投资期限内对投资组合做动态的调整</w:t>
      </w:r>
    </w:p>
    <w:p w14:paraId="54382AE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所有的投资都可以无限分割，投资数量随意 </w:t>
      </w:r>
    </w:p>
    <w:p w14:paraId="2400EC8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投资者是价格的接受者，他们的买卖行为不会改变证券价格，每个投资者都不能对市场定价造成显著影响 </w:t>
      </w:r>
    </w:p>
    <w:p w14:paraId="5A88E75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所有的投资者都是风险偏好者 </w:t>
      </w:r>
    </w:p>
    <w:p w14:paraId="1473CC2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6、下列关于可赎回债券和可回售债券的论述中，正确的是（）。 </w:t>
      </w:r>
    </w:p>
    <w:p w14:paraId="75ABDC9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回售条款降低了债券投资者的风险 </w:t>
      </w:r>
    </w:p>
    <w:p w14:paraId="72E0FB6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可赎回条款是债券投资者的权利 </w:t>
      </w:r>
    </w:p>
    <w:p w14:paraId="5C9D8D0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与其他属性相同但没有回售条款的债券相比，可回售债券的利率更高 </w:t>
      </w:r>
    </w:p>
    <w:p w14:paraId="6C6579C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可赎回条款不利于债券发行人 </w:t>
      </w:r>
    </w:p>
    <w:p w14:paraId="68B24C8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7、质押式回购是我国债券交易结算的主流品种之一，下列说法正确的是（）。 </w:t>
      </w:r>
    </w:p>
    <w:p w14:paraId="79DB199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Ⅰ在回购期间，资金融入方出质的债券，回购双方均不得动用，质押冻结期间债券的利息归资金融出方所有 </w:t>
      </w:r>
    </w:p>
    <w:p w14:paraId="0B5854E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Ⅱ在目前我国债券市场的质押式回购中，1天和7天回购是交易量最大、最为活跃的品种 </w:t>
      </w:r>
    </w:p>
    <w:p w14:paraId="778A042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Ⅲ在办理质押式回购业务前，市场参与者应签订质押式回购主协议 </w:t>
      </w:r>
    </w:p>
    <w:p w14:paraId="3F3543F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Ⅳ在质押式回购中，交易双方需要商定首期结算金额、到期结算金额和回购债券数量 </w:t>
      </w:r>
    </w:p>
    <w:p w14:paraId="1E06433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0B3860F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05F639B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4029940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198D909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8、在我国，根据市场情况，有权调整大宗交易最低限额的是（）。 </w:t>
      </w:r>
    </w:p>
    <w:p w14:paraId="44C79C4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证券业协会 </w:t>
      </w:r>
    </w:p>
    <w:p w14:paraId="290CC1C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证券登记结算公司 </w:t>
      </w:r>
    </w:p>
    <w:p w14:paraId="07F813E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证券交易所 </w:t>
      </w:r>
    </w:p>
    <w:p w14:paraId="548132B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中国证监会 </w:t>
      </w:r>
    </w:p>
    <w:p w14:paraId="4EBDE40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9、目前在银行间债券市场，市场参与者可申请成为甲类结算成员、乙类结算成员、丙类结算成员。其中甲类结算成员可以代理丙类结算成员办理债券结算 </w:t>
      </w:r>
    </w:p>
    <w:p w14:paraId="621A206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业务，这里体现的交易制度是（）。 </w:t>
      </w:r>
    </w:p>
    <w:p w14:paraId="6ACA4B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做市商制度 </w:t>
      </w:r>
    </w:p>
    <w:p w14:paraId="1F50DA3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结算参与人制度 </w:t>
      </w:r>
    </w:p>
    <w:p w14:paraId="5BAC237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公开市场一级交易商制度 </w:t>
      </w:r>
    </w:p>
    <w:p w14:paraId="2ACE1B4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结算代理制度 </w:t>
      </w:r>
    </w:p>
    <w:p w14:paraId="12D06DB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10、下列不属于可转换债券的基本要素的是（）。 </w:t>
      </w:r>
    </w:p>
    <w:p w14:paraId="43E2382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赎回条款 </w:t>
      </w:r>
    </w:p>
    <w:p w14:paraId="29CA906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转换期限 </w:t>
      </w:r>
    </w:p>
    <w:p w14:paraId="757FDDA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市场利率 </w:t>
      </w:r>
    </w:p>
    <w:p w14:paraId="51C60C7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回售条款 </w:t>
      </w:r>
    </w:p>
    <w:p w14:paraId="58E2744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11、中国证券登记结算有限责任公司是经由（）批准设立的。 </w:t>
      </w:r>
    </w:p>
    <w:p w14:paraId="0A6D35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中国证券监督管理委员会 </w:t>
      </w:r>
    </w:p>
    <w:p w14:paraId="56C7403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国务院财政部</w:t>
      </w:r>
    </w:p>
    <w:p w14:paraId="4A90325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上海证券交易所和深圳证券交易所 </w:t>
      </w:r>
    </w:p>
    <w:p w14:paraId="52C1CA1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中国证券业协会 </w:t>
      </w:r>
    </w:p>
    <w:p w14:paraId="073F007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12、关于市场有效性与主动型、被动型产品的选择，以下表述错误的是（）。 </w:t>
      </w:r>
    </w:p>
    <w:p w14:paraId="78C6E39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市场强有效时，选择主动型产品是最优策略，因为可以持续获得超额收益 </w:t>
      </w:r>
    </w:p>
    <w:p w14:paraId="46FC633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市场有效程度越高，获取超额收益越困难 </w:t>
      </w:r>
    </w:p>
    <w:p w14:paraId="78A49B7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投资者选择主动型或被动型投资产品，取决于对市场有效性及有效程度的 </w:t>
      </w:r>
    </w:p>
    <w:p w14:paraId="3B5EAE1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在现实中，被动投资与主动投资并非完全对立 </w:t>
      </w:r>
    </w:p>
    <w:p w14:paraId="4690834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13、关于股票收益互换，以下表述错误的是（）。 </w:t>
      </w:r>
    </w:p>
    <w:p w14:paraId="59B6285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投资者无法通过股票收益互换进行风险管理 </w:t>
      </w:r>
    </w:p>
    <w:p w14:paraId="54A088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股票收益互换的模式包括固定利率和股票收益互换 </w:t>
      </w:r>
    </w:p>
    <w:p w14:paraId="2B60859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股票收益互换中，支付的金额与特定股票、指数等权益类标的表现挂钩 </w:t>
      </w:r>
    </w:p>
    <w:p w14:paraId="7DCAE62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通常进行净额交收，不发生本金交换 </w:t>
      </w:r>
    </w:p>
    <w:p w14:paraId="19FACCA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14、私募股权投资基金以有限责任公司或股份有限公司的形式成立，采用公司制的组织结构时，其最大的特点在于（）。 </w:t>
      </w:r>
    </w:p>
    <w:p w14:paraId="517869D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与信托公司合作设立 </w:t>
      </w:r>
    </w:p>
    <w:p w14:paraId="13B7E84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基金管理人会受到股东的严格监督 </w:t>
      </w:r>
    </w:p>
    <w:p w14:paraId="20577D3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基金代表对基金承担无限连带责任 </w:t>
      </w:r>
    </w:p>
    <w:p w14:paraId="406B096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投资者以其出资额为限对基金承担有限责任 </w:t>
      </w:r>
    </w:p>
    <w:p w14:paraId="1A8F90B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15、证券交易中最普遍、最清晰的成本是（）。 </w:t>
      </w:r>
    </w:p>
    <w:p w14:paraId="3E340AF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买卖价差 </w:t>
      </w:r>
    </w:p>
    <w:p w14:paraId="4E05BA6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印花税 </w:t>
      </w:r>
    </w:p>
    <w:p w14:paraId="15102DC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过户费 </w:t>
      </w:r>
    </w:p>
    <w:p w14:paraId="28A885A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佣金 </w:t>
      </w:r>
    </w:p>
    <w:p w14:paraId="2911DD2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16、公司出现（）情况时，可以回购该公司股票。 </w:t>
      </w:r>
    </w:p>
    <w:p w14:paraId="6B6E1F6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Ⅰ．减少注册资本 </w:t>
      </w:r>
    </w:p>
    <w:p w14:paraId="21603CF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Ⅱ．与持有公司股份的其他公司合并 </w:t>
      </w:r>
    </w:p>
    <w:p w14:paraId="0935318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Ⅲ．公司分立 </w:t>
      </w:r>
    </w:p>
    <w:p w14:paraId="624EC2E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Ⅳ．将股票奖励给职工 </w:t>
      </w:r>
    </w:p>
    <w:p w14:paraId="4BA3F28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245184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469B5CB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5A8FECB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Ⅰ、Ⅱ、Ⅳ</w:t>
      </w:r>
    </w:p>
    <w:p w14:paraId="5F188CF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17、（）的指标体现了公司所有权利要求者，包括普通股股东、优先股股东和债权人的现金流总和。 </w:t>
      </w:r>
    </w:p>
    <w:p w14:paraId="48395EE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股利贴现模型 </w:t>
      </w:r>
    </w:p>
    <w:p w14:paraId="5A0182D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自由现金流贴现模型 </w:t>
      </w:r>
    </w:p>
    <w:p w14:paraId="3EFD720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股权资本自由贴现模型 </w:t>
      </w:r>
    </w:p>
    <w:p w14:paraId="1C7405D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超额收益贴现模型. </w:t>
      </w:r>
    </w:p>
    <w:p w14:paraId="1CA299A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18、关于权益类证券的风险溢价，下列说法正确的是（）。 </w:t>
      </w:r>
    </w:p>
    <w:p w14:paraId="284A97C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在相同的市场条件下，风险溢价越高，风险资产的期望收益率越高 </w:t>
      </w:r>
    </w:p>
    <w:p w14:paraId="013EAEA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风险溢价是为风险喜爱的投资者购买风险资产而向他们提供的一种额外的期望收益率 </w:t>
      </w:r>
    </w:p>
    <w:p w14:paraId="467559D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风险较高的权益类证券、风险较高的公司对应着一个较低的风险溢价 </w:t>
      </w:r>
    </w:p>
    <w:p w14:paraId="1D440B1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风险资产期望收益率等于风险溢价 </w:t>
      </w:r>
    </w:p>
    <w:p w14:paraId="416E9FD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19、下列关于QDII基金份额净值的计算及披露的规定，说法正确的是（）。 </w:t>
      </w:r>
    </w:p>
    <w:p w14:paraId="0971B92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基金、集合计划份额净值应当至少每日计算并披露一次 </w:t>
      </w:r>
    </w:p>
    <w:p w14:paraId="3D4A857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基金、集合计划份额净值应当在估值日后3个工作日内披露 </w:t>
      </w:r>
    </w:p>
    <w:p w14:paraId="7B849F1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基金、集合计划份额净值应当以人民币或美元等主要外汇货币单独或同时计算并披露 </w:t>
      </w:r>
    </w:p>
    <w:p w14:paraId="50478E8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开放式基金、集合计划净值及申购赎回价格的具体计算方法无须在基金、集合计划合同和招募说明书中载明 </w:t>
      </w:r>
    </w:p>
    <w:p w14:paraId="0FF35E7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20、分析（）有助于投资者估计今后企业的偿债能力、获取现金的能力等。 </w:t>
      </w:r>
    </w:p>
    <w:p w14:paraId="550EFEC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资产负债表 </w:t>
      </w:r>
    </w:p>
    <w:p w14:paraId="74DFFC5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利润表 </w:t>
      </w:r>
    </w:p>
    <w:p w14:paraId="46ADAD2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现金流量表 </w:t>
      </w:r>
    </w:p>
    <w:p w14:paraId="13E17C6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所有者权益变动表 </w:t>
      </w:r>
    </w:p>
    <w:p w14:paraId="6BB2CC2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21、基金业绩评价不包括（）。 </w:t>
      </w:r>
    </w:p>
    <w:p w14:paraId="119E86D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时间选择 </w:t>
      </w:r>
    </w:p>
    <w:p w14:paraId="2278F4B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基金分类 </w:t>
      </w:r>
    </w:p>
    <w:p w14:paraId="718C4B0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评价指标计算 </w:t>
      </w:r>
    </w:p>
    <w:p w14:paraId="5B1AD9E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评价结果发布 </w:t>
      </w:r>
    </w:p>
    <w:p w14:paraId="791E743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22、“1亿元的组合有1亿元的管法，10亿元的组合有10亿元的管法，100亿元的组合更有100亿元的管法”，这句话体现了（）。 </w:t>
      </w:r>
    </w:p>
    <w:p w14:paraId="51AFC86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赎回金额 </w:t>
      </w:r>
    </w:p>
    <w:p w14:paraId="66D0082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基金管理规模 </w:t>
      </w:r>
    </w:p>
    <w:p w14:paraId="227BE6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初始募资金额. </w:t>
      </w:r>
    </w:p>
    <w:p w14:paraId="175EA8DC">
      <w:pPr>
        <w:keepNext w:val="0"/>
        <w:keepLines w:val="0"/>
        <w:widowControl/>
        <w:suppressLineNumbers w:val="0"/>
        <w:jc w:val="left"/>
        <w:rPr>
          <w:rFonts w:hint="default"/>
          <w:lang w:val="en-US"/>
        </w:rPr>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申购金额</w:t>
      </w:r>
      <w:r>
        <w:rPr>
          <w:rFonts w:hint="eastAsia" w:ascii="Arial" w:hAnsi="Arial" w:eastAsia="宋体" w:cs="Arial"/>
          <w:color w:val="000000"/>
          <w:kern w:val="0"/>
          <w:sz w:val="16"/>
          <w:szCs w:val="16"/>
          <w:lang w:val="en-US" w:eastAsia="zh-CN" w:bidi="ar"/>
        </w:rPr>
        <w:t xml:space="preserve"> </w:t>
      </w:r>
    </w:p>
    <w:p w14:paraId="483A1050">
      <w:pPr>
        <w:keepNext w:val="0"/>
        <w:keepLines w:val="0"/>
        <w:widowControl/>
        <w:suppressLineNumbers w:val="0"/>
        <w:jc w:val="left"/>
      </w:pPr>
      <w:r>
        <w:rPr>
          <w:rFonts w:hint="eastAsia" w:ascii="MicrosoftYaHei-Bold" w:hAnsi="MicrosoftYaHei-Bold" w:eastAsia="MicrosoftYaHei-Bold" w:cs="MicrosoftYaHei-Bold"/>
          <w:b/>
          <w:bCs/>
          <w:color w:val="008000"/>
          <w:kern w:val="0"/>
          <w:sz w:val="14"/>
          <w:szCs w:val="14"/>
          <w:lang w:val="en-US" w:eastAsia="zh-CN" w:bidi="ar"/>
        </w:rPr>
        <w:t xml:space="preserve"> </w:t>
      </w:r>
      <w:r>
        <w:rPr>
          <w:rFonts w:hint="eastAsia" w:ascii="微软雅黑" w:hAnsi="微软雅黑" w:eastAsia="微软雅黑" w:cs="微软雅黑"/>
          <w:color w:val="000000"/>
          <w:kern w:val="0"/>
          <w:sz w:val="14"/>
          <w:szCs w:val="14"/>
          <w:lang w:val="en-US" w:eastAsia="zh-CN" w:bidi="ar"/>
        </w:rPr>
        <w:t xml:space="preserve">23、下列不属于银行间债券市场交易品种的是（）。 </w:t>
      </w:r>
    </w:p>
    <w:p w14:paraId="4620AC1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债券 </w:t>
      </w:r>
    </w:p>
    <w:p w14:paraId="4DFD6ED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回购 </w:t>
      </w:r>
    </w:p>
    <w:p w14:paraId="531D1A2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期权交易 </w:t>
      </w:r>
    </w:p>
    <w:p w14:paraId="359B1BE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远期交易 </w:t>
      </w:r>
    </w:p>
    <w:p w14:paraId="6CE0DF6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24、关于基金税收的表述，错误的是（）。 </w:t>
      </w:r>
    </w:p>
    <w:p w14:paraId="439BDEA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目前，我国证券投资基金买入股票时暂不征收印花税 </w:t>
      </w:r>
    </w:p>
    <w:p w14:paraId="432FACF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我国证券投资基金卖出股票需要征收印花税 </w:t>
      </w:r>
    </w:p>
    <w:p w14:paraId="764083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证券投资基金取得的债券差价收入依照税法的规定征收企业所得税 </w:t>
      </w:r>
    </w:p>
    <w:p w14:paraId="006A219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证券投资基金取得的债券利息收入由债券发行企业支付利息时，代扣代缴个人所得税 </w:t>
      </w:r>
    </w:p>
    <w:p w14:paraId="1237AE5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25、某基金测算出A证券组合的在险价值（VaR）要大于B证券组合的在险价值（VaR），该结论主要依赖的是（）。 </w:t>
      </w:r>
    </w:p>
    <w:p w14:paraId="5DF2716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事后指标 </w:t>
      </w:r>
    </w:p>
    <w:p w14:paraId="67985BE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事前指标 </w:t>
      </w:r>
    </w:p>
    <w:p w14:paraId="1291ED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事中指标 </w:t>
      </w:r>
    </w:p>
    <w:p w14:paraId="2804BC2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全过程指标 </w:t>
      </w:r>
    </w:p>
    <w:p w14:paraId="2C25E54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26、上海证券交易所规定的融资融券业务保证金比例不得低于（）。 </w:t>
      </w:r>
    </w:p>
    <w:p w14:paraId="4DA0342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 </w:t>
      </w:r>
    </w:p>
    <w:p w14:paraId="78E03EB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0.7 </w:t>
      </w:r>
    </w:p>
    <w:p w14:paraId="0DD10C7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0.3 </w:t>
      </w:r>
    </w:p>
    <w:p w14:paraId="18F5C64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0.5 </w:t>
      </w:r>
    </w:p>
    <w:p w14:paraId="0A7EA11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27、交易所交易资金清算不包括（）。 </w:t>
      </w:r>
    </w:p>
    <w:p w14:paraId="3EAE0E3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权证交易 </w:t>
      </w:r>
    </w:p>
    <w:p w14:paraId="7787C31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股票交易 </w:t>
      </w:r>
    </w:p>
    <w:p w14:paraId="04998FC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债券买卖 </w:t>
      </w:r>
    </w:p>
    <w:p w14:paraId="78F45E8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债券回购 </w:t>
      </w:r>
    </w:p>
    <w:p w14:paraId="1620FB8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28、在指令驱动市场上，（）是交易的核心。 </w:t>
      </w:r>
    </w:p>
    <w:p w14:paraId="25A9E6D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卖方报价 </w:t>
      </w:r>
    </w:p>
    <w:p w14:paraId="2FCA95A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买方报价 </w:t>
      </w:r>
    </w:p>
    <w:p w14:paraId="0CB752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买卖数量 </w:t>
      </w:r>
    </w:p>
    <w:p w14:paraId="4C703A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指令</w:t>
      </w:r>
      <w:r>
        <w:rPr>
          <w:rFonts w:hint="eastAsia" w:ascii="Arial" w:hAnsi="Arial" w:eastAsia="宋体" w:cs="Arial"/>
          <w:color w:val="000000"/>
          <w:kern w:val="0"/>
          <w:sz w:val="16"/>
          <w:szCs w:val="16"/>
          <w:lang w:val="en-US" w:eastAsia="zh-CN" w:bidi="ar"/>
        </w:rPr>
        <w:t xml:space="preserve"> </w:t>
      </w:r>
    </w:p>
    <w:p w14:paraId="3929609A">
      <w:pPr>
        <w:keepNext w:val="0"/>
        <w:keepLines w:val="0"/>
        <w:widowControl/>
        <w:suppressLineNumbers w:val="0"/>
        <w:jc w:val="left"/>
      </w:pPr>
      <w:r>
        <w:rPr>
          <w:rFonts w:hint="eastAsia" w:ascii="MicrosoftYaHei-Bold" w:hAnsi="MicrosoftYaHei-Bold" w:eastAsia="MicrosoftYaHei-Bold" w:cs="MicrosoftYaHei-Bold"/>
          <w:b/>
          <w:bCs/>
          <w:color w:val="FF0000"/>
          <w:kern w:val="0"/>
          <w:sz w:val="14"/>
          <w:szCs w:val="14"/>
          <w:lang w:val="en-US" w:eastAsia="zh-CN" w:bidi="ar"/>
        </w:rPr>
        <w:t xml:space="preserve"> </w:t>
      </w:r>
      <w:r>
        <w:rPr>
          <w:rFonts w:hint="eastAsia" w:ascii="微软雅黑" w:hAnsi="微软雅黑" w:eastAsia="微软雅黑" w:cs="微软雅黑"/>
          <w:color w:val="000000"/>
          <w:kern w:val="0"/>
          <w:sz w:val="14"/>
          <w:szCs w:val="14"/>
          <w:lang w:val="en-US" w:eastAsia="zh-CN" w:bidi="ar"/>
        </w:rPr>
        <w:t xml:space="preserve">29、下列投资中，属于另类投资形式的有（）。 </w:t>
      </w:r>
    </w:p>
    <w:p w14:paraId="48B99E0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Ⅰ.私募股权 </w:t>
      </w:r>
    </w:p>
    <w:p w14:paraId="12BB3A2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Ⅱ.不动产 </w:t>
      </w:r>
    </w:p>
    <w:p w14:paraId="469D230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Ⅲ.大宗商品 </w:t>
      </w:r>
    </w:p>
    <w:p w14:paraId="79F28E7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Ⅳ.艺术品 </w:t>
      </w:r>
    </w:p>
    <w:p w14:paraId="78056F6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Ⅴ.股票 </w:t>
      </w:r>
    </w:p>
    <w:p w14:paraId="0A7BD0C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Ⅰ、Ⅱ、Ⅲ、Ⅳ、Ⅴ </w:t>
      </w:r>
    </w:p>
    <w:p w14:paraId="2DAB0EB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 </w:t>
      </w:r>
    </w:p>
    <w:p w14:paraId="3F1F249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0799AB7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Ⅱ、Ⅲ、Ⅳ、Ⅴ </w:t>
      </w:r>
    </w:p>
    <w:p w14:paraId="35F0514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30、下列关于不动产投资工具的说法中，错误的是（）。 </w:t>
      </w:r>
    </w:p>
    <w:p w14:paraId="02F7DB2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房地产有限合伙的普通合伙人通常是房地产开发公司 </w:t>
      </w:r>
    </w:p>
    <w:p w14:paraId="0F640DA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房地产权益基金是一种典型的资产证券化产品 </w:t>
      </w:r>
    </w:p>
    <w:p w14:paraId="5CE3763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房地产投资信托相对于其他不动产投资工具而言往往具备较好的流动性 </w:t>
      </w:r>
    </w:p>
    <w:p w14:paraId="49699FA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房地产权益基金由管理人发挥其专业能力将资金在不同的房地产项目中进行合理配置 </w:t>
      </w:r>
    </w:p>
    <w:p w14:paraId="388DEFA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31、某类债券共100只，票面利率最高的前10只的票面利率分别为7．0％，6．9％，6．7％，6．6％，6．5％，6．4％，6．3％，6．2％，6．0％， 5．9％。则该债券票面利率的上2．5％分位数是（）。 </w:t>
      </w:r>
    </w:p>
    <w:p w14:paraId="11E9646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0.069 </w:t>
      </w:r>
    </w:p>
    <w:p w14:paraId="4ABE381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0.062 </w:t>
      </w:r>
    </w:p>
    <w:p w14:paraId="77BE907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0.065 </w:t>
      </w:r>
    </w:p>
    <w:p w14:paraId="0196108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0.068 </w:t>
      </w:r>
    </w:p>
    <w:p w14:paraId="6C6C6D9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32、下列关于债券结算业务类型的表述，不正确的是（）。 </w:t>
      </w:r>
    </w:p>
    <w:p w14:paraId="754A11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分销业务按单一券种进行，通过分销指令办理 </w:t>
      </w:r>
    </w:p>
    <w:p w14:paraId="68FE177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现券交易的结算按单一券种办理，结算日为T+0或T+1 </w:t>
      </w:r>
    </w:p>
    <w:p w14:paraId="50102FE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债券远期交易从成交日至结算日的期限(含成交日不含结算日)为2～365天 </w:t>
      </w:r>
    </w:p>
    <w:p w14:paraId="339D254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债券借贷首期采用券费对付结算方式，到期可采用券券对付、返券付费解券和券费对付结算方式中的任何一种 </w:t>
      </w:r>
    </w:p>
    <w:p w14:paraId="18EA620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33、以下属于资产负债表中负债项的会计科目是（）。 </w:t>
      </w:r>
    </w:p>
    <w:p w14:paraId="6EF3013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货币资金 </w:t>
      </w:r>
    </w:p>
    <w:p w14:paraId="432EB5A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应付债券 </w:t>
      </w:r>
    </w:p>
    <w:p w14:paraId="549DFC8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应收票据 </w:t>
      </w:r>
    </w:p>
    <w:p w14:paraId="1F4C2F2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资本公积 </w:t>
      </w:r>
    </w:p>
    <w:p w14:paraId="0447B69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34、在两个风险资产构成的投资组合中加入无风险资产，关于其可行投资组合集，说法错误的是（）。 </w:t>
      </w:r>
    </w:p>
    <w:p w14:paraId="5D60A67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风险最小的可行投资组合风险为零 </w:t>
      </w:r>
    </w:p>
    <w:p w14:paraId="2A4F62B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可行投资组合集的上下沿为双曲线 </w:t>
      </w:r>
    </w:p>
    <w:p w14:paraId="392E449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可行投资组合集是一片区域 </w:t>
      </w:r>
    </w:p>
    <w:p w14:paraId="1326E9C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可行投资组合集的上下沿为射线 </w:t>
      </w:r>
    </w:p>
    <w:p w14:paraId="3B181A30">
      <w:pPr>
        <w:keepNext w:val="0"/>
        <w:keepLines w:val="0"/>
        <w:widowControl/>
        <w:suppressLineNumbers w:val="0"/>
        <w:jc w:val="left"/>
        <w:rPr>
          <w:rFonts w:hint="default"/>
          <w:lang w:val="en-US"/>
        </w:rPr>
      </w:pPr>
      <w:r>
        <w:rPr>
          <w:rFonts w:hint="eastAsia" w:ascii="微软雅黑" w:hAnsi="微软雅黑" w:eastAsia="微软雅黑" w:cs="微软雅黑"/>
          <w:color w:val="000000"/>
          <w:kern w:val="0"/>
          <w:sz w:val="14"/>
          <w:szCs w:val="14"/>
          <w:lang w:val="en-US" w:eastAsia="zh-CN" w:bidi="ar"/>
        </w:rPr>
        <w:t>35、小王于2017年10月20日(周五)赎回了某公募货币市场基金,他应享受的利润日包含（）。</w:t>
      </w:r>
      <w:r>
        <w:rPr>
          <w:rFonts w:hint="eastAsia" w:ascii="Arial" w:hAnsi="Arial" w:eastAsia="宋体" w:cs="Arial"/>
          <w:color w:val="000000"/>
          <w:kern w:val="0"/>
          <w:sz w:val="16"/>
          <w:szCs w:val="16"/>
          <w:lang w:val="en-US" w:eastAsia="zh-CN" w:bidi="ar"/>
        </w:rPr>
        <w:t xml:space="preserve"> </w:t>
      </w:r>
    </w:p>
    <w:p w14:paraId="31327C6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2017年10月20日、21日 </w:t>
      </w:r>
    </w:p>
    <w:p w14:paraId="55C0B80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2017年、10月20日 </w:t>
      </w:r>
    </w:p>
    <w:p w14:paraId="35D80DA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2017年10月20日、21日、22日 </w:t>
      </w:r>
    </w:p>
    <w:p w14:paraId="1E563BA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 xml:space="preserve">D. </w:t>
      </w:r>
      <w:r>
        <w:rPr>
          <w:rFonts w:hint="eastAsia" w:ascii="微软雅黑" w:hAnsi="微软雅黑" w:eastAsia="微软雅黑" w:cs="微软雅黑"/>
          <w:color w:val="000000"/>
          <w:kern w:val="0"/>
          <w:sz w:val="14"/>
          <w:szCs w:val="14"/>
          <w:lang w:val="en-US" w:eastAsia="zh-CN" w:bidi="ar"/>
        </w:rPr>
        <w:t xml:space="preserve">2017年10月20日、21日、22日、23日 </w:t>
      </w:r>
    </w:p>
    <w:p w14:paraId="73021D6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36、在《上海证券交易所融资融券交易实施细则》中，上海证券交易所对于可用于融资融券的标的证券做出了详细规定，如标的证券为股票的，须符合的条件有（）。 </w:t>
      </w:r>
    </w:p>
    <w:p w14:paraId="4B50BA2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Ⅰ在上海证券交易所上市交易超过3个月 </w:t>
      </w:r>
    </w:p>
    <w:p w14:paraId="14A8F1B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Ⅱ融资买入标的股票的流通股本不少于2亿股或流通市值不低于5亿元，融券卖出标的股票的流通股本不少于2亿股或流通市值不低于8亿元 </w:t>
      </w:r>
    </w:p>
    <w:p w14:paraId="160529E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Ⅲ股东人数不少于4000人 </w:t>
      </w:r>
    </w:p>
    <w:p w14:paraId="4893E99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Ⅳ股票发行公司已完成股权分置改革 </w:t>
      </w:r>
    </w:p>
    <w:p w14:paraId="00EBF12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Ⅰ、Ⅱ、Ⅲ、Ⅳ </w:t>
      </w:r>
    </w:p>
    <w:p w14:paraId="0275186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50D2991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7019E21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 </w:t>
      </w:r>
    </w:p>
    <w:p w14:paraId="34158F4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37、基金销售机构常常根据财富水平对个人投资者加以区分，并对不同类型的投资者提供不同类型的投资服务、推荐投资规模门槛不等的基金产品，对此，以下理解错误的是（）。 </w:t>
      </w:r>
    </w:p>
    <w:p w14:paraId="11EC23D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平均而言，投资于规模门槛较高产品的投资者，其风险承受能力更强 </w:t>
      </w:r>
    </w:p>
    <w:p w14:paraId="79CEECD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投资规模门槛不同体现了产品的风险不同 </w:t>
      </w:r>
    </w:p>
    <w:p w14:paraId="1655502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即使将个人投资者划分为相同类型，不同机构也有可能对同一类型的投资者采用不同的类别界限 </w:t>
      </w:r>
    </w:p>
    <w:p w14:paraId="607A64D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投资规模门槛不同体现了产品的目标市场定位不同 </w:t>
      </w:r>
    </w:p>
    <w:p w14:paraId="47894A9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38、T日，某投资者在A股市场进行了三笔交易：买入X股票1000股，每股10元；卖出X股票400股，每股15元；买入Y股票300股，每股10元。假设不考虑交费用，在结算日该投资者应结算的证券和资金为（）。 </w:t>
      </w:r>
    </w:p>
    <w:p w14:paraId="70263F5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买入交易和卖出交易分别实行净额结算：应付资金13000元，应收X股票1000股，应收Y股票300股；应收资金6000元，应付X股票400股 </w:t>
      </w:r>
    </w:p>
    <w:p w14:paraId="6B27449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三笔交易实行全额结算：应付资金10000元，应收X股票1000股；应收资金6000元，应付X股票400股;应付资金3000元，应收Y股票300股 </w:t>
      </w:r>
    </w:p>
    <w:p w14:paraId="25763E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标的证券相同的交易实行净额结算：应付资金4000元，应收X股票600股；应付资金3000元，应收Y股票300股 </w:t>
      </w:r>
    </w:p>
    <w:p w14:paraId="5E4FD5E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三笔交易实行净额结算：应付资金7000元，应收X股票600股，应收Y股票300股 </w:t>
      </w:r>
    </w:p>
    <w:p w14:paraId="4E11908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39、及时对投资组合资产进行流动性分析和跟踪有助于（）管理。 </w:t>
      </w:r>
    </w:p>
    <w:p w14:paraId="7699297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市场风险 </w:t>
      </w:r>
    </w:p>
    <w:p w14:paraId="22F165B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流动性风险 </w:t>
      </w:r>
    </w:p>
    <w:p w14:paraId="1853799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信用风险 </w:t>
      </w:r>
    </w:p>
    <w:p w14:paraId="556D57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市场风险</w:t>
      </w:r>
    </w:p>
    <w:p w14:paraId="26CDD99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40、以下关于基金会计核算说法中，正确的是（）。 </w:t>
      </w:r>
    </w:p>
    <w:p w14:paraId="6265CB7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Ⅰ单只基金是基金会计核算的责任主体 </w:t>
      </w:r>
    </w:p>
    <w:p w14:paraId="4FB8BDA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Ⅱ基金的会计分期细化到日 </w:t>
      </w:r>
    </w:p>
    <w:p w14:paraId="373F178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Ⅲ基金会计制度将基金管理公司的经营活动与基金的投资管理活动区别开来 </w:t>
      </w:r>
    </w:p>
    <w:p w14:paraId="21B41E0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Ⅳ对所管理的基金应当以每只基金为会计核算主体，独立建账、独立核算 </w:t>
      </w:r>
    </w:p>
    <w:p w14:paraId="3259E7A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6C368DC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14346DC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17DAF45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6F3CA28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41、（）是指未到期债券的持有者无法以市值，而只能以明显低于市值的价格变现债券形成的投资风险 </w:t>
      </w:r>
    </w:p>
    <w:p w14:paraId="7276E1F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再投资风险 </w:t>
      </w:r>
    </w:p>
    <w:p w14:paraId="39B9684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流动性风险 </w:t>
      </w:r>
    </w:p>
    <w:p w14:paraId="2C340E0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提前赎回风险 </w:t>
      </w:r>
    </w:p>
    <w:p w14:paraId="7740978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利率风险 </w:t>
      </w:r>
    </w:p>
    <w:p w14:paraId="599CA24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42、（）是指由于市场环境变化，未来价格走势有可能低于基金经理或投资者所预期的目标价位。 </w:t>
      </w:r>
    </w:p>
    <w:p w14:paraId="3F0C54A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上行风险 </w:t>
      </w:r>
    </w:p>
    <w:p w14:paraId="61C1F19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下行风险 </w:t>
      </w:r>
    </w:p>
    <w:p w14:paraId="1A9796E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预期风险 </w:t>
      </w:r>
    </w:p>
    <w:p w14:paraId="47E0DF3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风险敞口 </w:t>
      </w:r>
    </w:p>
    <w:p w14:paraId="0AB7E78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43、已知名义利率为8%，实际利率为6%，则通货膨胀率为（）。 </w:t>
      </w:r>
    </w:p>
    <w:p w14:paraId="157ECED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0.08 </w:t>
      </w:r>
    </w:p>
    <w:p w14:paraId="3F68F52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0.05 </w:t>
      </w:r>
    </w:p>
    <w:p w14:paraId="29AA617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0.06 </w:t>
      </w:r>
    </w:p>
    <w:p w14:paraId="7F53B4A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0.02 </w:t>
      </w:r>
    </w:p>
    <w:p w14:paraId="51F7CBB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44、下列关于基金投资风格分析的说法中，错误的是（）。 </w:t>
      </w:r>
    </w:p>
    <w:p w14:paraId="53765FB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Ⅰ通过计算前15只股票占基金资产净值的比例可以分析基金是否倾向于集中投资 </w:t>
      </w:r>
    </w:p>
    <w:p w14:paraId="35F1920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Ⅱ通过基金本期利润、期末可供分配基金份额利润等指标．可以分析基金的盈利能力 </w:t>
      </w:r>
    </w:p>
    <w:p w14:paraId="5830EDA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Ⅲ通过分析基金所持有的股票的成长性指标，可以了解基金投资的上市公司的成长性 </w:t>
      </w:r>
    </w:p>
    <w:p w14:paraId="1269CB4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Ⅳ通过基金持有股票的股本规模分析，可以了解基金投资上市公司股票的规模偏好 </w:t>
      </w:r>
    </w:p>
    <w:p w14:paraId="0E4497E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 </w:t>
      </w:r>
    </w:p>
    <w:p w14:paraId="57FB41C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Ⅰ、Ⅳ </w:t>
      </w:r>
    </w:p>
    <w:p w14:paraId="305D19E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Ⅲ、Ⅳ </w:t>
      </w:r>
    </w:p>
    <w:p w14:paraId="14BE85C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Ⅱ、Ⅲ、Ⅳ</w:t>
      </w:r>
      <w:r>
        <w:rPr>
          <w:rFonts w:hint="eastAsia" w:ascii="微软雅黑" w:hAnsi="微软雅黑" w:eastAsia="微软雅黑" w:cs="微软雅黑"/>
          <w:color w:val="0000FF"/>
          <w:kern w:val="0"/>
          <w:sz w:val="14"/>
          <w:szCs w:val="14"/>
          <w:lang w:val="en-US" w:eastAsia="zh-CN" w:bidi="ar"/>
        </w:rPr>
        <w:t xml:space="preserve"> </w:t>
      </w:r>
    </w:p>
    <w:p w14:paraId="5CA3AB4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45、关于中外合资基金管理公司的境外股东应当具备的条件，下列表述错误的是（）。 </w:t>
      </w:r>
    </w:p>
    <w:p w14:paraId="5B3B7B1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最近5年没有受到监管机构或者司法机关的处罚 </w:t>
      </w:r>
    </w:p>
    <w:p w14:paraId="4B6FDE4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实缴资本不少于2亿元人民币的等值可自由兑换货币 </w:t>
      </w:r>
    </w:p>
    <w:p w14:paraId="492EA2A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所在国家或者地区具有完善的证券法律和监管制度 </w:t>
      </w:r>
    </w:p>
    <w:p w14:paraId="696E22E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所在国家或者地区证券监管机构已与中国证监会或者中国证监会认可的其他机构签订证券监管合作谅解备忘录 </w:t>
      </w:r>
    </w:p>
    <w:p w14:paraId="1BD93DD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46、下列关于权证的行权，说法错误的是（）。 </w:t>
      </w:r>
    </w:p>
    <w:p w14:paraId="606497B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行权结算方式分为证券给付结算方式和现金结算方式 </w:t>
      </w:r>
    </w:p>
    <w:p w14:paraId="5C1DCDB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证券给付结算方式指权证持有人行权时，发行人有义务按照行权价格向权证持有人出售或购买标的证券 </w:t>
      </w:r>
    </w:p>
    <w:p w14:paraId="1683D0E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现金结算方式指权证持有人行权时，发行人按照约定向权证持有人支付行权价格与标的证券结算价格之间的差额 </w:t>
      </w:r>
    </w:p>
    <w:p w14:paraId="50DA0CD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目前上海证券交易所和深圳证券交易所规定，标的证券发生除权和除息，行权比例应作相应调整 </w:t>
      </w:r>
    </w:p>
    <w:p w14:paraId="78193C6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47、下列关于基金利润的说法，不正确的是（）。 </w:t>
      </w:r>
    </w:p>
    <w:p w14:paraId="5E85E7B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本期利润能够全面反映基金在一定时期内的经营成果 </w:t>
      </w:r>
    </w:p>
    <w:p w14:paraId="6321F17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基金本期未分配利润转为基金管理人的管理费 </w:t>
      </w:r>
    </w:p>
    <w:p w14:paraId="306BD84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基金进行利润分配会导致基金份额净值的下降 </w:t>
      </w:r>
    </w:p>
    <w:p w14:paraId="0520CC2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基金进行利润分配对投资者的利益没有实际影响 </w:t>
      </w:r>
    </w:p>
    <w:p w14:paraId="049FD44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48、绝对收益的计算指标不包括（）。 </w:t>
      </w:r>
    </w:p>
    <w:p w14:paraId="106BB82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持有区间收益率 </w:t>
      </w:r>
    </w:p>
    <w:p w14:paraId="5C276FC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时间加权收益率 </w:t>
      </w:r>
    </w:p>
    <w:p w14:paraId="4AB35C7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相对于业绩比较基准的收益 </w:t>
      </w:r>
    </w:p>
    <w:p w14:paraId="6350811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平均收益率 </w:t>
      </w:r>
    </w:p>
    <w:p w14:paraId="48011B9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49、某企业2015和2014年比较，销售利润率增长10%，总资产周转率减少10%。在其他条件不变的情况下该企业2015年的净资产收益率（）。 </w:t>
      </w:r>
    </w:p>
    <w:p w14:paraId="6F4ADD6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增加 </w:t>
      </w:r>
    </w:p>
    <w:p w14:paraId="7378026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减少 </w:t>
      </w:r>
    </w:p>
    <w:p w14:paraId="0B28EC7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不变 </w:t>
      </w:r>
    </w:p>
    <w:p w14:paraId="741F1B1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不清楚 </w:t>
      </w:r>
    </w:p>
    <w:p w14:paraId="5D9B9D8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50、在垃圾债券中，（）债券是由重大重组如杠杆收购组合的公司发行的债券。 </w:t>
      </w:r>
    </w:p>
    <w:p w14:paraId="4FD3E49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0.2 </w:t>
      </w:r>
    </w:p>
    <w:p w14:paraId="2425F9E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0.25 </w:t>
      </w:r>
    </w:p>
    <w:p w14:paraId="763398D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0.3 </w:t>
      </w:r>
    </w:p>
    <w:p w14:paraId="3F23E91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0.5</w:t>
      </w:r>
      <w:r>
        <w:rPr>
          <w:rFonts w:hint="eastAsia" w:ascii="微软雅黑" w:hAnsi="微软雅黑" w:eastAsia="微软雅黑" w:cs="微软雅黑"/>
          <w:color w:val="0000FF"/>
          <w:kern w:val="0"/>
          <w:sz w:val="14"/>
          <w:szCs w:val="14"/>
          <w:lang w:val="en-US" w:eastAsia="zh-CN" w:bidi="ar"/>
        </w:rPr>
        <w:t xml:space="preserve"> </w:t>
      </w:r>
    </w:p>
    <w:p w14:paraId="408BFF5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51、下列投资行为所获得的收入需要交纳的所得税是（）。 </w:t>
      </w:r>
    </w:p>
    <w:p w14:paraId="1EE9D4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机构投资者获得的基金分红款 </w:t>
      </w:r>
    </w:p>
    <w:p w14:paraId="4631876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个人投资者买卖基金份额获得的差价收入 </w:t>
      </w:r>
    </w:p>
    <w:p w14:paraId="6F2E4A2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个人投资者获得的基金分红款 </w:t>
      </w:r>
    </w:p>
    <w:p w14:paraId="54C3858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机构投资者买卖基金份额获得的差价收入 </w:t>
      </w:r>
    </w:p>
    <w:p w14:paraId="7C1F274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52、根据股票收益互换协议约定，交易双方在未来特定时间以（）为基础确定与股价挂钩的浮动收益和固定收益。 </w:t>
      </w:r>
    </w:p>
    <w:p w14:paraId="7B917B3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实际本金 </w:t>
      </w:r>
    </w:p>
    <w:p w14:paraId="04202DA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名义本金 </w:t>
      </w:r>
    </w:p>
    <w:p w14:paraId="21CC109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名义收益 </w:t>
      </w:r>
    </w:p>
    <w:p w14:paraId="550A6A2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实际收益 </w:t>
      </w:r>
    </w:p>
    <w:p w14:paraId="01F05A0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53、以下关于基金估值方法的表述错误的是（）。 </w:t>
      </w:r>
    </w:p>
    <w:p w14:paraId="67F3FF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对停止交易但未行权的权证一般采用估值技术确定公允价值 </w:t>
      </w:r>
    </w:p>
    <w:p w14:paraId="5A530CD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交易所上市交易的债券按估值日收盘净价估值 </w:t>
      </w:r>
    </w:p>
    <w:p w14:paraId="493010F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交易所上市交易的债券也要采用估值技术确定公允价值 </w:t>
      </w:r>
    </w:p>
    <w:p w14:paraId="1189280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首次发行未上市的股票采用估值技术确定公允价值 </w:t>
      </w:r>
    </w:p>
    <w:p w14:paraId="10D3AF6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54、股权投资基金的组织形式不包括（）。 </w:t>
      </w:r>
    </w:p>
    <w:p w14:paraId="2E14770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债券型 </w:t>
      </w:r>
    </w:p>
    <w:p w14:paraId="6B22350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有限合伙型 </w:t>
      </w:r>
    </w:p>
    <w:p w14:paraId="2C1119A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公司型 </w:t>
      </w:r>
    </w:p>
    <w:p w14:paraId="48A3C35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信托（契约）型 </w:t>
      </w:r>
    </w:p>
    <w:p w14:paraId="7CBC240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55、某投资者在1年前买入1000股某公司股票，价格为80元。1年后，A公司发放8元分红，但是同时其股价下降到75元。那么在该区间内，持有期间收益率为（）。 </w:t>
      </w:r>
    </w:p>
    <w:p w14:paraId="3BC96E3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-0.0625 </w:t>
      </w:r>
    </w:p>
    <w:p w14:paraId="542A9F6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0.1 </w:t>
      </w:r>
    </w:p>
    <w:p w14:paraId="6460208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0.0375 </w:t>
      </w:r>
    </w:p>
    <w:p w14:paraId="1F68697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0.0625 </w:t>
      </w:r>
    </w:p>
    <w:p w14:paraId="030FE1D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56、基金管理人对外披露基金净值前，负有复核基金净值准确性义务的机构是（）。 </w:t>
      </w:r>
    </w:p>
    <w:p w14:paraId="15EB9FB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基金公司稽核监督部门 </w:t>
      </w:r>
    </w:p>
    <w:p w14:paraId="71F34DA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相关监管机构 </w:t>
      </w:r>
    </w:p>
    <w:p w14:paraId="2560418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第三方销售机构 </w:t>
      </w:r>
    </w:p>
    <w:p w14:paraId="0C7A36B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托管人</w:t>
      </w:r>
    </w:p>
    <w:p w14:paraId="56DECAF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57、影响股票未来的收益，引起内在价值的变化的因素有（）。 </w:t>
      </w:r>
    </w:p>
    <w:p w14:paraId="06A197A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Ⅰ经济形势的变化 </w:t>
      </w:r>
    </w:p>
    <w:p w14:paraId="5AED1E3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Ⅱ宏观经济政策的调整 </w:t>
      </w:r>
    </w:p>
    <w:p w14:paraId="648F292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Ⅲ投资者的心理变化 </w:t>
      </w:r>
    </w:p>
    <w:p w14:paraId="3B3B774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Ⅳ供求关系的变化 </w:t>
      </w:r>
    </w:p>
    <w:p w14:paraId="076F8E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Ⅰ、Ⅱ、Ⅳ </w:t>
      </w:r>
    </w:p>
    <w:p w14:paraId="456BAE2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 </w:t>
      </w:r>
    </w:p>
    <w:p w14:paraId="710556C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 </w:t>
      </w:r>
    </w:p>
    <w:p w14:paraId="20071AF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Ⅰ、Ⅲ、Ⅳ </w:t>
      </w:r>
    </w:p>
    <w:p w14:paraId="7219479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58、经营风险是指公司在经营过程中由于（）等企业个体因素，使企业的销售额或成本显得不稳定，引起息税前利润大幅度变动的可能性。 </w:t>
      </w:r>
    </w:p>
    <w:p w14:paraId="2BF8304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Ⅰ产业景气状况 </w:t>
      </w:r>
    </w:p>
    <w:p w14:paraId="02CCCD8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Ⅱ员工操作失误 </w:t>
      </w:r>
    </w:p>
    <w:p w14:paraId="6FADCFB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Ⅲ公司管理能力 </w:t>
      </w:r>
    </w:p>
    <w:p w14:paraId="29997B8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Ⅳ投资项目 </w:t>
      </w:r>
    </w:p>
    <w:p w14:paraId="555BBA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Ⅰ、Ⅲ、Ⅳ </w:t>
      </w:r>
    </w:p>
    <w:p w14:paraId="6411726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4DC4E7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4D6832C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18C23E8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59、以下关于零息债券的描述正确的是（）。 </w:t>
      </w:r>
    </w:p>
    <w:p w14:paraId="51947EE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贴现方式发行，到期按债券面值偿还本金 </w:t>
      </w:r>
    </w:p>
    <w:p w14:paraId="758525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溢价方式发行，到期按债券面值偿还本金 </w:t>
      </w:r>
    </w:p>
    <w:p w14:paraId="1A82238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溢价方式发行，到期按票面利息偿还本金和利息 </w:t>
      </w:r>
    </w:p>
    <w:p w14:paraId="01F9A84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贴现方式发行，到期按票面利息偿还本金和利息 </w:t>
      </w:r>
    </w:p>
    <w:p w14:paraId="78D9F44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60、下列不属于投资风险的主要因素是（）。 </w:t>
      </w:r>
    </w:p>
    <w:p w14:paraId="3F6C735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市场价格 </w:t>
      </w:r>
    </w:p>
    <w:p w14:paraId="015E541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在规定时间和价格范围内买卖证券的难度 </w:t>
      </w:r>
    </w:p>
    <w:p w14:paraId="4440153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借款方还债的能力和意愿 </w:t>
      </w:r>
    </w:p>
    <w:p w14:paraId="2C86E1B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内部欺诈 </w:t>
      </w:r>
    </w:p>
    <w:p w14:paraId="3AC55B4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61、下列关于明确基金会计主体的意义，说法错误的是（）。 </w:t>
      </w:r>
    </w:p>
    <w:p w14:paraId="123AF9D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有利于基金管理公司自身的经营活动与证券投资基金的投资管理活动区分开 </w:t>
      </w:r>
    </w:p>
    <w:p w14:paraId="3C080BB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有利于不同基金独立建账，独立核算 </w:t>
      </w:r>
    </w:p>
    <w:p w14:paraId="6CD71FC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有利于将不同基金之间的投资管理活动区分开来 </w:t>
      </w:r>
    </w:p>
    <w:p w14:paraId="31160F4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有利于基金管理人最后将所有的基金合并计算，提高会计核算效率</w:t>
      </w:r>
    </w:p>
    <w:p w14:paraId="2497CC0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62、关于衍生工具的定义，以下描述错误的是（）。 </w:t>
      </w:r>
    </w:p>
    <w:p w14:paraId="53A4939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衍生工具的结算可以按合约规定在到期日或者在到期日之前结算 </w:t>
      </w:r>
    </w:p>
    <w:p w14:paraId="3B6C334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所有衍生工具都会规定一个合约到期日 </w:t>
      </w:r>
    </w:p>
    <w:p w14:paraId="1446FBA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有的衍生工具在结算时要求实物交割，有的要求用现金结算 </w:t>
      </w:r>
    </w:p>
    <w:p w14:paraId="100779B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衍生工具的交割价格是签订买卖合约时标的资产的价格 </w:t>
      </w:r>
    </w:p>
    <w:p w14:paraId="0233B85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63、有关债券市场结算方式的表述正确的是（）。 </w:t>
      </w:r>
    </w:p>
    <w:p w14:paraId="284C3D0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券款对付是一种交易双方建立在互相了解和信任的基础上的一种结算方式 </w:t>
      </w:r>
    </w:p>
    <w:p w14:paraId="1397B97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见券付款是一种对收券方有利的结算方式 </w:t>
      </w:r>
    </w:p>
    <w:p w14:paraId="5F6447A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没有纯券过户的结算方式 </w:t>
      </w:r>
    </w:p>
    <w:p w14:paraId="6721685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见款付券是指在结算日债券交割与资金支付同步进行并互为约束条件的一种结算方式 </w:t>
      </w:r>
    </w:p>
    <w:p w14:paraId="09E7129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64、下列不属于期货市场风险管理功能的表现的是（）。 </w:t>
      </w:r>
    </w:p>
    <w:p w14:paraId="055098B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利用商品期货管理库存风险 </w:t>
      </w:r>
    </w:p>
    <w:p w14:paraId="70CDBFF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利用外汇期货管理汇率风险 </w:t>
      </w:r>
    </w:p>
    <w:p w14:paraId="7812ABF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利用利率期货管理利率风险 </w:t>
      </w:r>
    </w:p>
    <w:p w14:paraId="1764DB3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利用股指期货管理股票市场系统性风险 </w:t>
      </w:r>
    </w:p>
    <w:p w14:paraId="778DA07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65、投资部根据总体投资策略和研究报告，构建投资组合方案，对方案进行风险收益分析，属于基金公司投资交易的（）环节。 </w:t>
      </w:r>
    </w:p>
    <w:p w14:paraId="2E263B8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形成投资策略 </w:t>
      </w:r>
    </w:p>
    <w:p w14:paraId="464864D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构建投资组合 </w:t>
      </w:r>
    </w:p>
    <w:p w14:paraId="750354E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绩效评估与组合调整 </w:t>
      </w:r>
    </w:p>
    <w:p w14:paraId="63A72D4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执行交易指令 </w:t>
      </w:r>
    </w:p>
    <w:p w14:paraId="30D404D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66、基金中基金投资的ETF基金，按所投资ETF基金估值日的（）估值；基金中基金投资的境内上市开放式基金，按所投资基金估值日的（）估值；基金中 </w:t>
      </w:r>
    </w:p>
    <w:p w14:paraId="2CDF4D5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基金投资的境内上市定期开放式基金、封闭式基金，按所投资基金估值日的（）估值。 </w:t>
      </w:r>
    </w:p>
    <w:p w14:paraId="1B44F32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收盘价；收盘价；份额净值 </w:t>
      </w:r>
    </w:p>
    <w:p w14:paraId="321704E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份额净值；收盘价；收盘价 </w:t>
      </w:r>
    </w:p>
    <w:p w14:paraId="6140B42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收盘价；份额净值；收盘价 </w:t>
      </w:r>
    </w:p>
    <w:p w14:paraId="015ED6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份额净值；收盘价；份额净值 </w:t>
      </w:r>
    </w:p>
    <w:p w14:paraId="6959507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67、股票未来收益的现值被称为股票的（）。 </w:t>
      </w:r>
    </w:p>
    <w:p w14:paraId="5BE26E0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账面价值 </w:t>
      </w:r>
    </w:p>
    <w:p w14:paraId="61BF228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票面价值</w:t>
      </w:r>
    </w:p>
    <w:p w14:paraId="642BFF2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内在价值 </w:t>
      </w:r>
    </w:p>
    <w:p w14:paraId="229A4B3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清算价值 </w:t>
      </w:r>
    </w:p>
    <w:p w14:paraId="35BC92E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68、对个人投资者买卖基金份额获得的差价收入，在对个人买卖股票的差价收入未恢复征收个人所得税以前，暂不征收（）。 </w:t>
      </w:r>
    </w:p>
    <w:p w14:paraId="1F374DB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增值税 </w:t>
      </w:r>
    </w:p>
    <w:p w14:paraId="12F279E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消费税 </w:t>
      </w:r>
    </w:p>
    <w:p w14:paraId="5C5E3A7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个人所得税 </w:t>
      </w:r>
    </w:p>
    <w:p w14:paraId="4A552D4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企业所得税 </w:t>
      </w:r>
    </w:p>
    <w:p w14:paraId="6561FF5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69、下列关于房地产投资信托的表述，不正确的是（）。 </w:t>
      </w:r>
    </w:p>
    <w:p w14:paraId="4CD8EC3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房地产投资信托是一种资产证券化产品，可以采取上市的方式在证券交易所挂牌交易 </w:t>
      </w:r>
    </w:p>
    <w:p w14:paraId="5C4A5A2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房地产投资信托基金的主要收益来自稳定的股息和证券价格增值 </w:t>
      </w:r>
    </w:p>
    <w:p w14:paraId="1631D12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房地产投资信托往往存在较大的信息不对称的风险，给投资者带来不便 </w:t>
      </w:r>
    </w:p>
    <w:p w14:paraId="26A3CC3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房地产投资信托具有流通性强且风险较低的特点 </w:t>
      </w:r>
    </w:p>
    <w:p w14:paraId="334A571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70、关于现代投资组合理论有效前沿，以下表述正确的是（）。 </w:t>
      </w:r>
    </w:p>
    <w:p w14:paraId="4E4FEBF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最小方差前沿只有下半部分是有效的，故称有效前沿 </w:t>
      </w:r>
    </w:p>
    <w:p w14:paraId="5A178D7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有效前沿位于所有资产和资产组合的左上方 </w:t>
      </w:r>
    </w:p>
    <w:p w14:paraId="544885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有效前沿又叫夏普有效前沿 </w:t>
      </w:r>
    </w:p>
    <w:p w14:paraId="3EDD1FC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有效前沿不在最小方差前沿上 </w:t>
      </w:r>
    </w:p>
    <w:p w14:paraId="7CBB0F7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71、关于企业盈利能力比率，以下表述错误的是（）。 </w:t>
      </w:r>
    </w:p>
    <w:p w14:paraId="34D2D7F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销售利润率低，说明企业的净利润总额较低 </w:t>
      </w:r>
    </w:p>
    <w:p w14:paraId="287F4C6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净资产收益率强调每单位的所有者权益能够带来的利润 </w:t>
      </w:r>
    </w:p>
    <w:p w14:paraId="0121A69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企业的资产收益率越高说明企业有较强的利用资产创造利润的能力 </w:t>
      </w:r>
    </w:p>
    <w:p w14:paraId="4C0887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计算销售利润率和资产收益率都需要使用净利润总额这个指标 </w:t>
      </w:r>
    </w:p>
    <w:p w14:paraId="4732DCC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72、（）高，表明企业有较强的利用资产创造利润的能力，企业在增加收入和节约资金使用方面取得了良好的效果。 </w:t>
      </w:r>
    </w:p>
    <w:p w14:paraId="05BDCB0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COE </w:t>
      </w:r>
    </w:p>
    <w:p w14:paraId="1F9BD67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ROA </w:t>
      </w:r>
    </w:p>
    <w:p w14:paraId="2FAA782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ROE </w:t>
      </w:r>
    </w:p>
    <w:p w14:paraId="0283823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ROS </w:t>
      </w:r>
    </w:p>
    <w:p w14:paraId="18EB0DB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73、开放式基金份额变化的核算内容包括基金份额的（）。 </w:t>
      </w:r>
    </w:p>
    <w:p w14:paraId="19F561D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Ⅰ申购与赎回情况 </w:t>
      </w:r>
    </w:p>
    <w:p w14:paraId="02AFD68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Ⅱ转入与转出情况</w:t>
      </w:r>
    </w:p>
    <w:p w14:paraId="5D847AF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Ⅲ利息计算 </w:t>
      </w:r>
    </w:p>
    <w:p w14:paraId="7AB5C9F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Ⅳ基金份额拆分 </w:t>
      </w:r>
    </w:p>
    <w:p w14:paraId="7FC5B9B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3FAA791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09A6C6C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14B8756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1E67EFA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74、个股的选择与权重受到（）等方面的限制。 </w:t>
      </w:r>
    </w:p>
    <w:p w14:paraId="029FD77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Ⅰ基金契约 </w:t>
      </w:r>
    </w:p>
    <w:p w14:paraId="2F03D42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Ⅱ基金合规 </w:t>
      </w:r>
    </w:p>
    <w:p w14:paraId="6DCA52E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Ⅲ宏观调控 </w:t>
      </w:r>
    </w:p>
    <w:p w14:paraId="29EA876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Ⅳ投资比例 </w:t>
      </w:r>
    </w:p>
    <w:p w14:paraId="4B989E4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Ⅰ、Ⅱ、Ⅲ、Ⅳ </w:t>
      </w:r>
    </w:p>
    <w:p w14:paraId="466B99B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408FF73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Ⅰ、Ⅱ、Ⅳ </w:t>
      </w:r>
    </w:p>
    <w:p w14:paraId="4485C64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 </w:t>
      </w:r>
    </w:p>
    <w:p w14:paraId="6D798E6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75、基金管理人和基金托管人在计算基金资产净值存在分歧时，应该采取的处理方式是（）。 </w:t>
      </w:r>
    </w:p>
    <w:p w14:paraId="3E333C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按照基金估值工作小组的计算结果对外予以公布 </w:t>
      </w:r>
    </w:p>
    <w:p w14:paraId="5F35EF3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暂停公布净值，直到相关各方达成一致 </w:t>
      </w:r>
    </w:p>
    <w:p w14:paraId="103105F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按照中国证券投资基金业协会的计算结果对外予以公布 </w:t>
      </w:r>
    </w:p>
    <w:p w14:paraId="081C296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托管人有义务要求管理人做出合理解释，通过积极商讨达成一致意见 </w:t>
      </w:r>
    </w:p>
    <w:p w14:paraId="0A511BE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76、在国际金融市场上，浮动利率债券的基准利率主要采用( )。 </w:t>
      </w:r>
    </w:p>
    <w:p w14:paraId="06ED724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上海银行间同业拆借利率 </w:t>
      </w:r>
    </w:p>
    <w:p w14:paraId="2443302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伦敦银行间同业拆借利率 </w:t>
      </w:r>
    </w:p>
    <w:p w14:paraId="78A7C33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中国银行间同业拆借利率 </w:t>
      </w:r>
    </w:p>
    <w:p w14:paraId="7D4AEFF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新加坡银行间同业拆借利率 </w:t>
      </w:r>
    </w:p>
    <w:p w14:paraId="366199F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77、下列关于房地产有限合伙的表述错误的是（）。 </w:t>
      </w:r>
    </w:p>
    <w:p w14:paraId="1B3D65D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由有限合伙人和普通合伙人组成 </w:t>
      </w:r>
    </w:p>
    <w:p w14:paraId="2C7B15E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有限合伙人直接参与管理和经营项目 </w:t>
      </w:r>
    </w:p>
    <w:p w14:paraId="688D786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偏好资金的非流动性 </w:t>
      </w:r>
    </w:p>
    <w:p w14:paraId="1154EF3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有限合伙人可能面临长达数年的负现金流 </w:t>
      </w:r>
    </w:p>
    <w:p w14:paraId="6A30DDB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78、CAPM用（）刻画所有投资者的集体行为，揭示在均衡状态下，证券收益率与风险之间关系的经济本质。 </w:t>
      </w:r>
    </w:p>
    <w:p w14:paraId="21A88C3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均衡价格模型 </w:t>
      </w:r>
    </w:p>
    <w:p w14:paraId="45A1D8F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市场均衡模型 </w:t>
      </w:r>
    </w:p>
    <w:p w14:paraId="7145CF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一般均衡模型 </w:t>
      </w:r>
    </w:p>
    <w:p w14:paraId="0BC8292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局部均衡模型</w:t>
      </w:r>
    </w:p>
    <w:p w14:paraId="57BBC05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79、下列对提前赎回风险的说法中，错误的是（）。 </w:t>
      </w:r>
    </w:p>
    <w:p w14:paraId="5797084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提前赎回风险又称为回购风险，是指债券发行者在债券到期日前赎回有提前赎回条款的债券所带来的风险 </w:t>
      </w:r>
    </w:p>
    <w:p w14:paraId="72F29B4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债券发行人通常在市场利率上行时执行提前赎回条款 </w:t>
      </w:r>
    </w:p>
    <w:p w14:paraId="1825A85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投资者将收益和本金再投资于其他利率更低的债券，导致再投资风险 </w:t>
      </w:r>
    </w:p>
    <w:p w14:paraId="14EE6EC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可赎回债券和大多数的住房贷款抵押支持证券允许债券发行人在到期日前赎回债券，此类债券面临提前赎回风险 </w:t>
      </w:r>
    </w:p>
    <w:p w14:paraId="374602D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80、以下不属于投资政策说明书内容的是（）。 </w:t>
      </w:r>
    </w:p>
    <w:p w14:paraId="1CD2147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收益承诺 </w:t>
      </w:r>
    </w:p>
    <w:p w14:paraId="79F075A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投资回报率目标 </w:t>
      </w:r>
    </w:p>
    <w:p w14:paraId="4749D8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投资限制 </w:t>
      </w:r>
    </w:p>
    <w:p w14:paraId="01BE246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业绩比较基准 </w:t>
      </w:r>
    </w:p>
    <w:p w14:paraId="28B9465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81、交易时间主要依赖交易期间市场的活跃程度的算法交易策略是（）。 </w:t>
      </w:r>
    </w:p>
    <w:p w14:paraId="3720C4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成交量加权平均价格算法 </w:t>
      </w:r>
    </w:p>
    <w:p w14:paraId="42E54D2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时间加权平均价格算法 </w:t>
      </w:r>
    </w:p>
    <w:p w14:paraId="54E7BF5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跟量算法 </w:t>
      </w:r>
    </w:p>
    <w:p w14:paraId="68EB496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执行缺口算法 </w:t>
      </w:r>
    </w:p>
    <w:p w14:paraId="762A1FE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82、企业A在2017年度利润表中披露：公司营业收入为200亿，营业成本为120亿，销售费用、管理费用、财务费用等合计50亿，不考虑营业外收支，假设所得税税率为25%，该企业全年实现的总利润和净利润分别为（）。 </w:t>
      </w:r>
    </w:p>
    <w:p w14:paraId="4CFC746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30亿、22.5亿 </w:t>
      </w:r>
    </w:p>
    <w:p w14:paraId="4C7673A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150亿、112.5亿 </w:t>
      </w:r>
    </w:p>
    <w:p w14:paraId="4D4D2E8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200亿、22.5亿 </w:t>
      </w:r>
    </w:p>
    <w:p w14:paraId="224ED97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80亿、60亿 </w:t>
      </w:r>
    </w:p>
    <w:p w14:paraId="61449B2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83、以下有关信用风险管理的主要措施说法错误的是（）。 </w:t>
      </w:r>
    </w:p>
    <w:p w14:paraId="5BFCE08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建立针对债券发行人的内部信用评级制度，进行发行人信用风险管理 </w:t>
      </w:r>
    </w:p>
    <w:p w14:paraId="221A8AE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建立严格的信用风险监控体系，对信用风险及时发现、汇报和处理 </w:t>
      </w:r>
    </w:p>
    <w:p w14:paraId="32753BA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由于交易对手的信用资质一般变化不大，因此根据交易对手的资质、交易记录、信用记录和交收违约记录等因素进行信用评级之后，可以长期沿用 </w:t>
      </w:r>
    </w:p>
    <w:p w14:paraId="582C593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建立交易对手信用评级制度 </w:t>
      </w:r>
    </w:p>
    <w:p w14:paraId="12C69A2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84、指数的风险收益特征可以抽象为（）的变动。 </w:t>
      </w:r>
    </w:p>
    <w:p w14:paraId="167B007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所有因子 </w:t>
      </w:r>
    </w:p>
    <w:p w14:paraId="5722A68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行业因子 </w:t>
      </w:r>
    </w:p>
    <w:p w14:paraId="1AA0E7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风格因子 </w:t>
      </w:r>
    </w:p>
    <w:p w14:paraId="3D75CD2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若干因子</w:t>
      </w:r>
    </w:p>
    <w:p w14:paraId="55A0C65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85、关于看涨期权交易双方的潜在盈亏，下列说法正确的是（）。 </w:t>
      </w:r>
    </w:p>
    <w:p w14:paraId="7119202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买方的潜在盈利是无限的，卖方的潜在盈利是有限的 </w:t>
      </w:r>
    </w:p>
    <w:p w14:paraId="1768A9D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买方的潜在亏损是无限的，卖方的潜在亏损是有限的 </w:t>
      </w:r>
    </w:p>
    <w:p w14:paraId="2A99A13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双方的潜在盈利和亏损都是无限的 </w:t>
      </w:r>
    </w:p>
    <w:p w14:paraId="64AA17B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双方的潜在盈利和亏损都是有限的 </w:t>
      </w:r>
    </w:p>
    <w:p w14:paraId="5249EDA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86、久期是用来衡量债券的价格对（）变动的敏感性指标。 </w:t>
      </w:r>
    </w:p>
    <w:p w14:paraId="145B91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收益率 </w:t>
      </w:r>
    </w:p>
    <w:p w14:paraId="7AEA07C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汇率风险 </w:t>
      </w:r>
    </w:p>
    <w:p w14:paraId="6A02C09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到期时间 </w:t>
      </w:r>
    </w:p>
    <w:p w14:paraId="5730847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票面利率 </w:t>
      </w:r>
    </w:p>
    <w:p w14:paraId="4EE02DF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87、下列关于中央结算公司的职能的说法中，错误的是（）。 </w:t>
      </w:r>
    </w:p>
    <w:p w14:paraId="68E6EC0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Ⅰ主要为市场的发行人、投资人等各类参与主体提供国债、金融债券、企业债券和其他固定收益证券的发行、登记、托管、交易结算、信息发布等服务 </w:t>
      </w:r>
    </w:p>
    <w:p w14:paraId="5225DCF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Ⅱ负责维护中债综合业务平台的正常运行 </w:t>
      </w:r>
    </w:p>
    <w:p w14:paraId="5257B8C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Ⅲ为银行间市场提供以中央对手净额清算为主的直接和间接的本、外币清算服务 </w:t>
      </w:r>
    </w:p>
    <w:p w14:paraId="7859FB8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Ⅳ为市场的投资者提供报价平台 </w:t>
      </w:r>
    </w:p>
    <w:p w14:paraId="405A3BD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 </w:t>
      </w:r>
    </w:p>
    <w:p w14:paraId="413BFAC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Ⅰ、Ⅲ </w:t>
      </w:r>
    </w:p>
    <w:p w14:paraId="1AEF4BA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Ⅲ、Ⅳ </w:t>
      </w:r>
    </w:p>
    <w:p w14:paraId="1217060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Ⅰ、Ⅲ、Ⅳ </w:t>
      </w:r>
    </w:p>
    <w:p w14:paraId="5B83342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88、以下金融衍生工具中，通常由交易所统一的制订，在交易所进行交易的是（）。 </w:t>
      </w:r>
    </w:p>
    <w:p w14:paraId="53C6F17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Ⅰ.远期合约 </w:t>
      </w:r>
    </w:p>
    <w:p w14:paraId="0FF67F4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Ⅱ.期货合约 </w:t>
      </w:r>
    </w:p>
    <w:p w14:paraId="4764313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Ⅲ.期权合约 </w:t>
      </w:r>
    </w:p>
    <w:p w14:paraId="244C62E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Ⅳ.互换合约 </w:t>
      </w:r>
    </w:p>
    <w:p w14:paraId="5533928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Ⅰ、Ⅳ </w:t>
      </w:r>
    </w:p>
    <w:p w14:paraId="56F50DD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 </w:t>
      </w:r>
    </w:p>
    <w:p w14:paraId="4FE2148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Ⅲ、Ⅳ </w:t>
      </w:r>
    </w:p>
    <w:p w14:paraId="7337DD3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 </w:t>
      </w:r>
    </w:p>
    <w:p w14:paraId="1F1D43C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89、根据中央国债登记结算公司有关债券账户管理规定，QFII、RQFII可以在银行间债券市场参与成为丙类结算成员，在债券结算时需委托甲类结算成员办 </w:t>
      </w:r>
    </w:p>
    <w:p w14:paraId="2B1C004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理。此处体现的交易制度是（）。 </w:t>
      </w:r>
    </w:p>
    <w:p w14:paraId="5B28CAB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做市商制度 </w:t>
      </w:r>
    </w:p>
    <w:p w14:paraId="36126C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公开市场一级交易商制度 </w:t>
      </w:r>
    </w:p>
    <w:p w14:paraId="16F3FCD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结算参与人制度 </w:t>
      </w:r>
    </w:p>
    <w:p w14:paraId="15660A1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结算代理制度</w:t>
      </w:r>
    </w:p>
    <w:p w14:paraId="1A41441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90、基金业绩评价体系不包括（）。 </w:t>
      </w:r>
    </w:p>
    <w:p w14:paraId="16B72B4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基金分类 </w:t>
      </w:r>
    </w:p>
    <w:p w14:paraId="0B53DF5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评价指标计算 </w:t>
      </w:r>
    </w:p>
    <w:p w14:paraId="469F03C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评价结果发布 </w:t>
      </w:r>
    </w:p>
    <w:p w14:paraId="5B88379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业绩对比 </w:t>
      </w:r>
    </w:p>
    <w:p w14:paraId="71FC638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91、可以降低交易对市场的冲击的算法是（）。 </w:t>
      </w:r>
    </w:p>
    <w:p w14:paraId="39CD4EF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跟量算法 </w:t>
      </w:r>
    </w:p>
    <w:p w14:paraId="60C2ED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时间加权平均价格算法 </w:t>
      </w:r>
    </w:p>
    <w:p w14:paraId="6A749B7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成交量加权平均价格算法 </w:t>
      </w:r>
    </w:p>
    <w:p w14:paraId="7D50CD4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执行偏差算法 </w:t>
      </w:r>
    </w:p>
    <w:p w14:paraId="5AFD167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92、通常，投资者考察其所投资的私募股权基金收益状况时，会画出一条曲线，这条曲线是以时间为横轴、以收益率为纵轴的一条曲线，称为（）曲线。 </w:t>
      </w:r>
    </w:p>
    <w:p w14:paraId="7775C0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F </w:t>
      </w:r>
    </w:p>
    <w:p w14:paraId="260C7FA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K </w:t>
      </w:r>
    </w:p>
    <w:p w14:paraId="64CC804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J </w:t>
      </w:r>
    </w:p>
    <w:p w14:paraId="59B51BC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Z </w:t>
      </w:r>
    </w:p>
    <w:p w14:paraId="67E68BF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93、测量通货膨胀主要采用的物价指数是（）。 </w:t>
      </w:r>
    </w:p>
    <w:p w14:paraId="18BB79A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居民消费价格指数 </w:t>
      </w:r>
    </w:p>
    <w:p w14:paraId="6A61160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生产者物价指数 </w:t>
      </w:r>
    </w:p>
    <w:p w14:paraId="772DB90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商品价格指数 </w:t>
      </w:r>
    </w:p>
    <w:p w14:paraId="74AEF56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以上三者均是 </w:t>
      </w:r>
    </w:p>
    <w:p w14:paraId="1DDAAB0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94、有限留置权债券的保证物是（）。 </w:t>
      </w:r>
    </w:p>
    <w:p w14:paraId="0C8ECFD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Ⅰ.房屋 </w:t>
      </w:r>
    </w:p>
    <w:p w14:paraId="44C6E05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Ⅱ.股权 </w:t>
      </w:r>
    </w:p>
    <w:p w14:paraId="0A99E25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Ⅲ.专利 </w:t>
      </w:r>
    </w:p>
    <w:p w14:paraId="4FC58AA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Ⅳ.品牌 </w:t>
      </w:r>
    </w:p>
    <w:p w14:paraId="2BC0B0F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Ⅰ、Ⅲ、Ⅳ </w:t>
      </w:r>
    </w:p>
    <w:p w14:paraId="6D99B8E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 </w:t>
      </w:r>
    </w:p>
    <w:p w14:paraId="528897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 </w:t>
      </w:r>
    </w:p>
    <w:p w14:paraId="7820C75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Ⅰ、Ⅱ、Ⅳ </w:t>
      </w:r>
    </w:p>
    <w:p w14:paraId="6FDEE87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95、关于另类投资的有优点和局限性，以下说法错误的是（）。 </w:t>
      </w:r>
    </w:p>
    <w:p w14:paraId="211ACFE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另类投资采取高杠杆模式运作 </w:t>
      </w:r>
    </w:p>
    <w:p w14:paraId="7542146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另类投资产品与传统证券相关性较高 </w:t>
      </w:r>
    </w:p>
    <w:p w14:paraId="1D9D8D3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另类投资能获取多元化的收益并分散风险 </w:t>
      </w:r>
    </w:p>
    <w:p w14:paraId="19DE6F7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另类投资的经理人通常不公开所投资的产品信息</w:t>
      </w:r>
    </w:p>
    <w:p w14:paraId="0983E62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96、UCITS三号指令通过后，下列不属于UCITS基金的业务范围的是（）。 </w:t>
      </w:r>
    </w:p>
    <w:p w14:paraId="6551483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核心业务的投资咨询 </w:t>
      </w:r>
    </w:p>
    <w:p w14:paraId="3591B4B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基金管理服务 </w:t>
      </w:r>
    </w:p>
    <w:p w14:paraId="06C3001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为个人或机构提供投资组合管理服务 </w:t>
      </w:r>
    </w:p>
    <w:p w14:paraId="0FA6F95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基金保管 </w:t>
      </w:r>
    </w:p>
    <w:p w14:paraId="4C004D4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97、投资政策说明书中，关于投资政策执行的具体细节的部分是（）。 </w:t>
      </w:r>
    </w:p>
    <w:p w14:paraId="0ECE067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业绩考核指标与业绩比较基准 </w:t>
      </w:r>
    </w:p>
    <w:p w14:paraId="4BD2133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流程 </w:t>
      </w:r>
    </w:p>
    <w:p w14:paraId="5E4B04D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资产配置 </w:t>
      </w:r>
    </w:p>
    <w:p w14:paraId="3FB764E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投资指导方针 </w:t>
      </w:r>
    </w:p>
    <w:p w14:paraId="005D766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98、某投资者买入100份封闭式基金份额，买入价格1.80元/份，交易佣金率0.25%，按沪深交易所公布的收费标准，该交易佣金为（）元。 </w:t>
      </w:r>
    </w:p>
    <w:p w14:paraId="294C0D5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0.55 </w:t>
      </w:r>
    </w:p>
    <w:p w14:paraId="08611AD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0.6 </w:t>
      </w:r>
    </w:p>
    <w:p w14:paraId="34DAD3C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0.45 </w:t>
      </w:r>
    </w:p>
    <w:p w14:paraId="7C71CDF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5 </w:t>
      </w:r>
    </w:p>
    <w:p w14:paraId="0983E2E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99、私募股权投资最为广泛使用的战略形式包括（）。 </w:t>
      </w:r>
    </w:p>
    <w:p w14:paraId="250CA1D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风险投资、定向增发 </w:t>
      </w:r>
    </w:p>
    <w:p w14:paraId="6F9D29D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投资私募股权二级市场、质押回购 </w:t>
      </w:r>
    </w:p>
    <w:p w14:paraId="56B6D3D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成长权益、资产证券化 </w:t>
      </w:r>
    </w:p>
    <w:p w14:paraId="510552B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并购投资、危机投资 </w:t>
      </w:r>
    </w:p>
    <w:p w14:paraId="41B48EA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100、（）是基金管理公司的核心业务。 </w:t>
      </w:r>
    </w:p>
    <w:p w14:paraId="1D08182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投资管理 </w:t>
      </w:r>
    </w:p>
    <w:p w14:paraId="5A78719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风险管理 </w:t>
      </w:r>
    </w:p>
    <w:p w14:paraId="701C6C4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内部控制 </w:t>
      </w:r>
    </w:p>
    <w:p w14:paraId="43D6DF5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外部控制</w:t>
      </w:r>
    </w:p>
    <w:p w14:paraId="475B6D1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icrosoftYaHei-Bold">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5YTk2NWU3OTRhNTU0YjZlNWE0ODExMjY4YzM0MTgifQ=="/>
  </w:docVars>
  <w:rsids>
    <w:rsidRoot w:val="00000000"/>
    <w:rsid w:val="1B9C19D1"/>
    <w:rsid w:val="1CD26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37</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2024-10-23T06:24:18Z</dcterms:created>
  <dc:creator>86134</dc:creator>
  <cp:lastModifiedBy>8237476691</cp:lastModifiedBy>
  <dcterms:modified xsi:type="dcterms:W3CDTF">2024-10-23T07:02:37Z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0662641D24334C2CB016A7ED83B3732C_12</vt:lpwstr>
  </property>
</Properties>
</file>