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2597F">
      <w:pPr>
        <w:spacing w:after="20"/>
        <w:jc w:val="center"/>
        <w:rPr>
          <w:lang w:eastAsia="zh-CN"/>
        </w:rPr>
      </w:pPr>
      <w:r>
        <w:rPr>
          <w:b/>
          <w:color w:val="1A568E"/>
          <w:sz w:val="36"/>
          <w:lang w:eastAsia="zh-CN"/>
        </w:rPr>
        <w:t>杜岩松</w:t>
      </w:r>
    </w:p>
    <w:p w14:paraId="46602E22">
      <w:pPr>
        <w:jc w:val="center"/>
        <w:rPr>
          <w:lang w:eastAsia="zh-CN"/>
        </w:rPr>
      </w:pPr>
      <w:r>
        <w:rPr>
          <w:color w:val="666666"/>
          <w:sz w:val="17"/>
          <w:lang w:eastAsia="zh-CN"/>
        </w:rPr>
        <w:t>男 | 1980.3</w:t>
      </w:r>
      <w:r>
        <w:rPr>
          <w:color w:val="999999"/>
          <w:sz w:val="17"/>
          <w:lang w:eastAsia="zh-CN"/>
        </w:rPr>
        <w:t xml:space="preserve">   </w:t>
      </w:r>
      <w:r>
        <w:rPr>
          <w:color w:val="666666"/>
          <w:sz w:val="17"/>
          <w:lang w:eastAsia="zh-CN"/>
        </w:rPr>
        <w:t>户籍：深圳</w:t>
      </w:r>
      <w:r>
        <w:rPr>
          <w:color w:val="999999"/>
          <w:sz w:val="17"/>
          <w:lang w:eastAsia="zh-CN"/>
        </w:rPr>
        <w:t xml:space="preserve">   </w:t>
      </w:r>
      <w:r>
        <w:rPr>
          <w:color w:val="666666"/>
          <w:sz w:val="17"/>
          <w:lang w:eastAsia="zh-CN"/>
        </w:rPr>
        <w:t>13381215580</w:t>
      </w:r>
      <w:r>
        <w:rPr>
          <w:color w:val="999999"/>
          <w:sz w:val="17"/>
          <w:lang w:eastAsia="zh-CN"/>
        </w:rPr>
        <w:t xml:space="preserve">   </w:t>
      </w:r>
      <w:r>
        <w:rPr>
          <w:color w:val="666666"/>
          <w:sz w:val="17"/>
          <w:lang w:eastAsia="zh-CN"/>
        </w:rPr>
        <w:t>anson_du@126.com</w:t>
      </w:r>
    </w:p>
    <w:p w14:paraId="72D6B5C0">
      <w:pPr>
        <w:pBdr>
          <w:bottom w:val="single" w:color="1A568E" w:sz="6" w:space="1"/>
        </w:pBdr>
        <w:spacing w:before="40"/>
        <w:rPr>
          <w:lang w:eastAsia="zh-CN"/>
        </w:rPr>
      </w:pPr>
    </w:p>
    <w:p w14:paraId="32077A11">
      <w:pPr>
        <w:pBdr>
          <w:bottom w:val="single" w:color="1A568E" w:sz="4" w:space="1"/>
        </w:pBdr>
        <w:spacing w:before="140" w:after="40"/>
        <w:rPr>
          <w:lang w:eastAsia="zh-CN"/>
        </w:rPr>
      </w:pPr>
      <w:r>
        <w:rPr>
          <w:b/>
          <w:color w:val="1A568E"/>
          <w:sz w:val="21"/>
          <w:lang w:eastAsia="zh-CN"/>
        </w:rPr>
        <w:t>个人优势</w:t>
      </w:r>
    </w:p>
    <w:p w14:paraId="63E2A6A1">
      <w:pPr>
        <w:spacing w:before="10" w:after="10"/>
        <w:rPr>
          <w:sz w:val="21"/>
          <w:szCs w:val="21"/>
          <w:lang w:eastAsia="zh-CN"/>
        </w:rPr>
      </w:pPr>
      <w:r>
        <w:rPr>
          <w:b/>
          <w:color w:val="333333"/>
          <w:sz w:val="21"/>
          <w:szCs w:val="21"/>
          <w:lang w:eastAsia="zh-CN"/>
        </w:rPr>
        <w:t>20年不动产与产业园区领域深耕，历任阿里巴巴、TCL科技、华夏幸福等头部企业核心管理岗位，擅长产业园区全生命周期管理、资产运营</w:t>
      </w:r>
      <w:r>
        <w:rPr>
          <w:rFonts w:hint="eastAsia"/>
          <w:b/>
          <w:color w:val="333333"/>
          <w:sz w:val="21"/>
          <w:szCs w:val="21"/>
          <w:lang w:eastAsia="zh-CN"/>
        </w:rPr>
        <w:t>、</w:t>
      </w:r>
      <w:r>
        <w:rPr>
          <w:b/>
          <w:color w:val="333333"/>
          <w:sz w:val="21"/>
          <w:szCs w:val="21"/>
          <w:lang w:eastAsia="zh-CN"/>
        </w:rPr>
        <w:t>产业生态构建</w:t>
      </w:r>
      <w:r>
        <w:rPr>
          <w:rFonts w:hint="eastAsia"/>
          <w:b/>
          <w:color w:val="333333"/>
          <w:sz w:val="21"/>
          <w:szCs w:val="21"/>
          <w:lang w:eastAsia="zh-CN"/>
        </w:rPr>
        <w:t>与科技企业股权融资</w:t>
      </w:r>
      <w:r>
        <w:rPr>
          <w:b/>
          <w:color w:val="333333"/>
          <w:sz w:val="21"/>
          <w:szCs w:val="21"/>
          <w:lang w:eastAsia="zh-CN"/>
        </w:rPr>
        <w:t>。清华大学EMBA，</w:t>
      </w:r>
    </w:p>
    <w:p w14:paraId="091F6122">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深谙人工智能、具身智能、低空经济、跨境电商等科技产业生态建设逻辑，具备产业园区差异化定位与发展策略的制定及落地能力，善于将科技产业生态资源转化为园区招商的核心竞争力。</w:t>
      </w:r>
    </w:p>
    <w:p w14:paraId="13DE0562">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操盘经验覆盖战略规划、不动产资产管理、园区开发建设、产业招商、园区运营、资产交易</w:t>
      </w:r>
      <w:r>
        <w:rPr>
          <w:rFonts w:hint="eastAsia"/>
          <w:color w:val="333333"/>
          <w:sz w:val="21"/>
          <w:szCs w:val="21"/>
          <w:lang w:eastAsia="zh-CN"/>
        </w:rPr>
        <w:t>、科技企业股权融资</w:t>
      </w:r>
      <w:r>
        <w:rPr>
          <w:color w:val="333333"/>
          <w:sz w:val="21"/>
          <w:szCs w:val="21"/>
          <w:lang w:eastAsia="zh-CN"/>
        </w:rPr>
        <w:t>等复合业务领域，</w:t>
      </w:r>
      <w:r>
        <w:rPr>
          <w:rFonts w:hint="eastAsia"/>
          <w:color w:val="333333"/>
          <w:sz w:val="21"/>
          <w:szCs w:val="21"/>
          <w:lang w:eastAsia="zh-CN"/>
        </w:rPr>
        <w:t>管理</w:t>
      </w:r>
      <w:r>
        <w:rPr>
          <w:color w:val="333333"/>
          <w:sz w:val="21"/>
          <w:szCs w:val="21"/>
          <w:lang w:eastAsia="zh-CN"/>
        </w:rPr>
        <w:t>业态涵盖产业园、</w:t>
      </w:r>
      <w:r>
        <w:rPr>
          <w:rFonts w:hint="eastAsia"/>
          <w:color w:val="333333"/>
          <w:sz w:val="21"/>
          <w:szCs w:val="21"/>
          <w:lang w:eastAsia="zh-CN"/>
        </w:rPr>
        <w:t>写字楼、</w:t>
      </w:r>
      <w:r>
        <w:rPr>
          <w:color w:val="333333"/>
          <w:sz w:val="21"/>
          <w:szCs w:val="21"/>
          <w:lang w:eastAsia="zh-CN"/>
        </w:rPr>
        <w:t>物流园、商业、酒店等。具备丰富的省市区多层级政府对接经验，善于构建政企产业招商共同体。</w:t>
      </w:r>
    </w:p>
    <w:p w14:paraId="478144A3">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职业生涯横跨深圳、北京、杭州、成都、沈阳等多个城市，兼具</w:t>
      </w:r>
      <w:r>
        <w:rPr>
          <w:rFonts w:hint="eastAsia"/>
          <w:color w:val="333333"/>
          <w:sz w:val="21"/>
          <w:szCs w:val="21"/>
          <w:lang w:eastAsia="zh-CN"/>
        </w:rPr>
        <w:t>多个地区</w:t>
      </w:r>
      <w:r>
        <w:rPr>
          <w:color w:val="333333"/>
          <w:sz w:val="21"/>
          <w:szCs w:val="21"/>
          <w:lang w:eastAsia="zh-CN"/>
        </w:rPr>
        <w:t>的实操经验，具备全国化视野。</w:t>
      </w:r>
    </w:p>
    <w:p w14:paraId="4532F85B">
      <w:pPr>
        <w:pBdr>
          <w:bottom w:val="single" w:color="1A568E" w:sz="4" w:space="1"/>
        </w:pBdr>
        <w:spacing w:before="140" w:after="40"/>
        <w:rPr>
          <w:lang w:eastAsia="zh-CN"/>
        </w:rPr>
      </w:pPr>
      <w:r>
        <w:rPr>
          <w:b/>
          <w:color w:val="1A568E"/>
          <w:sz w:val="21"/>
          <w:lang w:eastAsia="zh-CN"/>
        </w:rPr>
        <w:t>职业履历</w:t>
      </w:r>
    </w:p>
    <w:p w14:paraId="4F6E9E6A">
      <w:pPr>
        <w:spacing w:before="100" w:after="20"/>
        <w:rPr>
          <w:sz w:val="21"/>
          <w:szCs w:val="21"/>
          <w:lang w:eastAsia="zh-CN"/>
        </w:rPr>
      </w:pPr>
      <w:r>
        <w:rPr>
          <w:b/>
          <w:color w:val="222222"/>
          <w:sz w:val="21"/>
          <w:szCs w:val="21"/>
          <w:lang w:eastAsia="zh-CN"/>
        </w:rPr>
        <w:t>阿里巴巴集团</w:t>
      </w:r>
      <w:r>
        <w:rPr>
          <w:color w:val="999999"/>
          <w:sz w:val="21"/>
          <w:szCs w:val="21"/>
          <w:lang w:eastAsia="zh-CN"/>
        </w:rPr>
        <w:t xml:space="preserve"> | </w:t>
      </w:r>
      <w:r>
        <w:rPr>
          <w:color w:val="444444"/>
          <w:sz w:val="21"/>
          <w:szCs w:val="21"/>
          <w:lang w:eastAsia="zh-CN"/>
        </w:rPr>
        <w:t>总务及不动产管理部大区总经理</w:t>
      </w:r>
      <w:r>
        <w:rPr>
          <w:color w:val="999999"/>
          <w:sz w:val="21"/>
          <w:szCs w:val="21"/>
          <w:lang w:eastAsia="zh-CN"/>
        </w:rPr>
        <w:t xml:space="preserve"> | </w:t>
      </w:r>
      <w:r>
        <w:rPr>
          <w:color w:val="666666"/>
          <w:sz w:val="21"/>
          <w:szCs w:val="21"/>
          <w:lang w:eastAsia="zh-CN"/>
        </w:rPr>
        <w:t>2023.9–2026.7</w:t>
      </w:r>
    </w:p>
    <w:p w14:paraId="61C01CCD">
      <w:pPr>
        <w:spacing w:before="10" w:after="10"/>
        <w:rPr>
          <w:sz w:val="21"/>
          <w:szCs w:val="21"/>
          <w:lang w:eastAsia="zh-CN"/>
        </w:rPr>
      </w:pPr>
      <w:r>
        <w:rPr>
          <w:color w:val="333333"/>
          <w:sz w:val="21"/>
          <w:szCs w:val="21"/>
          <w:lang w:eastAsia="zh-CN"/>
        </w:rPr>
        <w:t>负责阿里巴巴集团全国约500万㎡产业园区的产业规划与产业发展</w:t>
      </w:r>
      <w:r>
        <w:rPr>
          <w:rFonts w:hint="eastAsia"/>
          <w:color w:val="333333"/>
          <w:sz w:val="21"/>
          <w:szCs w:val="21"/>
          <w:lang w:eastAsia="zh-CN"/>
        </w:rPr>
        <w:t>策略</w:t>
      </w:r>
      <w:r>
        <w:rPr>
          <w:color w:val="333333"/>
          <w:sz w:val="21"/>
          <w:szCs w:val="21"/>
          <w:lang w:eastAsia="zh-CN"/>
        </w:rPr>
        <w:t>制定（人工智能、具身智能、跨境电商、低空经济等），最大化发挥阿里资产的长期价值和有机服务能力；直接统筹南湖未来科学园、未科阿里中心、云谷中心等约140万㎡核心园区的政企合作共建、产业生态集聚、招商运营及资产管理。</w:t>
      </w:r>
    </w:p>
    <w:p w14:paraId="221DCB93">
      <w:pPr>
        <w:spacing w:before="10" w:after="10"/>
        <w:ind w:left="340" w:hanging="198"/>
        <w:rPr>
          <w:sz w:val="21"/>
          <w:szCs w:val="21"/>
          <w:lang w:eastAsia="zh-CN"/>
        </w:rPr>
      </w:pPr>
      <w:r>
        <w:rPr>
          <w:color w:val="1A568E"/>
          <w:sz w:val="21"/>
          <w:szCs w:val="21"/>
          <w:lang w:eastAsia="zh-CN"/>
        </w:rPr>
        <w:t xml:space="preserve">▸ </w:t>
      </w:r>
      <w:r>
        <w:rPr>
          <w:rFonts w:hint="eastAsia"/>
          <w:color w:val="333333"/>
          <w:sz w:val="21"/>
          <w:szCs w:val="21"/>
          <w:lang w:val="en-US" w:eastAsia="zh-CN"/>
        </w:rPr>
        <w:t>连续三年业绩高绩效。</w:t>
      </w:r>
      <w:bookmarkStart w:id="0" w:name="_GoBack"/>
      <w:bookmarkEnd w:id="0"/>
      <w:r>
        <w:rPr>
          <w:color w:val="333333"/>
          <w:sz w:val="21"/>
          <w:szCs w:val="21"/>
          <w:lang w:eastAsia="zh-CN"/>
        </w:rPr>
        <w:t>资产管理连续三个财年全面超额完成NPI、新增签约、出租率、产业集聚等核心业绩指标。</w:t>
      </w:r>
    </w:p>
    <w:p w14:paraId="6C179DD7">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南湖未来科学园交付首年完成近9万㎡招商签约，两年内集聚200余家低空经济和具身智能企业，成为省市区与阿里巴巴唯一四方共建的科学企业家创新园和杭州"中国飞谷"核心承载园区。未科阿里中心首年签约入驻超60%，引入国家网信委网络数据安全实验室、海纳数据创新中心等重要产业服务平台，落地AI行业场景社区，成为杭州最具代表性的人工智能产业高地。云谷中心形成魔搭线下开发者社区和人工智能产业生态的快速集聚，得到省委书记和市委书记的高度认可。亲橙Park主题商业街区开业一年即成为杭州商业休闲新地标。</w:t>
      </w:r>
    </w:p>
    <w:p w14:paraId="610F4055">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作为全国不动产管理业务的产业发展负责人，强化阿里作为产业链核心的资源整合能力，经营阿里业务生态网络，与各地政府形成产业招商共同体；明晰10余座园区产业定位，制定一园一策的差异化发展策略，主导园区产业服务落地。</w:t>
      </w:r>
    </w:p>
    <w:p w14:paraId="2123E734">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作为科创企业股权融资服务和产业服务负责人，推动全国园区入驻科技企业的股权融资对接和token、算力等产业要素</w:t>
      </w:r>
      <w:r>
        <w:rPr>
          <w:rFonts w:hint="eastAsia"/>
          <w:color w:val="333333"/>
          <w:sz w:val="21"/>
          <w:szCs w:val="21"/>
          <w:lang w:eastAsia="zh-CN"/>
        </w:rPr>
        <w:t>和场景订单</w:t>
      </w:r>
      <w:r>
        <w:rPr>
          <w:color w:val="333333"/>
          <w:sz w:val="21"/>
          <w:szCs w:val="21"/>
          <w:lang w:eastAsia="zh-CN"/>
        </w:rPr>
        <w:t>供需对接服务。</w:t>
      </w:r>
    </w:p>
    <w:p w14:paraId="79698610">
      <w:pPr>
        <w:spacing w:before="100" w:after="20"/>
        <w:rPr>
          <w:sz w:val="21"/>
          <w:szCs w:val="21"/>
          <w:lang w:eastAsia="zh-CN"/>
        </w:rPr>
      </w:pPr>
      <w:r>
        <w:rPr>
          <w:b/>
          <w:color w:val="222222"/>
          <w:sz w:val="21"/>
          <w:szCs w:val="21"/>
          <w:lang w:eastAsia="zh-CN"/>
        </w:rPr>
        <w:t>TCL科技产业园有限公司</w:t>
      </w:r>
      <w:r>
        <w:rPr>
          <w:color w:val="999999"/>
          <w:sz w:val="21"/>
          <w:szCs w:val="21"/>
          <w:lang w:eastAsia="zh-CN"/>
        </w:rPr>
        <w:t xml:space="preserve"> | </w:t>
      </w:r>
      <w:r>
        <w:rPr>
          <w:color w:val="444444"/>
          <w:sz w:val="21"/>
          <w:szCs w:val="21"/>
          <w:lang w:eastAsia="zh-CN"/>
        </w:rPr>
        <w:t>总经理</w:t>
      </w:r>
      <w:r>
        <w:rPr>
          <w:color w:val="999999"/>
          <w:sz w:val="21"/>
          <w:szCs w:val="21"/>
          <w:lang w:eastAsia="zh-CN"/>
        </w:rPr>
        <w:t xml:space="preserve"> | </w:t>
      </w:r>
      <w:r>
        <w:rPr>
          <w:color w:val="666666"/>
          <w:sz w:val="21"/>
          <w:szCs w:val="21"/>
          <w:lang w:eastAsia="zh-CN"/>
        </w:rPr>
        <w:t>2021.7-2023.4</w:t>
      </w:r>
    </w:p>
    <w:p w14:paraId="6048FB49">
      <w:pPr>
        <w:spacing w:before="10" w:after="10"/>
        <w:rPr>
          <w:sz w:val="21"/>
          <w:szCs w:val="21"/>
          <w:lang w:eastAsia="zh-CN"/>
        </w:rPr>
      </w:pPr>
      <w:r>
        <w:rPr>
          <w:color w:val="333333"/>
          <w:sz w:val="21"/>
          <w:szCs w:val="21"/>
          <w:lang w:eastAsia="zh-CN"/>
        </w:rPr>
        <w:t>主要业务为产业园区、写字楼、物流园区的投资开发建设和运营管理，覆盖粤港澳大湾区和长三角、环京三大城市群，总管理面积360万㎡，工业代建近400万㎡。</w:t>
      </w:r>
    </w:p>
    <w:p w14:paraId="6ADD19E0">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全面负责经营管理，包括资产规模超200亿的产业园区和写字楼资产管理、超300万㎡园区的新增投资开发建设管理、广州深圳物业REITs资产证券化、存量资产盘活和资产处置。</w:t>
      </w:r>
    </w:p>
    <w:p w14:paraId="3F3697F7">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2021年和2022年连续两年全面超额完成公司业绩。2021年收入完成率104%，利润完成率107%，出租率95%以上。2022年逆市利润完成率110%；物流园区出租率100%；新增资产管理面积95.7万㎡，达成率142%。</w:t>
      </w:r>
    </w:p>
    <w:p w14:paraId="2C70C6A8">
      <w:pPr>
        <w:spacing w:before="100" w:after="20"/>
        <w:rPr>
          <w:sz w:val="21"/>
          <w:szCs w:val="21"/>
          <w:lang w:eastAsia="zh-CN"/>
        </w:rPr>
      </w:pPr>
      <w:r>
        <w:rPr>
          <w:b/>
          <w:color w:val="222222"/>
          <w:sz w:val="21"/>
          <w:szCs w:val="21"/>
          <w:lang w:eastAsia="zh-CN"/>
        </w:rPr>
        <w:t>华夏幸福</w:t>
      </w:r>
      <w:r>
        <w:rPr>
          <w:color w:val="999999"/>
          <w:sz w:val="21"/>
          <w:szCs w:val="21"/>
          <w:lang w:eastAsia="zh-CN"/>
        </w:rPr>
        <w:t xml:space="preserve"> | </w:t>
      </w:r>
      <w:r>
        <w:rPr>
          <w:color w:val="444444"/>
          <w:sz w:val="21"/>
          <w:szCs w:val="21"/>
          <w:lang w:eastAsia="zh-CN"/>
        </w:rPr>
        <w:t>集团副总裁</w:t>
      </w:r>
      <w:r>
        <w:rPr>
          <w:color w:val="999999"/>
          <w:sz w:val="21"/>
          <w:szCs w:val="21"/>
          <w:lang w:eastAsia="zh-CN"/>
        </w:rPr>
        <w:t xml:space="preserve"> | </w:t>
      </w:r>
      <w:r>
        <w:rPr>
          <w:color w:val="666666"/>
          <w:sz w:val="21"/>
          <w:szCs w:val="21"/>
          <w:lang w:eastAsia="zh-CN"/>
        </w:rPr>
        <w:t>2019.10-2021.7</w:t>
      </w:r>
    </w:p>
    <w:p w14:paraId="7D81F265">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负责华夏幸福800亿存量资产的管理与盘活，资产类型涵盖写字楼、酒店、产业园、学校、医院和公寓。一年内推动200亿资产处置决策落地，实现超过100亿资产交易变现回款，有效提升资产质量和流动性。</w:t>
      </w:r>
    </w:p>
    <w:p w14:paraId="7D3D04F3">
      <w:pPr>
        <w:spacing w:before="100" w:after="20"/>
        <w:rPr>
          <w:sz w:val="21"/>
          <w:szCs w:val="21"/>
          <w:lang w:eastAsia="zh-CN"/>
        </w:rPr>
      </w:pPr>
      <w:r>
        <w:rPr>
          <w:b/>
          <w:color w:val="222222"/>
          <w:sz w:val="21"/>
          <w:szCs w:val="21"/>
          <w:lang w:eastAsia="zh-CN"/>
        </w:rPr>
        <w:t>华夏幸福</w:t>
      </w:r>
      <w:r>
        <w:rPr>
          <w:color w:val="999999"/>
          <w:sz w:val="21"/>
          <w:szCs w:val="21"/>
          <w:lang w:eastAsia="zh-CN"/>
        </w:rPr>
        <w:t xml:space="preserve"> | </w:t>
      </w:r>
      <w:r>
        <w:rPr>
          <w:color w:val="444444"/>
          <w:sz w:val="21"/>
          <w:szCs w:val="21"/>
          <w:lang w:eastAsia="zh-CN"/>
        </w:rPr>
        <w:t>区域总经理</w:t>
      </w:r>
      <w:r>
        <w:rPr>
          <w:color w:val="999999"/>
          <w:sz w:val="21"/>
          <w:szCs w:val="21"/>
          <w:lang w:eastAsia="zh-CN"/>
        </w:rPr>
        <w:t xml:space="preserve"> | </w:t>
      </w:r>
      <w:r>
        <w:rPr>
          <w:color w:val="666666"/>
          <w:sz w:val="21"/>
          <w:szCs w:val="21"/>
          <w:lang w:eastAsia="zh-CN"/>
        </w:rPr>
        <w:t>2015.1-2019.10</w:t>
      </w:r>
    </w:p>
    <w:p w14:paraId="28F3CCA6">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先后在河北廊坊和辽宁沈阳全面负责产业新城业务，涵盖产业园区招商运营、城市配套建设运营、土地整理和城市更新、商品住宅开发销售、市政及社区物业服务。</w:t>
      </w:r>
    </w:p>
    <w:p w14:paraId="2BFEC536">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负责沈阳期间，汽车装备产业园快速形成汽车供应链集聚；一年内完成800亩土地整理和城市更新，5000套住宅开发销售，单盘销售居全市第一。</w:t>
      </w:r>
    </w:p>
    <w:p w14:paraId="67E07857">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负责廊坊文安智能智造产业园期间，完成高端装备产业集群、城市综合体、星级酒店、文化场馆等建设和运营，完成20万㎡住宅取地和开发销售。</w:t>
      </w:r>
    </w:p>
    <w:p w14:paraId="297585A3">
      <w:pPr>
        <w:spacing w:before="100" w:after="20"/>
        <w:rPr>
          <w:sz w:val="21"/>
          <w:szCs w:val="21"/>
          <w:lang w:eastAsia="zh-CN"/>
        </w:rPr>
      </w:pPr>
      <w:r>
        <w:rPr>
          <w:b/>
          <w:color w:val="222222"/>
          <w:sz w:val="21"/>
          <w:szCs w:val="21"/>
          <w:lang w:eastAsia="zh-CN"/>
        </w:rPr>
        <w:t>华夏幸福</w:t>
      </w:r>
      <w:r>
        <w:rPr>
          <w:color w:val="999999"/>
          <w:sz w:val="21"/>
          <w:szCs w:val="21"/>
          <w:lang w:eastAsia="zh-CN"/>
        </w:rPr>
        <w:t xml:space="preserve"> | </w:t>
      </w:r>
      <w:r>
        <w:rPr>
          <w:color w:val="444444"/>
          <w:sz w:val="21"/>
          <w:szCs w:val="21"/>
          <w:lang w:eastAsia="zh-CN"/>
        </w:rPr>
        <w:t>产业新城产品部总经理</w:t>
      </w:r>
      <w:r>
        <w:rPr>
          <w:color w:val="999999"/>
          <w:sz w:val="21"/>
          <w:szCs w:val="21"/>
          <w:lang w:eastAsia="zh-CN"/>
        </w:rPr>
        <w:t xml:space="preserve"> | </w:t>
      </w:r>
      <w:r>
        <w:rPr>
          <w:color w:val="666666"/>
          <w:sz w:val="21"/>
          <w:szCs w:val="21"/>
          <w:lang w:eastAsia="zh-CN"/>
        </w:rPr>
        <w:t>2013.7-2015.1</w:t>
      </w:r>
    </w:p>
    <w:p w14:paraId="1C948480">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制定产业新城等产品的战略规划、城市总体规划和产业规划。任内完成24个区域的相关规划制定、投资分析和开发策略拟定。推动生物医药、新材料、电子信息、航空航天、影视制作等多个产业园的投资分析与建设运营。</w:t>
      </w:r>
    </w:p>
    <w:p w14:paraId="08ABE484">
      <w:pPr>
        <w:spacing w:before="100" w:after="20"/>
        <w:rPr>
          <w:sz w:val="21"/>
          <w:szCs w:val="21"/>
          <w:lang w:eastAsia="zh-CN"/>
        </w:rPr>
      </w:pPr>
      <w:r>
        <w:rPr>
          <w:b/>
          <w:color w:val="222222"/>
          <w:sz w:val="21"/>
          <w:szCs w:val="21"/>
          <w:lang w:eastAsia="zh-CN"/>
        </w:rPr>
        <w:t>世邦魏理仕（CBRE）</w:t>
      </w:r>
      <w:r>
        <w:rPr>
          <w:color w:val="999999"/>
          <w:sz w:val="21"/>
          <w:szCs w:val="21"/>
          <w:lang w:eastAsia="zh-CN"/>
        </w:rPr>
        <w:t xml:space="preserve"> | </w:t>
      </w:r>
      <w:r>
        <w:rPr>
          <w:color w:val="444444"/>
          <w:sz w:val="21"/>
          <w:szCs w:val="21"/>
          <w:lang w:eastAsia="zh-CN"/>
        </w:rPr>
        <w:t>华西区董事</w:t>
      </w:r>
      <w:r>
        <w:rPr>
          <w:color w:val="999999"/>
          <w:sz w:val="21"/>
          <w:szCs w:val="21"/>
          <w:lang w:eastAsia="zh-CN"/>
        </w:rPr>
        <w:t xml:space="preserve"> | </w:t>
      </w:r>
      <w:r>
        <w:rPr>
          <w:color w:val="666666"/>
          <w:sz w:val="21"/>
          <w:szCs w:val="21"/>
          <w:lang w:eastAsia="zh-CN"/>
        </w:rPr>
        <w:t>2009.3-2010.10</w:t>
      </w:r>
    </w:p>
    <w:p w14:paraId="456A5067">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负责成都、重庆、云南和西安商业综合体、城市更新、文化旅游和工业园项目的战略研究、投资分析、可行性研究和开发决策顾问。获得美国铁狮门、凯德置地、新加坡丰隆集团等国际客户高度认可。</w:t>
      </w:r>
    </w:p>
    <w:p w14:paraId="1A9B5EF4">
      <w:pPr>
        <w:spacing w:before="100" w:after="20"/>
        <w:rPr>
          <w:sz w:val="21"/>
          <w:szCs w:val="21"/>
          <w:lang w:eastAsia="zh-CN"/>
        </w:rPr>
      </w:pPr>
      <w:r>
        <w:rPr>
          <w:b/>
          <w:color w:val="222222"/>
          <w:sz w:val="21"/>
          <w:szCs w:val="21"/>
          <w:lang w:eastAsia="zh-CN"/>
        </w:rPr>
        <w:t>世联行</w:t>
      </w:r>
      <w:r>
        <w:rPr>
          <w:color w:val="999999"/>
          <w:sz w:val="21"/>
          <w:szCs w:val="21"/>
          <w:lang w:eastAsia="zh-CN"/>
        </w:rPr>
        <w:t xml:space="preserve"> | </w:t>
      </w:r>
      <w:r>
        <w:rPr>
          <w:color w:val="444444"/>
          <w:sz w:val="21"/>
          <w:szCs w:val="21"/>
          <w:lang w:eastAsia="zh-CN"/>
        </w:rPr>
        <w:t>区域总经理 / 业务总监 / 顾问</w:t>
      </w:r>
      <w:r>
        <w:rPr>
          <w:color w:val="999999"/>
          <w:sz w:val="21"/>
          <w:szCs w:val="21"/>
          <w:lang w:eastAsia="zh-CN"/>
        </w:rPr>
        <w:t xml:space="preserve"> | </w:t>
      </w:r>
      <w:r>
        <w:rPr>
          <w:color w:val="666666"/>
          <w:sz w:val="21"/>
          <w:szCs w:val="21"/>
          <w:lang w:eastAsia="zh-CN"/>
        </w:rPr>
        <w:t>2004.7-2009.3 / 2010.10-2013.6</w:t>
      </w:r>
    </w:p>
    <w:p w14:paraId="559680D2">
      <w:pPr>
        <w:spacing w:before="10" w:after="10"/>
        <w:ind w:left="340" w:hanging="198"/>
        <w:rPr>
          <w:sz w:val="21"/>
          <w:szCs w:val="21"/>
          <w:lang w:eastAsia="zh-CN"/>
        </w:rPr>
      </w:pPr>
      <w:r>
        <w:rPr>
          <w:color w:val="1A568E"/>
          <w:sz w:val="21"/>
          <w:szCs w:val="21"/>
          <w:lang w:eastAsia="zh-CN"/>
        </w:rPr>
        <w:t xml:space="preserve">▸ </w:t>
      </w:r>
      <w:r>
        <w:rPr>
          <w:color w:val="333333"/>
          <w:sz w:val="21"/>
          <w:szCs w:val="21"/>
          <w:lang w:eastAsia="zh-CN"/>
        </w:rPr>
        <w:t>全国大规模成片开发、文化旅游、工业园区和综合体项目的战略研究、市场分析、投资分析负责人。主导万科、金地、中粮集团、金融街集团、两江集团等多个标杆项目。2010年回归后负责西南区域公司业务管理。</w:t>
      </w:r>
    </w:p>
    <w:p w14:paraId="09D8CB63">
      <w:pPr>
        <w:pBdr>
          <w:bottom w:val="single" w:color="1A568E" w:sz="4" w:space="1"/>
        </w:pBdr>
        <w:spacing w:before="140" w:after="40"/>
        <w:rPr>
          <w:lang w:eastAsia="zh-CN"/>
        </w:rPr>
      </w:pPr>
      <w:r>
        <w:rPr>
          <w:b/>
          <w:color w:val="1A568E"/>
          <w:sz w:val="21"/>
          <w:lang w:eastAsia="zh-CN"/>
        </w:rPr>
        <w:t>教育履历</w:t>
      </w:r>
    </w:p>
    <w:tbl>
      <w:tblPr>
        <w:tblStyle w:val="3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Layout w:type="fixed"/>
        <w:tblCellMar>
          <w:top w:w="0" w:type="dxa"/>
          <w:left w:w="108" w:type="dxa"/>
          <w:bottom w:w="0" w:type="dxa"/>
          <w:right w:w="108" w:type="dxa"/>
        </w:tblCellMar>
      </w:tblPr>
      <w:tblGrid>
        <w:gridCol w:w="3541"/>
        <w:gridCol w:w="2551"/>
        <w:gridCol w:w="4208"/>
      </w:tblGrid>
      <w:tr w14:paraId="7EF76B6D">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0" w:type="dxa"/>
            <w:left w:w="108" w:type="dxa"/>
            <w:bottom w:w="0" w:type="dxa"/>
            <w:right w:w="108" w:type="dxa"/>
          </w:tblCellMar>
        </w:tblPrEx>
        <w:trPr>
          <w:jc w:val="center"/>
        </w:trPr>
        <w:tc>
          <w:tcPr>
            <w:tcW w:w="3541" w:type="dxa"/>
            <w:shd w:val="clear" w:color="auto" w:fill="1A568E"/>
          </w:tcPr>
          <w:p w14:paraId="5CFF594C">
            <w:pPr>
              <w:jc w:val="center"/>
              <w:rPr>
                <w:szCs w:val="18"/>
              </w:rPr>
            </w:pPr>
            <w:r>
              <w:rPr>
                <w:b/>
                <w:color w:val="FFFFFF"/>
                <w:szCs w:val="18"/>
              </w:rPr>
              <w:t>时间</w:t>
            </w:r>
          </w:p>
        </w:tc>
        <w:tc>
          <w:tcPr>
            <w:tcW w:w="2551" w:type="dxa"/>
            <w:shd w:val="clear" w:color="auto" w:fill="1A568E"/>
          </w:tcPr>
          <w:p w14:paraId="4B11ABA0">
            <w:pPr>
              <w:jc w:val="center"/>
              <w:rPr>
                <w:szCs w:val="18"/>
              </w:rPr>
            </w:pPr>
            <w:r>
              <w:rPr>
                <w:b/>
                <w:color w:val="FFFFFF"/>
                <w:szCs w:val="18"/>
              </w:rPr>
              <w:t>学校</w:t>
            </w:r>
          </w:p>
        </w:tc>
        <w:tc>
          <w:tcPr>
            <w:tcW w:w="4208" w:type="dxa"/>
            <w:shd w:val="clear" w:color="auto" w:fill="1A568E"/>
          </w:tcPr>
          <w:p w14:paraId="7FF1EBFE">
            <w:pPr>
              <w:jc w:val="center"/>
              <w:rPr>
                <w:szCs w:val="18"/>
              </w:rPr>
            </w:pPr>
            <w:r>
              <w:rPr>
                <w:b/>
                <w:color w:val="FFFFFF"/>
                <w:szCs w:val="18"/>
              </w:rPr>
              <w:t>学位</w:t>
            </w:r>
          </w:p>
        </w:tc>
      </w:tr>
      <w:tr w14:paraId="7E189369">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0" w:type="dxa"/>
            <w:left w:w="108" w:type="dxa"/>
            <w:bottom w:w="0" w:type="dxa"/>
            <w:right w:w="108" w:type="dxa"/>
          </w:tblCellMar>
        </w:tblPrEx>
        <w:trPr>
          <w:jc w:val="center"/>
        </w:trPr>
        <w:tc>
          <w:tcPr>
            <w:tcW w:w="3541" w:type="dxa"/>
            <w:shd w:val="clear" w:color="auto" w:fill="F0F4F8"/>
          </w:tcPr>
          <w:p w14:paraId="74E1340C">
            <w:pPr>
              <w:jc w:val="center"/>
              <w:rPr>
                <w:szCs w:val="18"/>
              </w:rPr>
            </w:pPr>
            <w:r>
              <w:rPr>
                <w:color w:val="222222"/>
                <w:szCs w:val="18"/>
              </w:rPr>
              <w:t>1998.9-2002.7</w:t>
            </w:r>
          </w:p>
        </w:tc>
        <w:tc>
          <w:tcPr>
            <w:tcW w:w="2551" w:type="dxa"/>
            <w:shd w:val="clear" w:color="auto" w:fill="F0F4F8"/>
          </w:tcPr>
          <w:p w14:paraId="7E96AF82">
            <w:pPr>
              <w:rPr>
                <w:szCs w:val="18"/>
              </w:rPr>
            </w:pPr>
            <w:r>
              <w:rPr>
                <w:color w:val="222222"/>
                <w:szCs w:val="18"/>
              </w:rPr>
              <w:t>中国人民大学</w:t>
            </w:r>
          </w:p>
        </w:tc>
        <w:tc>
          <w:tcPr>
            <w:tcW w:w="4208" w:type="dxa"/>
            <w:shd w:val="clear" w:color="auto" w:fill="F0F4F8"/>
          </w:tcPr>
          <w:p w14:paraId="75D817DE">
            <w:pPr>
              <w:jc w:val="center"/>
              <w:rPr>
                <w:szCs w:val="18"/>
              </w:rPr>
            </w:pPr>
            <w:r>
              <w:rPr>
                <w:color w:val="222222"/>
                <w:szCs w:val="18"/>
              </w:rPr>
              <w:t>经济学学士</w:t>
            </w:r>
          </w:p>
        </w:tc>
      </w:tr>
      <w:tr w14:paraId="78469883">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0" w:type="dxa"/>
            <w:left w:w="108" w:type="dxa"/>
            <w:bottom w:w="0" w:type="dxa"/>
            <w:right w:w="108" w:type="dxa"/>
          </w:tblCellMar>
        </w:tblPrEx>
        <w:trPr>
          <w:jc w:val="center"/>
        </w:trPr>
        <w:tc>
          <w:tcPr>
            <w:tcW w:w="3541" w:type="dxa"/>
          </w:tcPr>
          <w:p w14:paraId="0FDC156A">
            <w:pPr>
              <w:jc w:val="center"/>
              <w:rPr>
                <w:szCs w:val="18"/>
              </w:rPr>
            </w:pPr>
            <w:r>
              <w:rPr>
                <w:color w:val="222222"/>
                <w:szCs w:val="18"/>
              </w:rPr>
              <w:t>2002.9-2004.7</w:t>
            </w:r>
          </w:p>
        </w:tc>
        <w:tc>
          <w:tcPr>
            <w:tcW w:w="2551" w:type="dxa"/>
          </w:tcPr>
          <w:p w14:paraId="092E3723">
            <w:pPr>
              <w:rPr>
                <w:szCs w:val="18"/>
              </w:rPr>
            </w:pPr>
            <w:r>
              <w:rPr>
                <w:color w:val="222222"/>
                <w:szCs w:val="18"/>
              </w:rPr>
              <w:t>中国人民大学</w:t>
            </w:r>
          </w:p>
        </w:tc>
        <w:tc>
          <w:tcPr>
            <w:tcW w:w="4208" w:type="dxa"/>
          </w:tcPr>
          <w:p w14:paraId="4D05F2F6">
            <w:pPr>
              <w:jc w:val="center"/>
              <w:rPr>
                <w:szCs w:val="18"/>
              </w:rPr>
            </w:pPr>
            <w:r>
              <w:rPr>
                <w:color w:val="222222"/>
                <w:szCs w:val="18"/>
              </w:rPr>
              <w:t>管理学硕士</w:t>
            </w:r>
          </w:p>
        </w:tc>
      </w:tr>
      <w:tr w14:paraId="51A57AF2">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0" w:type="dxa"/>
            <w:left w:w="108" w:type="dxa"/>
            <w:bottom w:w="0" w:type="dxa"/>
            <w:right w:w="108" w:type="dxa"/>
          </w:tblCellMar>
        </w:tblPrEx>
        <w:trPr>
          <w:jc w:val="center"/>
        </w:trPr>
        <w:tc>
          <w:tcPr>
            <w:tcW w:w="3541" w:type="dxa"/>
            <w:shd w:val="clear" w:color="auto" w:fill="F0F4F8"/>
          </w:tcPr>
          <w:p w14:paraId="4755CEED">
            <w:pPr>
              <w:jc w:val="center"/>
              <w:rPr>
                <w:szCs w:val="18"/>
              </w:rPr>
            </w:pPr>
            <w:r>
              <w:rPr>
                <w:color w:val="222222"/>
                <w:szCs w:val="18"/>
              </w:rPr>
              <w:t>2021.7-2024.6</w:t>
            </w:r>
          </w:p>
        </w:tc>
        <w:tc>
          <w:tcPr>
            <w:tcW w:w="2551" w:type="dxa"/>
            <w:shd w:val="clear" w:color="auto" w:fill="F0F4F8"/>
          </w:tcPr>
          <w:p w14:paraId="41F04552">
            <w:pPr>
              <w:rPr>
                <w:szCs w:val="18"/>
              </w:rPr>
            </w:pPr>
            <w:r>
              <w:rPr>
                <w:color w:val="222222"/>
                <w:szCs w:val="18"/>
              </w:rPr>
              <w:t>清华大学</w:t>
            </w:r>
          </w:p>
        </w:tc>
        <w:tc>
          <w:tcPr>
            <w:tcW w:w="4208" w:type="dxa"/>
            <w:shd w:val="clear" w:color="auto" w:fill="F0F4F8"/>
          </w:tcPr>
          <w:p w14:paraId="39A031DB">
            <w:pPr>
              <w:jc w:val="center"/>
              <w:rPr>
                <w:szCs w:val="18"/>
              </w:rPr>
            </w:pPr>
            <w:r>
              <w:rPr>
                <w:color w:val="222222"/>
                <w:szCs w:val="18"/>
              </w:rPr>
              <w:t>管理学硕士(EMBA)</w:t>
            </w:r>
          </w:p>
        </w:tc>
      </w:tr>
    </w:tbl>
    <w:p w14:paraId="546A6E54"/>
    <w:p w14:paraId="1A000001">
      <w:r>
        <w:br w:type="page"/>
      </w:r>
    </w:p>
    <w:p w14:paraId="1A000002">
      <w:pPr>
        <w:spacing w:after="20"/>
        <w:jc w:val="center"/>
      </w:pPr>
      <w:r>
        <w:rPr>
          <w:b/>
          <w:color w:val="1A568E"/>
          <w:sz w:val="36"/>
        </w:rPr>
        <w:t>Du Yansong (Anson Du)</w:t>
      </w:r>
    </w:p>
    <w:p w14:paraId="1A000003">
      <w:pPr>
        <w:jc w:val="center"/>
      </w:pPr>
      <w:r>
        <w:rPr>
          <w:color w:val="666666"/>
          <w:sz w:val="17"/>
        </w:rPr>
        <w:t>Male | Born Mar 1980   |   Hukou: Shenzhen   |   +86 133-8121-5580   |   anson_du@126.com</w:t>
      </w:r>
    </w:p>
    <w:p w14:paraId="1A000004">
      <w:pPr>
        <w:pBdr>
          <w:bottom w:val="single" w:color="1A568E" w:sz="6" w:space="1"/>
        </w:pBdr>
        <w:spacing w:before="40"/>
      </w:pPr>
    </w:p>
    <w:p w14:paraId="1A000005">
      <w:pPr>
        <w:pBdr>
          <w:bottom w:val="single" w:color="1A568E" w:sz="4" w:space="1"/>
        </w:pBdr>
        <w:spacing w:before="140" w:after="40"/>
      </w:pPr>
      <w:r>
        <w:rPr>
          <w:b/>
          <w:color w:val="1A568E"/>
          <w:sz w:val="21"/>
        </w:rPr>
        <w:t>Professional Summary</w:t>
      </w:r>
    </w:p>
    <w:p w14:paraId="1A000006">
      <w:pPr>
        <w:spacing w:before="10" w:after="10"/>
      </w:pPr>
      <w:r>
        <w:rPr>
          <w:b/>
          <w:color w:val="333333"/>
          <w:sz w:val="21"/>
          <w:szCs w:val="21"/>
        </w:rPr>
        <w:t>20 years of deep expertise in real estate and industrial park management, having held senior leadership roles at Alibaba Group, TCL Technology, and China Fortune Land Development (CFLD). Specializes in full lifecycle management of industrial parks, asset operations, industrial ecosystem development, and equity financing for technology enterprises. Tsinghua University EMBA.</w:t>
      </w:r>
    </w:p>
    <w:p w14:paraId="1A000007">
      <w:pPr>
        <w:spacing w:before="10" w:after="10"/>
        <w:ind w:left="340" w:hanging="198"/>
      </w:pPr>
      <w:r>
        <w:rPr>
          <w:color w:val="1A568E"/>
          <w:sz w:val="21"/>
          <w:szCs w:val="21"/>
        </w:rPr>
        <w:t xml:space="preserve">▸ </w:t>
      </w:r>
      <w:r>
        <w:rPr>
          <w:color w:val="333333"/>
          <w:sz w:val="21"/>
          <w:szCs w:val="21"/>
        </w:rPr>
        <w:t>Deep understanding of technology industry ecosystems including artificial intelligence, embodied intelligence, low-altitude economy, and cross-border e-commerce. Capable of formulating and executing differentiated positioning and development strategies for industrial parks, skilled at transforming technology industry resources into core competitiveness for park investment attraction.</w:t>
      </w:r>
    </w:p>
    <w:p w14:paraId="1A000008">
      <w:pPr>
        <w:spacing w:before="10" w:after="10"/>
        <w:ind w:left="340" w:hanging="198"/>
      </w:pPr>
      <w:r>
        <w:rPr>
          <w:color w:val="1A568E"/>
          <w:sz w:val="21"/>
          <w:szCs w:val="21"/>
        </w:rPr>
        <w:t xml:space="preserve">▸ </w:t>
      </w:r>
      <w:r>
        <w:rPr>
          <w:color w:val="333333"/>
          <w:sz w:val="21"/>
          <w:szCs w:val="21"/>
        </w:rPr>
        <w:t>Extensive operational experience spanning strategic planning, real estate asset management, park development and construction, industrial investment attraction, park operations, asset transactions, and technology enterprise equity financing. Managed diverse property types including industrial parks, office buildings, logistics parks, commercial properties, and hotels. Rich experience in multi-level government engagement across provincial, municipal, and district levels, adept at building government-enterprise investment attraction partnerships.</w:t>
      </w:r>
    </w:p>
    <w:p w14:paraId="1A000009">
      <w:pPr>
        <w:spacing w:before="10" w:after="10"/>
        <w:ind w:left="340" w:hanging="198"/>
      </w:pPr>
      <w:r>
        <w:rPr>
          <w:color w:val="1A568E"/>
          <w:sz w:val="21"/>
          <w:szCs w:val="21"/>
        </w:rPr>
        <w:t xml:space="preserve">▸ </w:t>
      </w:r>
      <w:r>
        <w:rPr>
          <w:color w:val="333333"/>
          <w:sz w:val="21"/>
          <w:szCs w:val="21"/>
        </w:rPr>
        <w:t>Career spanning Shenzhen, Beijing, Hangzhou, Chengdu, Shenyang, and other major cities, with hands-on operational experience across multiple regions and a nationwide strategic perspective.</w:t>
      </w:r>
    </w:p>
    <w:p w14:paraId="1A00000A">
      <w:pPr>
        <w:pBdr>
          <w:bottom w:val="single" w:color="1A568E" w:sz="4" w:space="1"/>
        </w:pBdr>
        <w:spacing w:before="140" w:after="40"/>
      </w:pPr>
      <w:r>
        <w:rPr>
          <w:b/>
          <w:color w:val="1A568E"/>
          <w:sz w:val="21"/>
        </w:rPr>
        <w:t>Professional Experience</w:t>
      </w:r>
    </w:p>
    <w:p w14:paraId="1A00000B">
      <w:pPr>
        <w:spacing w:before="100" w:after="20"/>
      </w:pPr>
      <w:r>
        <w:rPr>
          <w:b/>
          <w:color w:val="222222"/>
          <w:sz w:val="21"/>
          <w:szCs w:val="21"/>
        </w:rPr>
        <w:t>Alibaba Group</w:t>
      </w:r>
      <w:r>
        <w:rPr>
          <w:color w:val="999999"/>
          <w:sz w:val="21"/>
          <w:szCs w:val="21"/>
        </w:rPr>
        <w:t xml:space="preserve"> | </w:t>
      </w:r>
      <w:r>
        <w:rPr>
          <w:color w:val="444444"/>
          <w:sz w:val="21"/>
          <w:szCs w:val="21"/>
        </w:rPr>
        <w:t>Regional General Manager, General Affairs &amp; Real Estate Management</w:t>
      </w:r>
      <w:r>
        <w:rPr>
          <w:color w:val="999999"/>
          <w:sz w:val="21"/>
          <w:szCs w:val="21"/>
        </w:rPr>
        <w:t xml:space="preserve"> | </w:t>
      </w:r>
      <w:r>
        <w:rPr>
          <w:color w:val="666666"/>
          <w:sz w:val="21"/>
          <w:szCs w:val="21"/>
        </w:rPr>
        <w:t>Sep 2023 – Jul 2026</w:t>
      </w:r>
    </w:p>
    <w:p w14:paraId="1A00000C">
      <w:pPr>
        <w:spacing w:before="10" w:after="10"/>
      </w:pPr>
      <w:r>
        <w:rPr>
          <w:color w:val="333333"/>
          <w:sz w:val="21"/>
          <w:szCs w:val="21"/>
        </w:rPr>
        <w:t>Responsible for industrial planning and development strategy across Alibaba Group’s nationwide portfolio of approximately 5 million sqm of industrial parks (AI, embodied intelligence, cross-border e-commerce, low-altitude economy, etc.), maximizing the long-term value and organic service capability of Alibaba’s real estate assets. Directly oversaw approximately 1.4 million sqm of core parks including Nanhu Future Science Park, Weike Alibaba Center, and Yungu Center, covering government-enterprise collaboration, industrial ecosystem aggregation, leasing operations, and asset management.</w:t>
      </w:r>
    </w:p>
    <w:p w14:paraId="1A00000D">
      <w:pPr>
        <w:spacing w:before="10" w:after="10"/>
        <w:ind w:left="340" w:hanging="198"/>
      </w:pPr>
      <w:r>
        <w:rPr>
          <w:color w:val="1A568E"/>
          <w:sz w:val="21"/>
          <w:szCs w:val="21"/>
        </w:rPr>
        <w:t xml:space="preserve">▸ </w:t>
      </w:r>
      <w:r>
        <w:rPr>
          <w:color w:val="333333"/>
          <w:sz w:val="21"/>
          <w:szCs w:val="21"/>
        </w:rPr>
        <w:t>Asset management consistently exceeded all core KPIs for three consecutive fiscal years, including NPI, new lease signings, occupancy rate, and industrial clustering metrics.</w:t>
      </w:r>
    </w:p>
    <w:p w14:paraId="1A00000E">
      <w:pPr>
        <w:spacing w:before="10" w:after="10"/>
        <w:ind w:left="340" w:hanging="198"/>
      </w:pPr>
      <w:r>
        <w:rPr>
          <w:color w:val="1A568E"/>
          <w:sz w:val="21"/>
          <w:szCs w:val="21"/>
        </w:rPr>
        <w:t xml:space="preserve">▸ </w:t>
      </w:r>
      <w:r>
        <w:rPr>
          <w:color w:val="333333"/>
          <w:sz w:val="21"/>
          <w:szCs w:val="21"/>
        </w:rPr>
        <w:t>Nanhu Future Science Park achieved nearly 90,000 sqm of lease signings in its first year of delivery, attracting over 200 low-altitude economy and embodied intelligence enterprises within two years. It became the only quadrilateral government-Alibaba co-built science and entrepreneurship innovation park and the core park for Hangzhou’s “China Flying Valley.” Weike Alibaba Center achieved over 60% occupancy in its first year, introducing key industry service platforms including the CAC National Network Data Security Laboratory and Haina Data Innovation Center, establishing an AI industry scenario community and becoming Hangzhou’s most representative AI industry hub. Yungu Center rapidly attracted the ModelScope offline developer community and AI industry ecosystem, receiving high recognition from provincial and municipal party secretaries. Qincheng Park themed commercial street became a new Hangzhou leisure landmark within one year of opening.</w:t>
      </w:r>
    </w:p>
    <w:p w14:paraId="1A00000F">
      <w:pPr>
        <w:spacing w:before="10" w:after="10"/>
        <w:ind w:left="340" w:hanging="198"/>
      </w:pPr>
      <w:r>
        <w:rPr>
          <w:color w:val="1A568E"/>
          <w:sz w:val="21"/>
          <w:szCs w:val="21"/>
        </w:rPr>
        <w:t xml:space="preserve">▸ </w:t>
      </w:r>
      <w:r>
        <w:rPr>
          <w:color w:val="333333"/>
          <w:sz w:val="21"/>
          <w:szCs w:val="21"/>
        </w:rPr>
        <w:t>As the national head of industrial development for real estate management, strengthened Alibaba’s resource integration capability as a core industry chain player, managed Alibaba’s business ecosystem network, and formed investment attraction partnerships with local governments. Defined industrial positioning for over 10 parks, formulated park-specific differentiated development strategies, and led the implementation of park industry services.</w:t>
      </w:r>
    </w:p>
    <w:p w14:paraId="1A000010">
      <w:pPr>
        <w:spacing w:before="10" w:after="10"/>
        <w:ind w:left="340" w:hanging="198"/>
      </w:pPr>
      <w:r>
        <w:rPr>
          <w:color w:val="1A568E"/>
          <w:sz w:val="21"/>
          <w:szCs w:val="21"/>
        </w:rPr>
        <w:t xml:space="preserve">▸ </w:t>
      </w:r>
      <w:r>
        <w:rPr>
          <w:color w:val="333333"/>
          <w:sz w:val="21"/>
          <w:szCs w:val="21"/>
        </w:rPr>
        <w:t>As the head of technology enterprise equity financing services and industrial services, facilitated equity financing matchmaking for technology enterprises based in parks nationwide, and coordinated supply-demand matching for industrial elements such as tokens, computing power, and scenario-based orders.</w:t>
      </w:r>
    </w:p>
    <w:p w14:paraId="1A000011">
      <w:pPr>
        <w:spacing w:before="100" w:after="20"/>
      </w:pPr>
      <w:r>
        <w:rPr>
          <w:b/>
          <w:color w:val="222222"/>
          <w:sz w:val="21"/>
          <w:szCs w:val="21"/>
        </w:rPr>
        <w:t>TCL Technology Industrial Park Co., Ltd.</w:t>
      </w:r>
      <w:r>
        <w:rPr>
          <w:color w:val="999999"/>
          <w:sz w:val="21"/>
          <w:szCs w:val="21"/>
        </w:rPr>
        <w:t xml:space="preserve"> | </w:t>
      </w:r>
      <w:r>
        <w:rPr>
          <w:color w:val="444444"/>
          <w:sz w:val="21"/>
          <w:szCs w:val="21"/>
        </w:rPr>
        <w:t>General Manager</w:t>
      </w:r>
      <w:r>
        <w:rPr>
          <w:color w:val="999999"/>
          <w:sz w:val="21"/>
          <w:szCs w:val="21"/>
        </w:rPr>
        <w:t xml:space="preserve"> | </w:t>
      </w:r>
      <w:r>
        <w:rPr>
          <w:color w:val="666666"/>
          <w:sz w:val="21"/>
          <w:szCs w:val="21"/>
        </w:rPr>
        <w:t>Jul 2021 – Apr 2023</w:t>
      </w:r>
    </w:p>
    <w:p w14:paraId="1A000012">
      <w:pPr>
        <w:spacing w:before="10" w:after="10"/>
      </w:pPr>
      <w:r>
        <w:rPr>
          <w:color w:val="333333"/>
          <w:sz w:val="21"/>
          <w:szCs w:val="21"/>
        </w:rPr>
        <w:t>Core business encompassing investment, development, construction, and operational management of industrial parks, office buildings, and logistics parks across the Greater Bay Area, Yangtze River Delta, and Beijing-Tianjin-Hebei metropolitan clusters. Total managed area of 3.6 million sqm, with approximately 4 million sqm of industrial contracted construction projects.</w:t>
      </w:r>
    </w:p>
    <w:p w14:paraId="1A000013">
      <w:pPr>
        <w:spacing w:before="10" w:after="10"/>
        <w:ind w:left="340" w:hanging="198"/>
      </w:pPr>
      <w:r>
        <w:rPr>
          <w:color w:val="1A568E"/>
          <w:sz w:val="21"/>
          <w:szCs w:val="21"/>
        </w:rPr>
        <w:t xml:space="preserve">▸ </w:t>
      </w:r>
      <w:r>
        <w:rPr>
          <w:color w:val="333333"/>
          <w:sz w:val="21"/>
          <w:szCs w:val="21"/>
        </w:rPr>
        <w:t>Full P&amp;L responsibility, including asset management of industrial parks and office buildings with asset scale exceeding RMB 20 billion, new investment development and construction management of over 3 million sqm of parks, REITs asset securitization for Guangzhou and Shenzhen properties, revitalization of existing assets, and asset disposals.</w:t>
      </w:r>
    </w:p>
    <w:p w14:paraId="1A000014">
      <w:pPr>
        <w:spacing w:before="10" w:after="10"/>
        <w:ind w:left="340" w:hanging="198"/>
      </w:pPr>
      <w:r>
        <w:rPr>
          <w:color w:val="1A568E"/>
          <w:sz w:val="21"/>
          <w:szCs w:val="21"/>
        </w:rPr>
        <w:t xml:space="preserve">▸ </w:t>
      </w:r>
      <w:r>
        <w:rPr>
          <w:color w:val="333333"/>
          <w:sz w:val="21"/>
          <w:szCs w:val="21"/>
        </w:rPr>
        <w:t>Comprehensively exceeded company performance targets for two consecutive years (2021 and 2022). In 2021, achieved 104% revenue completion rate, 107% profit completion rate, and over 95% occupancy. In 2022, achieved 110% profit completion rate against market headwinds; logistics parks reached 100% occupancy; new asset management area of 957,000 sqm, reaching 142% of target.</w:t>
      </w:r>
    </w:p>
    <w:p w14:paraId="1A000015">
      <w:pPr>
        <w:spacing w:before="100" w:after="20"/>
      </w:pPr>
      <w:r>
        <w:rPr>
          <w:b/>
          <w:color w:val="222222"/>
          <w:sz w:val="21"/>
          <w:szCs w:val="21"/>
        </w:rPr>
        <w:t>China Fortune Land Development (CFLD)</w:t>
      </w:r>
      <w:r>
        <w:rPr>
          <w:color w:val="999999"/>
          <w:sz w:val="21"/>
          <w:szCs w:val="21"/>
        </w:rPr>
        <w:t xml:space="preserve"> | </w:t>
      </w:r>
      <w:r>
        <w:rPr>
          <w:color w:val="444444"/>
          <w:sz w:val="21"/>
          <w:szCs w:val="21"/>
        </w:rPr>
        <w:t>Group Vice President</w:t>
      </w:r>
      <w:r>
        <w:rPr>
          <w:color w:val="999999"/>
          <w:sz w:val="21"/>
          <w:szCs w:val="21"/>
        </w:rPr>
        <w:t xml:space="preserve"> | </w:t>
      </w:r>
      <w:r>
        <w:rPr>
          <w:color w:val="666666"/>
          <w:sz w:val="21"/>
          <w:szCs w:val="21"/>
        </w:rPr>
        <w:t>Oct 2019 – Jul 2021</w:t>
      </w:r>
    </w:p>
    <w:p w14:paraId="1A000016">
      <w:pPr>
        <w:spacing w:before="10" w:after="10"/>
        <w:ind w:left="340" w:hanging="198"/>
      </w:pPr>
      <w:r>
        <w:rPr>
          <w:color w:val="1A568E"/>
          <w:sz w:val="21"/>
          <w:szCs w:val="21"/>
        </w:rPr>
        <w:t xml:space="preserve">▸ </w:t>
      </w:r>
      <w:r>
        <w:rPr>
          <w:color w:val="333333"/>
          <w:sz w:val="21"/>
          <w:szCs w:val="21"/>
        </w:rPr>
        <w:t>Managed and revitalized CFLD’s RMB 80 billion stock assets, covering office buildings, hotels, industrial parks, schools, hospitals, and apartments. Within one year, drove the decision-making and execution of RMB 20 billion in asset disposals, achieving over RMB 10 billion in asset transaction proceeds, effectively enhancing asset quality and liquidity.</w:t>
      </w:r>
    </w:p>
    <w:p w14:paraId="1A000017">
      <w:pPr>
        <w:spacing w:before="100" w:after="20"/>
      </w:pPr>
      <w:r>
        <w:rPr>
          <w:b/>
          <w:color w:val="222222"/>
          <w:sz w:val="21"/>
          <w:szCs w:val="21"/>
        </w:rPr>
        <w:t>China Fortune Land Development (CFLD)</w:t>
      </w:r>
      <w:r>
        <w:rPr>
          <w:color w:val="999999"/>
          <w:sz w:val="21"/>
          <w:szCs w:val="21"/>
        </w:rPr>
        <w:t xml:space="preserve"> | </w:t>
      </w:r>
      <w:r>
        <w:rPr>
          <w:color w:val="444444"/>
          <w:sz w:val="21"/>
          <w:szCs w:val="21"/>
        </w:rPr>
        <w:t>Regional General Manager</w:t>
      </w:r>
      <w:r>
        <w:rPr>
          <w:color w:val="999999"/>
          <w:sz w:val="21"/>
          <w:szCs w:val="21"/>
        </w:rPr>
        <w:t xml:space="preserve"> | </w:t>
      </w:r>
      <w:r>
        <w:rPr>
          <w:color w:val="666666"/>
          <w:sz w:val="21"/>
          <w:szCs w:val="21"/>
        </w:rPr>
        <w:t>Jan 2015 – Oct 2019</w:t>
      </w:r>
    </w:p>
    <w:p w14:paraId="1A000018">
      <w:pPr>
        <w:spacing w:before="10" w:after="10"/>
        <w:ind w:left="340" w:hanging="198"/>
      </w:pPr>
      <w:r>
        <w:rPr>
          <w:color w:val="1A568E"/>
          <w:sz w:val="21"/>
          <w:szCs w:val="21"/>
        </w:rPr>
        <w:t xml:space="preserve">▸ </w:t>
      </w:r>
      <w:r>
        <w:rPr>
          <w:color w:val="333333"/>
          <w:sz w:val="21"/>
          <w:szCs w:val="21"/>
        </w:rPr>
        <w:t>Led comprehensive industrial new city operations in Langfang (Hebei) and Shenyang (Liaoning), covering industrial park leasing and operations, urban infrastructure construction and operations, land consolidation and urban renewal, commercial residential development and sales, and municipal and community property services.</w:t>
      </w:r>
    </w:p>
    <w:p w14:paraId="1A000019">
      <w:pPr>
        <w:spacing w:before="10" w:after="10"/>
        <w:ind w:left="340" w:hanging="198"/>
      </w:pPr>
      <w:r>
        <w:rPr>
          <w:color w:val="1A568E"/>
          <w:sz w:val="21"/>
          <w:szCs w:val="21"/>
        </w:rPr>
        <w:t xml:space="preserve">▸ </w:t>
      </w:r>
      <w:r>
        <w:rPr>
          <w:color w:val="333333"/>
          <w:sz w:val="21"/>
          <w:szCs w:val="21"/>
        </w:rPr>
        <w:t>During the Shenyang tenure, the automotive equipment industrial park rapidly formed an automotive supply chain cluster. Completed 800 mu of land consolidation and urban renewal within one year, developed and sold 5,000 residential units, achieving the No. 1 single-project sales ranking in the city.</w:t>
      </w:r>
    </w:p>
    <w:p w14:paraId="1A00001A">
      <w:pPr>
        <w:spacing w:before="10" w:after="10"/>
        <w:ind w:left="340" w:hanging="198"/>
      </w:pPr>
      <w:r>
        <w:rPr>
          <w:color w:val="1A568E"/>
          <w:sz w:val="21"/>
          <w:szCs w:val="21"/>
        </w:rPr>
        <w:t xml:space="preserve">▸ </w:t>
      </w:r>
      <w:r>
        <w:rPr>
          <w:color w:val="333333"/>
          <w:sz w:val="21"/>
          <w:szCs w:val="21"/>
        </w:rPr>
        <w:t>While overseeing the Wen’an Intelligent Manufacturing Industrial Park in Langfang, completed the construction and operation of high-end equipment industry clusters, urban complexes, star-rated hotels, and cultural venues, and completed land acquisition and development of 200,000 sqm of residential properties.</w:t>
      </w:r>
    </w:p>
    <w:p w14:paraId="1A00001B">
      <w:pPr>
        <w:spacing w:before="100" w:after="20"/>
      </w:pPr>
      <w:r>
        <w:rPr>
          <w:b/>
          <w:color w:val="222222"/>
          <w:sz w:val="21"/>
          <w:szCs w:val="21"/>
        </w:rPr>
        <w:t>China Fortune Land Development (CFLD)</w:t>
      </w:r>
      <w:r>
        <w:rPr>
          <w:color w:val="999999"/>
          <w:sz w:val="21"/>
          <w:szCs w:val="21"/>
        </w:rPr>
        <w:t xml:space="preserve"> | </w:t>
      </w:r>
      <w:r>
        <w:rPr>
          <w:color w:val="444444"/>
          <w:sz w:val="21"/>
          <w:szCs w:val="21"/>
        </w:rPr>
        <w:t>General Manager, Industrial New City Product Division</w:t>
      </w:r>
      <w:r>
        <w:rPr>
          <w:color w:val="999999"/>
          <w:sz w:val="21"/>
          <w:szCs w:val="21"/>
        </w:rPr>
        <w:t xml:space="preserve"> | </w:t>
      </w:r>
      <w:r>
        <w:rPr>
          <w:color w:val="666666"/>
          <w:sz w:val="21"/>
          <w:szCs w:val="21"/>
        </w:rPr>
        <w:t>Jul 2013 – Jan 2015</w:t>
      </w:r>
    </w:p>
    <w:p w14:paraId="1A00001C">
      <w:pPr>
        <w:spacing w:before="10" w:after="10"/>
        <w:ind w:left="340" w:hanging="198"/>
      </w:pPr>
      <w:r>
        <w:rPr>
          <w:color w:val="1A568E"/>
          <w:sz w:val="21"/>
          <w:szCs w:val="21"/>
        </w:rPr>
        <w:t xml:space="preserve">▸ </w:t>
      </w:r>
      <w:r>
        <w:rPr>
          <w:color w:val="333333"/>
          <w:sz w:val="21"/>
          <w:szCs w:val="21"/>
        </w:rPr>
        <w:t>Formulated strategic planning, urban master plans, and industrial plans for industrial new city products. During the tenure, completed planning, investment analysis, and development strategies for 24 regions. Promoted investment analysis, construction, and operations for multiple industrial parks including biomedicine, new materials, electronic information, aerospace, and film &amp; television production.</w:t>
      </w:r>
    </w:p>
    <w:p w14:paraId="1A00001D">
      <w:pPr>
        <w:spacing w:before="100" w:after="20"/>
      </w:pPr>
      <w:r>
        <w:rPr>
          <w:b/>
          <w:color w:val="222222"/>
          <w:sz w:val="21"/>
          <w:szCs w:val="21"/>
        </w:rPr>
        <w:t>CBRE (Coldwell Banker Richard Ellis)</w:t>
      </w:r>
      <w:r>
        <w:rPr>
          <w:color w:val="999999"/>
          <w:sz w:val="21"/>
          <w:szCs w:val="21"/>
        </w:rPr>
        <w:t xml:space="preserve"> | </w:t>
      </w:r>
      <w:r>
        <w:rPr>
          <w:color w:val="444444"/>
          <w:sz w:val="21"/>
          <w:szCs w:val="21"/>
        </w:rPr>
        <w:t>Director, West China Region</w:t>
      </w:r>
      <w:r>
        <w:rPr>
          <w:color w:val="999999"/>
          <w:sz w:val="21"/>
          <w:szCs w:val="21"/>
        </w:rPr>
        <w:t xml:space="preserve"> | </w:t>
      </w:r>
      <w:r>
        <w:rPr>
          <w:color w:val="666666"/>
          <w:sz w:val="21"/>
          <w:szCs w:val="21"/>
        </w:rPr>
        <w:t>Mar 2009 – Oct 2010</w:t>
      </w:r>
    </w:p>
    <w:p w14:paraId="1A00001E">
      <w:pPr>
        <w:spacing w:before="10" w:after="10"/>
        <w:ind w:left="340" w:hanging="198"/>
      </w:pPr>
      <w:r>
        <w:rPr>
          <w:color w:val="1A568E"/>
          <w:sz w:val="21"/>
          <w:szCs w:val="21"/>
        </w:rPr>
        <w:t xml:space="preserve">▸ </w:t>
      </w:r>
      <w:r>
        <w:rPr>
          <w:color w:val="333333"/>
          <w:sz w:val="21"/>
          <w:szCs w:val="21"/>
        </w:rPr>
        <w:t>Responsible for strategic research, investment analysis, feasibility studies, and development advisory for commercial complexes, urban renewal, cultural tourism, and industrial park projects in Chengdu, Chongqing, Yunnan, and Xi’an. Earned high recognition from international clients including Tishman Speyer, CapitaLand, and Hong Leong Group (Singapore).</w:t>
      </w:r>
    </w:p>
    <w:p w14:paraId="1A00001F">
      <w:pPr>
        <w:spacing w:before="100" w:after="20"/>
      </w:pPr>
      <w:r>
        <w:rPr>
          <w:b/>
          <w:color w:val="222222"/>
          <w:sz w:val="21"/>
          <w:szCs w:val="21"/>
        </w:rPr>
        <w:t>World Union Properties Consultancy</w:t>
      </w:r>
      <w:r>
        <w:rPr>
          <w:color w:val="999999"/>
          <w:sz w:val="21"/>
          <w:szCs w:val="21"/>
        </w:rPr>
        <w:t xml:space="preserve"> | </w:t>
      </w:r>
      <w:r>
        <w:rPr>
          <w:color w:val="444444"/>
          <w:sz w:val="21"/>
          <w:szCs w:val="21"/>
        </w:rPr>
        <w:t>Regional GM / Business Director / Senior Consultant</w:t>
      </w:r>
      <w:r>
        <w:rPr>
          <w:color w:val="999999"/>
          <w:sz w:val="21"/>
          <w:szCs w:val="21"/>
        </w:rPr>
        <w:t xml:space="preserve"> | </w:t>
      </w:r>
      <w:r>
        <w:rPr>
          <w:color w:val="666666"/>
          <w:sz w:val="21"/>
          <w:szCs w:val="21"/>
        </w:rPr>
        <w:t>Jul 2004 – Mar 2009 / Oct 2010 – Jun 2013</w:t>
      </w:r>
    </w:p>
    <w:p w14:paraId="1A000020">
      <w:pPr>
        <w:spacing w:before="10" w:after="10"/>
        <w:ind w:left="340" w:hanging="198"/>
      </w:pPr>
      <w:r>
        <w:rPr>
          <w:color w:val="1A568E"/>
          <w:sz w:val="21"/>
          <w:szCs w:val="21"/>
        </w:rPr>
        <w:t xml:space="preserve">▸ </w:t>
      </w:r>
      <w:r>
        <w:rPr>
          <w:color w:val="333333"/>
          <w:sz w:val="21"/>
          <w:szCs w:val="21"/>
        </w:rPr>
        <w:t>Led strategic research, market analysis, and investment analysis for large-scale land development, cultural tourism, industrial parks, and mixed-use complex projects nationwide. Directed landmark projects for Vanke, Gemdale, COFCO, Financial Street Holdings, Liangjiang Group, and other leading developers. Returned in 2010 to lead the Southwest regional business operations.</w:t>
      </w:r>
    </w:p>
    <w:p w14:paraId="1A000021">
      <w:pPr>
        <w:pBdr>
          <w:bottom w:val="single" w:color="1A568E" w:sz="4" w:space="1"/>
        </w:pBdr>
        <w:spacing w:before="140" w:after="40"/>
      </w:pPr>
      <w:r>
        <w:rPr>
          <w:b/>
          <w:color w:val="1A568E"/>
          <w:sz w:val="21"/>
        </w:rPr>
        <w:t>Education</w:t>
      </w:r>
    </w:p>
    <w:tbl>
      <w:tblPr>
        <w:tblStyle w:val="3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Layout w:type="fixed"/>
        <w:tblCellMar>
          <w:top w:w="0" w:type="dxa"/>
          <w:left w:w="108" w:type="dxa"/>
          <w:bottom w:w="0" w:type="dxa"/>
          <w:right w:w="108" w:type="dxa"/>
        </w:tblCellMar>
      </w:tblPr>
      <w:tblGrid>
        <w:gridCol w:w="3541"/>
        <w:gridCol w:w="2551"/>
        <w:gridCol w:w="4208"/>
      </w:tblGrid>
      <w:tr w14:paraId="1A00002E">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0" w:type="dxa"/>
            <w:left w:w="108" w:type="dxa"/>
            <w:bottom w:w="0" w:type="dxa"/>
            <w:right w:w="108" w:type="dxa"/>
          </w:tblCellMar>
        </w:tblPrEx>
        <w:trPr>
          <w:jc w:val="center"/>
        </w:trPr>
        <w:tc>
          <w:tcPr>
            <w:tcW w:w="3541" w:type="dxa"/>
            <w:shd w:val="clear" w:color="auto" w:fill="1A568E"/>
          </w:tcPr>
          <w:p w14:paraId="1A00002F">
            <w:pPr>
              <w:jc w:val="center"/>
            </w:pPr>
            <w:r>
              <w:rPr>
                <w:b/>
                <w:color w:val="FFFFFF"/>
                <w:szCs w:val="18"/>
              </w:rPr>
              <w:t>Period</w:t>
            </w:r>
          </w:p>
        </w:tc>
        <w:tc>
          <w:tcPr>
            <w:tcW w:w="2551" w:type="dxa"/>
            <w:shd w:val="clear" w:color="auto" w:fill="1A568E"/>
          </w:tcPr>
          <w:p w14:paraId="1A000030">
            <w:pPr>
              <w:jc w:val="center"/>
            </w:pPr>
            <w:r>
              <w:rPr>
                <w:b/>
                <w:color w:val="FFFFFF"/>
                <w:szCs w:val="18"/>
              </w:rPr>
              <w:t>University</w:t>
            </w:r>
          </w:p>
        </w:tc>
        <w:tc>
          <w:tcPr>
            <w:tcW w:w="4208" w:type="dxa"/>
            <w:shd w:val="clear" w:color="auto" w:fill="1A568E"/>
          </w:tcPr>
          <w:p w14:paraId="1A000031">
            <w:pPr>
              <w:jc w:val="center"/>
            </w:pPr>
            <w:r>
              <w:rPr>
                <w:b/>
                <w:color w:val="FFFFFF"/>
                <w:szCs w:val="18"/>
              </w:rPr>
              <w:t>Degree</w:t>
            </w:r>
          </w:p>
        </w:tc>
      </w:tr>
      <w:tr w14:paraId="1A000022">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0" w:type="dxa"/>
            <w:left w:w="108" w:type="dxa"/>
            <w:bottom w:w="0" w:type="dxa"/>
            <w:right w:w="108" w:type="dxa"/>
          </w:tblCellMar>
        </w:tblPrEx>
        <w:trPr>
          <w:jc w:val="center"/>
        </w:trPr>
        <w:tc>
          <w:tcPr>
            <w:tcW w:w="3541" w:type="dxa"/>
            <w:shd w:val="clear" w:color="auto" w:fill="F0F4F8"/>
          </w:tcPr>
          <w:p w14:paraId="1A000023">
            <w:pPr>
              <w:jc w:val="center"/>
            </w:pPr>
            <w:r>
              <w:rPr>
                <w:color w:val="222222"/>
                <w:szCs w:val="18"/>
              </w:rPr>
              <w:t>Sep 1998 – Jul 2002</w:t>
            </w:r>
          </w:p>
        </w:tc>
        <w:tc>
          <w:tcPr>
            <w:tcW w:w="2551" w:type="dxa"/>
            <w:shd w:val="clear" w:color="auto" w:fill="F0F4F8"/>
          </w:tcPr>
          <w:p w14:paraId="1A000024">
            <w:r>
              <w:rPr>
                <w:color w:val="222222"/>
                <w:szCs w:val="18"/>
              </w:rPr>
              <w:t>Renmin University of China</w:t>
            </w:r>
          </w:p>
        </w:tc>
        <w:tc>
          <w:tcPr>
            <w:tcW w:w="4208" w:type="dxa"/>
            <w:shd w:val="clear" w:color="auto" w:fill="F0F4F8"/>
          </w:tcPr>
          <w:p w14:paraId="1A000025">
            <w:pPr>
              <w:jc w:val="center"/>
            </w:pPr>
            <w:r>
              <w:rPr>
                <w:color w:val="222222"/>
                <w:szCs w:val="18"/>
              </w:rPr>
              <w:t>Bachelor of Economics</w:t>
            </w:r>
          </w:p>
        </w:tc>
      </w:tr>
      <w:tr w14:paraId="1A000026">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0" w:type="dxa"/>
            <w:left w:w="108" w:type="dxa"/>
            <w:bottom w:w="0" w:type="dxa"/>
            <w:right w:w="108" w:type="dxa"/>
          </w:tblCellMar>
        </w:tblPrEx>
        <w:trPr>
          <w:jc w:val="center"/>
        </w:trPr>
        <w:tc>
          <w:tcPr>
            <w:tcW w:w="3541" w:type="dxa"/>
          </w:tcPr>
          <w:p w14:paraId="1A000027">
            <w:pPr>
              <w:jc w:val="center"/>
            </w:pPr>
            <w:r>
              <w:rPr>
                <w:color w:val="222222"/>
                <w:szCs w:val="18"/>
              </w:rPr>
              <w:t>Sep 2002 – Jul 2004</w:t>
            </w:r>
          </w:p>
        </w:tc>
        <w:tc>
          <w:tcPr>
            <w:tcW w:w="2551" w:type="dxa"/>
          </w:tcPr>
          <w:p w14:paraId="1A000028">
            <w:r>
              <w:rPr>
                <w:color w:val="222222"/>
                <w:szCs w:val="18"/>
              </w:rPr>
              <w:t>Renmin University of China</w:t>
            </w:r>
          </w:p>
        </w:tc>
        <w:tc>
          <w:tcPr>
            <w:tcW w:w="4208" w:type="dxa"/>
          </w:tcPr>
          <w:p w14:paraId="1A000029">
            <w:pPr>
              <w:jc w:val="center"/>
            </w:pPr>
            <w:r>
              <w:rPr>
                <w:color w:val="222222"/>
                <w:szCs w:val="18"/>
              </w:rPr>
              <w:t>Master of Management</w:t>
            </w:r>
          </w:p>
        </w:tc>
      </w:tr>
      <w:tr w14:paraId="1A00002A">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0" w:type="dxa"/>
            <w:left w:w="108" w:type="dxa"/>
            <w:bottom w:w="0" w:type="dxa"/>
            <w:right w:w="108" w:type="dxa"/>
          </w:tblCellMar>
        </w:tblPrEx>
        <w:trPr>
          <w:jc w:val="center"/>
        </w:trPr>
        <w:tc>
          <w:tcPr>
            <w:tcW w:w="3541" w:type="dxa"/>
            <w:shd w:val="clear" w:color="auto" w:fill="F0F4F8"/>
          </w:tcPr>
          <w:p w14:paraId="1A00002B">
            <w:pPr>
              <w:jc w:val="center"/>
            </w:pPr>
            <w:r>
              <w:rPr>
                <w:color w:val="222222"/>
                <w:szCs w:val="18"/>
              </w:rPr>
              <w:t>Jul 2021 – Jun 2024</w:t>
            </w:r>
          </w:p>
        </w:tc>
        <w:tc>
          <w:tcPr>
            <w:tcW w:w="2551" w:type="dxa"/>
            <w:shd w:val="clear" w:color="auto" w:fill="F0F4F8"/>
          </w:tcPr>
          <w:p w14:paraId="1A00002C">
            <w:r>
              <w:rPr>
                <w:color w:val="222222"/>
                <w:szCs w:val="18"/>
              </w:rPr>
              <w:t>Tsinghua University</w:t>
            </w:r>
          </w:p>
        </w:tc>
        <w:tc>
          <w:tcPr>
            <w:tcW w:w="4208" w:type="dxa"/>
            <w:shd w:val="clear" w:color="auto" w:fill="F0F4F8"/>
          </w:tcPr>
          <w:p w14:paraId="1A00002D">
            <w:pPr>
              <w:jc w:val="center"/>
            </w:pPr>
            <w:r>
              <w:rPr>
                <w:color w:val="222222"/>
                <w:szCs w:val="18"/>
              </w:rPr>
              <w:t>Master of Management (EMBA)</w:t>
            </w:r>
          </w:p>
        </w:tc>
      </w:tr>
    </w:tbl>
    <w:p w14:paraId="1A000032"/>
    <w:sectPr>
      <w:pgSz w:w="12240" w:h="15840"/>
      <w:pgMar w:top="680" w:right="1020" w:bottom="680"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1035A"/>
    <w:rsid w:val="00326F90"/>
    <w:rsid w:val="00411C05"/>
    <w:rsid w:val="007B3B20"/>
    <w:rsid w:val="00AA1D8D"/>
    <w:rsid w:val="00AD5EAF"/>
    <w:rsid w:val="00AF36FD"/>
    <w:rsid w:val="00B47730"/>
    <w:rsid w:val="00CB0664"/>
    <w:rsid w:val="00FC693F"/>
    <w:rsid w:val="20D54B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59" w:lineRule="auto"/>
    </w:pPr>
    <w:rPr>
      <w:rFonts w:ascii="微软雅黑" w:hAnsi="微软雅黑" w:eastAsia="微软雅黑" w:cstheme="minorBidi"/>
      <w:sz w:val="18"/>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3069</Words>
  <Characters>9622</Characters>
  <Lines>16</Lines>
  <Paragraphs>4</Paragraphs>
  <TotalTime>12</TotalTime>
  <ScaleCrop>false</ScaleCrop>
  <LinksUpToDate>false</LinksUpToDate>
  <CharactersWithSpaces>10801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2026-07-19T08:46:00Z</dcterms:created>
  <dc:creator>python-docx</dc:creator>
  <dc:description>generated by python-docx</dc:description>
  <cp:lastModifiedBy>Anson</cp:lastModifiedBy>
  <dcterms:modified xsi:type="dcterms:W3CDTF">2026-07-24T14:34:23Z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DB1BBC4343E247439E894FA8D81AF35A_12</vt:lpwstr>
  </property>
</Properties>
</file>