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3CDD7">
      <w:pPr>
        <w:rPr>
          <w:rFonts w:hint="eastAsia"/>
          <w:sz w:val="32"/>
          <w:szCs w:val="32"/>
        </w:rPr>
      </w:pPr>
    </w:p>
    <w:p w14:paraId="4220D7C2">
      <w:pPr>
        <w:rPr>
          <w:rFonts w:hint="eastAsia"/>
        </w:rPr>
      </w:pPr>
    </w:p>
    <w:p w14:paraId="771C024A">
      <w:pPr>
        <w:rPr>
          <w:rFonts w:hint="eastAsia"/>
          <w:sz w:val="24"/>
          <w:szCs w:val="24"/>
        </w:rPr>
      </w:pPr>
      <w:r>
        <w:rPr>
          <w:rFonts w:hint="eastAsia"/>
          <w:sz w:val="24"/>
          <w:szCs w:val="24"/>
        </w:rPr>
        <w:t>Stock Pitch Report: C3.ai, Inc. (Ticker: AI)</w:t>
      </w:r>
    </w:p>
    <w:p w14:paraId="6B407E19">
      <w:pPr>
        <w:rPr>
          <w:rFonts w:hint="eastAsia"/>
          <w:sz w:val="24"/>
          <w:szCs w:val="24"/>
        </w:rPr>
      </w:pPr>
      <w:r>
        <w:rPr>
          <w:rFonts w:hint="eastAsia"/>
          <w:sz w:val="24"/>
          <w:szCs w:val="24"/>
        </w:rPr>
        <w:t xml:space="preserve"> </w:t>
      </w:r>
    </w:p>
    <w:p w14:paraId="5213D72C">
      <w:pPr>
        <w:rPr>
          <w:rFonts w:hint="eastAsia"/>
          <w:sz w:val="24"/>
          <w:szCs w:val="24"/>
        </w:rPr>
      </w:pPr>
      <w:r>
        <w:rPr>
          <w:rFonts w:hint="eastAsia"/>
          <w:sz w:val="24"/>
          <w:szCs w:val="24"/>
        </w:rPr>
        <w:t>Cover Page (Official Competition Submission Format)</w:t>
      </w:r>
    </w:p>
    <w:p w14:paraId="3D2620CD">
      <w:pPr>
        <w:rPr>
          <w:rFonts w:hint="eastAsia"/>
          <w:sz w:val="24"/>
          <w:szCs w:val="24"/>
        </w:rPr>
      </w:pPr>
      <w:r>
        <w:rPr>
          <w:rFonts w:hint="eastAsia"/>
          <w:sz w:val="24"/>
          <w:szCs w:val="24"/>
        </w:rPr>
        <w:t xml:space="preserve"> </w:t>
      </w:r>
    </w:p>
    <w:p w14:paraId="3E9071A5">
      <w:pPr>
        <w:rPr>
          <w:rFonts w:hint="eastAsia"/>
          <w:sz w:val="24"/>
          <w:szCs w:val="24"/>
        </w:rPr>
      </w:pPr>
      <w:r>
        <w:rPr>
          <w:rFonts w:hint="eastAsia"/>
          <w:sz w:val="24"/>
          <w:szCs w:val="24"/>
        </w:rPr>
        <w:t>Full Name: _____</w:t>
      </w:r>
      <w:r>
        <w:rPr>
          <w:rFonts w:hint="eastAsia"/>
          <w:sz w:val="24"/>
          <w:szCs w:val="24"/>
          <w:lang w:val="en-US" w:eastAsia="zh-CN"/>
        </w:rPr>
        <w:t>DUXIHENG</w:t>
      </w:r>
      <w:r>
        <w:rPr>
          <w:rFonts w:hint="eastAsia"/>
          <w:sz w:val="24"/>
          <w:szCs w:val="24"/>
        </w:rPr>
        <w:t>_______</w:t>
      </w:r>
    </w:p>
    <w:p w14:paraId="523CF9A6">
      <w:pPr>
        <w:rPr>
          <w:rFonts w:hint="eastAsia"/>
          <w:sz w:val="24"/>
          <w:szCs w:val="24"/>
        </w:rPr>
      </w:pPr>
      <w:r>
        <w:rPr>
          <w:rFonts w:hint="eastAsia"/>
          <w:sz w:val="24"/>
          <w:szCs w:val="24"/>
        </w:rPr>
        <w:t>Team Number: __</w:t>
      </w:r>
      <w:r>
        <w:rPr>
          <w:rFonts w:hint="eastAsia"/>
          <w:sz w:val="24"/>
          <w:szCs w:val="24"/>
          <w:lang w:val="en-US" w:eastAsia="zh-CN"/>
        </w:rPr>
        <w:t>039</w:t>
      </w:r>
      <w:r>
        <w:rPr>
          <w:rFonts w:hint="eastAsia"/>
          <w:sz w:val="24"/>
          <w:szCs w:val="24"/>
        </w:rPr>
        <w:t>__________</w:t>
      </w:r>
    </w:p>
    <w:p w14:paraId="045510B2">
      <w:pPr>
        <w:rPr>
          <w:rFonts w:hint="eastAsia"/>
          <w:sz w:val="24"/>
          <w:szCs w:val="24"/>
        </w:rPr>
      </w:pPr>
      <w:r>
        <w:rPr>
          <w:rFonts w:hint="eastAsia"/>
          <w:sz w:val="24"/>
          <w:szCs w:val="24"/>
        </w:rPr>
        <w:t>Email: ___duxiheng_hz@163.com_________</w:t>
      </w:r>
    </w:p>
    <w:p w14:paraId="48D5B353">
      <w:pPr>
        <w:rPr>
          <w:rFonts w:hint="eastAsia"/>
          <w:sz w:val="24"/>
          <w:szCs w:val="24"/>
        </w:rPr>
      </w:pPr>
      <w:r>
        <w:rPr>
          <w:rFonts w:hint="eastAsia"/>
          <w:sz w:val="24"/>
          <w:szCs w:val="24"/>
        </w:rPr>
        <w:t>Selected Company: C3.ai, Inc.</w:t>
      </w:r>
    </w:p>
    <w:p w14:paraId="5152C3DB">
      <w:pPr>
        <w:rPr>
          <w:rFonts w:hint="eastAsia"/>
          <w:sz w:val="24"/>
          <w:szCs w:val="24"/>
        </w:rPr>
      </w:pPr>
      <w:r>
        <w:rPr>
          <w:rFonts w:hint="eastAsia"/>
          <w:sz w:val="24"/>
          <w:szCs w:val="24"/>
        </w:rPr>
        <w:t>Listing Exchange &amp; Ticker: NYSE: AI</w:t>
      </w:r>
    </w:p>
    <w:p w14:paraId="60FF1CB6">
      <w:pPr>
        <w:rPr>
          <w:rFonts w:hint="eastAsia"/>
          <w:sz w:val="24"/>
          <w:szCs w:val="24"/>
        </w:rPr>
      </w:pPr>
      <w:r>
        <w:rPr>
          <w:rFonts w:hint="eastAsia"/>
          <w:sz w:val="24"/>
          <w:szCs w:val="24"/>
        </w:rPr>
        <w:t>Investment Recommendation: SELL</w:t>
      </w:r>
    </w:p>
    <w:p w14:paraId="2B108944">
      <w:pPr>
        <w:rPr>
          <w:rFonts w:hint="eastAsia"/>
          <w:sz w:val="24"/>
          <w:szCs w:val="24"/>
        </w:rPr>
      </w:pPr>
      <w:r>
        <w:rPr>
          <w:rFonts w:hint="eastAsia"/>
          <w:sz w:val="24"/>
          <w:szCs w:val="24"/>
        </w:rPr>
        <w:t>Current Stock Price (June 22, 2026): $10.30</w:t>
      </w:r>
    </w:p>
    <w:p w14:paraId="542E66CA">
      <w:pPr>
        <w:rPr>
          <w:rFonts w:hint="eastAsia"/>
          <w:sz w:val="24"/>
          <w:szCs w:val="24"/>
        </w:rPr>
      </w:pPr>
      <w:r>
        <w:rPr>
          <w:rFonts w:hint="eastAsia"/>
          <w:sz w:val="24"/>
          <w:szCs w:val="24"/>
        </w:rPr>
        <w:t>2027 Target Price: $7.60</w:t>
      </w:r>
    </w:p>
    <w:p w14:paraId="4B975442">
      <w:pPr>
        <w:rPr>
          <w:rFonts w:hint="eastAsia"/>
          <w:sz w:val="24"/>
          <w:szCs w:val="24"/>
        </w:rPr>
      </w:pPr>
      <w:r>
        <w:rPr>
          <w:rFonts w:hint="eastAsia"/>
          <w:sz w:val="24"/>
          <w:szCs w:val="24"/>
        </w:rPr>
        <w:t>Implied Downside: 26.2%</w:t>
      </w:r>
    </w:p>
    <w:p w14:paraId="207B21FF">
      <w:pPr>
        <w:rPr>
          <w:rFonts w:hint="eastAsia"/>
          <w:sz w:val="24"/>
          <w:szCs w:val="24"/>
        </w:rPr>
      </w:pPr>
      <w:r>
        <w:rPr>
          <w:rFonts w:hint="eastAsia"/>
          <w:sz w:val="24"/>
          <w:szCs w:val="24"/>
        </w:rPr>
        <w:t xml:space="preserve"> </w:t>
      </w:r>
    </w:p>
    <w:p w14:paraId="1651B250">
      <w:pPr>
        <w:rPr>
          <w:rFonts w:hint="eastAsia"/>
          <w:sz w:val="24"/>
          <w:szCs w:val="24"/>
        </w:rPr>
      </w:pPr>
    </w:p>
    <w:p w14:paraId="7C2A6421">
      <w:pPr>
        <w:rPr>
          <w:rFonts w:hint="eastAsia"/>
          <w:sz w:val="24"/>
          <w:szCs w:val="24"/>
        </w:rPr>
      </w:pPr>
    </w:p>
    <w:p w14:paraId="2ED0F83A">
      <w:pPr>
        <w:rPr>
          <w:rFonts w:hint="eastAsia"/>
          <w:sz w:val="24"/>
          <w:szCs w:val="24"/>
        </w:rPr>
      </w:pPr>
    </w:p>
    <w:p w14:paraId="1A64CA0B">
      <w:pPr>
        <w:rPr>
          <w:rFonts w:hint="eastAsia"/>
          <w:sz w:val="24"/>
          <w:szCs w:val="24"/>
        </w:rPr>
      </w:pPr>
    </w:p>
    <w:p w14:paraId="1B002228">
      <w:pPr>
        <w:rPr>
          <w:rFonts w:hint="eastAsia"/>
          <w:sz w:val="24"/>
          <w:szCs w:val="24"/>
        </w:rPr>
      </w:pPr>
    </w:p>
    <w:p w14:paraId="5B5580C1">
      <w:pPr>
        <w:rPr>
          <w:rFonts w:hint="eastAsia"/>
          <w:sz w:val="24"/>
          <w:szCs w:val="24"/>
        </w:rPr>
      </w:pPr>
    </w:p>
    <w:p w14:paraId="08FBFCB1">
      <w:pPr>
        <w:rPr>
          <w:rFonts w:hint="eastAsia"/>
          <w:sz w:val="24"/>
          <w:szCs w:val="24"/>
        </w:rPr>
      </w:pPr>
    </w:p>
    <w:p w14:paraId="45787634">
      <w:pPr>
        <w:rPr>
          <w:rFonts w:hint="eastAsia"/>
          <w:sz w:val="24"/>
          <w:szCs w:val="24"/>
        </w:rPr>
      </w:pPr>
    </w:p>
    <w:p w14:paraId="5C00C3B5">
      <w:pPr>
        <w:rPr>
          <w:rFonts w:hint="eastAsia"/>
          <w:sz w:val="24"/>
          <w:szCs w:val="24"/>
        </w:rPr>
      </w:pPr>
    </w:p>
    <w:p w14:paraId="5AD343C0">
      <w:pPr>
        <w:rPr>
          <w:rFonts w:hint="eastAsia"/>
          <w:sz w:val="24"/>
          <w:szCs w:val="24"/>
        </w:rPr>
      </w:pPr>
    </w:p>
    <w:p w14:paraId="13E14CFB">
      <w:pPr>
        <w:rPr>
          <w:rFonts w:hint="eastAsia"/>
          <w:sz w:val="24"/>
          <w:szCs w:val="24"/>
        </w:rPr>
      </w:pPr>
    </w:p>
    <w:p w14:paraId="6804E87A">
      <w:pPr>
        <w:rPr>
          <w:rFonts w:hint="eastAsia"/>
          <w:sz w:val="24"/>
          <w:szCs w:val="24"/>
        </w:rPr>
      </w:pPr>
    </w:p>
    <w:p w14:paraId="5EE29753">
      <w:pPr>
        <w:rPr>
          <w:rFonts w:hint="eastAsia"/>
          <w:sz w:val="24"/>
          <w:szCs w:val="24"/>
        </w:rPr>
      </w:pPr>
    </w:p>
    <w:p w14:paraId="5D5D1D61">
      <w:pPr>
        <w:rPr>
          <w:rFonts w:hint="eastAsia"/>
          <w:sz w:val="24"/>
          <w:szCs w:val="24"/>
        </w:rPr>
      </w:pPr>
    </w:p>
    <w:p w14:paraId="7484ABDA">
      <w:pPr>
        <w:rPr>
          <w:rFonts w:hint="eastAsia"/>
          <w:sz w:val="24"/>
          <w:szCs w:val="24"/>
        </w:rPr>
      </w:pPr>
    </w:p>
    <w:p w14:paraId="2238D0DE">
      <w:pPr>
        <w:rPr>
          <w:rFonts w:hint="eastAsia"/>
          <w:sz w:val="24"/>
          <w:szCs w:val="24"/>
        </w:rPr>
      </w:pPr>
    </w:p>
    <w:p w14:paraId="145D3655">
      <w:pPr>
        <w:rPr>
          <w:rFonts w:hint="eastAsia"/>
          <w:sz w:val="24"/>
          <w:szCs w:val="24"/>
        </w:rPr>
      </w:pPr>
    </w:p>
    <w:p w14:paraId="345C43AC">
      <w:pPr>
        <w:rPr>
          <w:rFonts w:hint="eastAsia"/>
          <w:sz w:val="24"/>
          <w:szCs w:val="24"/>
        </w:rPr>
      </w:pPr>
    </w:p>
    <w:p w14:paraId="03DCA61B">
      <w:pPr>
        <w:rPr>
          <w:rFonts w:hint="eastAsia"/>
          <w:sz w:val="24"/>
          <w:szCs w:val="24"/>
        </w:rPr>
      </w:pPr>
    </w:p>
    <w:p w14:paraId="4C858A2A">
      <w:pPr>
        <w:rPr>
          <w:rFonts w:hint="eastAsia"/>
          <w:sz w:val="24"/>
          <w:szCs w:val="24"/>
        </w:rPr>
      </w:pPr>
    </w:p>
    <w:p w14:paraId="4DFCD241">
      <w:pPr>
        <w:rPr>
          <w:rFonts w:hint="eastAsia"/>
          <w:sz w:val="24"/>
          <w:szCs w:val="24"/>
        </w:rPr>
      </w:pPr>
    </w:p>
    <w:p w14:paraId="13750F91">
      <w:pPr>
        <w:rPr>
          <w:rFonts w:hint="eastAsia"/>
          <w:sz w:val="24"/>
          <w:szCs w:val="24"/>
        </w:rPr>
      </w:pPr>
    </w:p>
    <w:p w14:paraId="1F8EA651">
      <w:pPr>
        <w:rPr>
          <w:rFonts w:hint="eastAsia"/>
          <w:sz w:val="24"/>
          <w:szCs w:val="24"/>
        </w:rPr>
      </w:pPr>
    </w:p>
    <w:p w14:paraId="7669D0A8">
      <w:pPr>
        <w:rPr>
          <w:rFonts w:hint="eastAsia"/>
          <w:sz w:val="24"/>
          <w:szCs w:val="24"/>
        </w:rPr>
      </w:pPr>
    </w:p>
    <w:p w14:paraId="655420F8">
      <w:pPr>
        <w:rPr>
          <w:rFonts w:hint="eastAsia"/>
          <w:sz w:val="24"/>
          <w:szCs w:val="24"/>
        </w:rPr>
      </w:pPr>
    </w:p>
    <w:p w14:paraId="56AA99C3">
      <w:pPr>
        <w:rPr>
          <w:rFonts w:hint="eastAsia"/>
          <w:sz w:val="24"/>
          <w:szCs w:val="24"/>
        </w:rPr>
      </w:pPr>
    </w:p>
    <w:p w14:paraId="28A0BA52">
      <w:pPr>
        <w:rPr>
          <w:rFonts w:hint="eastAsia"/>
          <w:sz w:val="24"/>
          <w:szCs w:val="24"/>
        </w:rPr>
      </w:pPr>
      <w:bookmarkStart w:id="0" w:name="_GoBack"/>
      <w:bookmarkEnd w:id="0"/>
    </w:p>
    <w:p w14:paraId="4122BA7B">
      <w:pPr>
        <w:rPr>
          <w:rFonts w:hint="eastAsia"/>
          <w:sz w:val="24"/>
          <w:szCs w:val="24"/>
        </w:rPr>
      </w:pPr>
      <w:r>
        <w:rPr>
          <w:rFonts w:hint="eastAsia"/>
          <w:sz w:val="24"/>
          <w:szCs w:val="24"/>
        </w:rPr>
        <w:t>1. Company Overview</w:t>
      </w:r>
    </w:p>
    <w:p w14:paraId="3CB72640">
      <w:pPr>
        <w:rPr>
          <w:rFonts w:hint="eastAsia"/>
          <w:sz w:val="24"/>
          <w:szCs w:val="24"/>
        </w:rPr>
      </w:pPr>
      <w:r>
        <w:rPr>
          <w:rFonts w:hint="eastAsia"/>
          <w:sz w:val="24"/>
          <w:szCs w:val="24"/>
        </w:rPr>
        <w:t xml:space="preserve"> </w:t>
      </w:r>
    </w:p>
    <w:p w14:paraId="60791F55">
      <w:pPr>
        <w:rPr>
          <w:rFonts w:hint="eastAsia"/>
          <w:sz w:val="24"/>
          <w:szCs w:val="24"/>
        </w:rPr>
      </w:pPr>
      <w:r>
        <w:rPr>
          <w:rFonts w:hint="eastAsia"/>
          <w:sz w:val="24"/>
          <w:szCs w:val="24"/>
        </w:rPr>
        <w:t>1.1 Basic Profile &amp; Business Model</w:t>
      </w:r>
    </w:p>
    <w:p w14:paraId="4824DB20">
      <w:pPr>
        <w:rPr>
          <w:rFonts w:hint="eastAsia"/>
          <w:sz w:val="24"/>
          <w:szCs w:val="24"/>
        </w:rPr>
      </w:pPr>
      <w:r>
        <w:rPr>
          <w:rFonts w:hint="eastAsia"/>
          <w:sz w:val="24"/>
          <w:szCs w:val="24"/>
        </w:rPr>
        <w:t xml:space="preserve"> </w:t>
      </w:r>
    </w:p>
    <w:p w14:paraId="2DA88F32">
      <w:pPr>
        <w:rPr>
          <w:rFonts w:hint="eastAsia"/>
          <w:sz w:val="24"/>
          <w:szCs w:val="24"/>
        </w:rPr>
      </w:pPr>
      <w:r>
        <w:rPr>
          <w:rFonts w:hint="eastAsia"/>
          <w:sz w:val="24"/>
          <w:szCs w:val="24"/>
        </w:rPr>
        <w:t>Founded in 2009 by tech entrepreneur Tom Siebel (founder of Siebel Systems, acquired by Oracle), C3.ai is headquartered in Redwood City, California. The company specializes in enterprise-grade artificial intelligence software, delivering model-driven AI platforms targeted at industrial, energy, manufacturing, defense and financial industry clients.</w:t>
      </w:r>
    </w:p>
    <w:p w14:paraId="546D4717">
      <w:pPr>
        <w:rPr>
          <w:rFonts w:hint="eastAsia"/>
          <w:sz w:val="24"/>
          <w:szCs w:val="24"/>
        </w:rPr>
      </w:pPr>
      <w:r>
        <w:rPr>
          <w:rFonts w:hint="eastAsia"/>
          <w:sz w:val="24"/>
          <w:szCs w:val="24"/>
        </w:rPr>
        <w:t xml:space="preserve"> </w:t>
      </w:r>
    </w:p>
    <w:p w14:paraId="7FF078DF">
      <w:pPr>
        <w:rPr>
          <w:rFonts w:hint="eastAsia"/>
          <w:sz w:val="24"/>
          <w:szCs w:val="24"/>
        </w:rPr>
      </w:pPr>
      <w:r>
        <w:rPr>
          <w:rFonts w:hint="eastAsia"/>
          <w:sz w:val="24"/>
          <w:szCs w:val="24"/>
        </w:rPr>
        <w:t>The company’s revenue structure is highly concentrated in subscription business, paired with low-margin customized service business:</w:t>
      </w:r>
    </w:p>
    <w:p w14:paraId="38C527E2">
      <w:pPr>
        <w:rPr>
          <w:rFonts w:hint="eastAsia"/>
          <w:sz w:val="24"/>
          <w:szCs w:val="24"/>
        </w:rPr>
      </w:pPr>
      <w:r>
        <w:rPr>
          <w:rFonts w:hint="eastAsia"/>
          <w:sz w:val="24"/>
          <w:szCs w:val="24"/>
        </w:rPr>
        <w:t xml:space="preserve"> </w:t>
      </w:r>
    </w:p>
    <w:p w14:paraId="7078A065">
      <w:pPr>
        <w:rPr>
          <w:rFonts w:hint="eastAsia"/>
          <w:sz w:val="24"/>
          <w:szCs w:val="24"/>
        </w:rPr>
      </w:pPr>
      <w:r>
        <w:rPr>
          <w:rFonts w:hint="eastAsia"/>
          <w:sz w:val="24"/>
          <w:szCs w:val="24"/>
        </w:rPr>
        <w:t>- Subscription Software (91% of FY2026 Revenue): Annual authorized access to the company’s low-code AI development platform, serving as the core recurring revenue source.</w:t>
      </w:r>
    </w:p>
    <w:p w14:paraId="477DF22F">
      <w:pPr>
        <w:rPr>
          <w:rFonts w:hint="eastAsia"/>
          <w:sz w:val="24"/>
          <w:szCs w:val="24"/>
        </w:rPr>
      </w:pPr>
      <w:r>
        <w:rPr>
          <w:rFonts w:hint="eastAsia"/>
          <w:sz w:val="24"/>
          <w:szCs w:val="24"/>
        </w:rPr>
        <w:t>- Engineering Service Business: Customized on-site deployment, AI model construction and post-sale client maintenance. This segment requires massive labor input, severely suppresses overall gross margins and scalability.</w:t>
      </w:r>
    </w:p>
    <w:p w14:paraId="4E9EDCEE">
      <w:pPr>
        <w:rPr>
          <w:rFonts w:hint="eastAsia"/>
          <w:sz w:val="24"/>
          <w:szCs w:val="24"/>
        </w:rPr>
      </w:pPr>
      <w:r>
        <w:rPr>
          <w:rFonts w:hint="eastAsia"/>
          <w:sz w:val="24"/>
          <w:szCs w:val="24"/>
        </w:rPr>
        <w:t xml:space="preserve"> </w:t>
      </w:r>
    </w:p>
    <w:p w14:paraId="4E425C00">
      <w:pPr>
        <w:rPr>
          <w:rFonts w:hint="eastAsia"/>
          <w:sz w:val="24"/>
          <w:szCs w:val="24"/>
        </w:rPr>
      </w:pPr>
      <w:r>
        <w:rPr>
          <w:rFonts w:hint="eastAsia"/>
          <w:sz w:val="24"/>
          <w:szCs w:val="24"/>
        </w:rPr>
        <w:t>1.2 Core Product Portfolio</w:t>
      </w:r>
    </w:p>
    <w:p w14:paraId="02399F9B">
      <w:pPr>
        <w:rPr>
          <w:rFonts w:hint="eastAsia"/>
          <w:sz w:val="24"/>
          <w:szCs w:val="24"/>
        </w:rPr>
      </w:pPr>
      <w:r>
        <w:rPr>
          <w:rFonts w:hint="eastAsia"/>
          <w:sz w:val="24"/>
          <w:szCs w:val="24"/>
        </w:rPr>
        <w:t xml:space="preserve"> </w:t>
      </w:r>
    </w:p>
    <w:p w14:paraId="41230394">
      <w:pPr>
        <w:rPr>
          <w:rFonts w:hint="eastAsia"/>
          <w:sz w:val="24"/>
          <w:szCs w:val="24"/>
        </w:rPr>
      </w:pPr>
      <w:r>
        <w:rPr>
          <w:rFonts w:hint="eastAsia"/>
          <w:sz w:val="24"/>
          <w:szCs w:val="24"/>
        </w:rPr>
        <w:t>1. C3 Agentic AI Platform: Unified underlying platform for enterprises to independently build customized predictive AI business applications.</w:t>
      </w:r>
    </w:p>
    <w:p w14:paraId="0B9DBA70">
      <w:pPr>
        <w:rPr>
          <w:rFonts w:hint="eastAsia"/>
          <w:sz w:val="24"/>
          <w:szCs w:val="24"/>
        </w:rPr>
      </w:pPr>
      <w:r>
        <w:rPr>
          <w:rFonts w:hint="eastAsia"/>
          <w:sz w:val="24"/>
          <w:szCs w:val="24"/>
        </w:rPr>
        <w:t>2. C3 Generative AI Suite: Integrated tools for enterprise internal data retrieval, business intelligent automation and industrial large model docking.</w:t>
      </w:r>
    </w:p>
    <w:p w14:paraId="26B8C35E">
      <w:pPr>
        <w:rPr>
          <w:rFonts w:hint="eastAsia"/>
          <w:sz w:val="24"/>
          <w:szCs w:val="24"/>
        </w:rPr>
      </w:pPr>
      <w:r>
        <w:rPr>
          <w:rFonts w:hint="eastAsia"/>
          <w:sz w:val="24"/>
          <w:szCs w:val="24"/>
        </w:rPr>
        <w:t>3. Vertical Industry Pre-built Applications: Ready-to-use modules covering oil &amp; gas asset management, intelligent manufacturing optimization, military equipment maintenance and financial risk control.</w:t>
      </w:r>
    </w:p>
    <w:p w14:paraId="43C41917">
      <w:pPr>
        <w:rPr>
          <w:rFonts w:hint="eastAsia"/>
          <w:sz w:val="24"/>
          <w:szCs w:val="24"/>
        </w:rPr>
      </w:pPr>
      <w:r>
        <w:rPr>
          <w:rFonts w:hint="eastAsia"/>
          <w:sz w:val="24"/>
          <w:szCs w:val="24"/>
        </w:rPr>
        <w:t xml:space="preserve"> </w:t>
      </w:r>
    </w:p>
    <w:p w14:paraId="0444F216">
      <w:pPr>
        <w:rPr>
          <w:rFonts w:hint="eastAsia"/>
          <w:sz w:val="24"/>
          <w:szCs w:val="24"/>
        </w:rPr>
      </w:pPr>
      <w:r>
        <w:rPr>
          <w:rFonts w:hint="eastAsia"/>
          <w:sz w:val="24"/>
          <w:szCs w:val="24"/>
        </w:rPr>
        <w:t>1.3 Customer Structure &amp; Geographic Distribution</w:t>
      </w:r>
    </w:p>
    <w:p w14:paraId="46221AEC">
      <w:pPr>
        <w:rPr>
          <w:rFonts w:hint="eastAsia"/>
          <w:sz w:val="24"/>
          <w:szCs w:val="24"/>
        </w:rPr>
      </w:pPr>
      <w:r>
        <w:rPr>
          <w:rFonts w:hint="eastAsia"/>
          <w:sz w:val="24"/>
          <w:szCs w:val="24"/>
        </w:rPr>
        <w:t xml:space="preserve"> </w:t>
      </w:r>
    </w:p>
    <w:p w14:paraId="014FD34D">
      <w:pPr>
        <w:rPr>
          <w:rFonts w:hint="eastAsia"/>
          <w:sz w:val="24"/>
          <w:szCs w:val="24"/>
        </w:rPr>
      </w:pPr>
      <w:r>
        <w:rPr>
          <w:rFonts w:hint="eastAsia"/>
          <w:sz w:val="24"/>
          <w:szCs w:val="24"/>
        </w:rPr>
        <w:t>- Customer Concentration Risk: Energy giant Baker Hughes once contributed over 30% of annual revenue; the top 10 clients account for 38% of total revenue. The company’s revenue is highly dependent on core large clients, and the loss of key partners will cause significant revenue pressure.</w:t>
      </w:r>
    </w:p>
    <w:p w14:paraId="54FE93E7">
      <w:pPr>
        <w:rPr>
          <w:rFonts w:hint="eastAsia"/>
          <w:sz w:val="24"/>
          <w:szCs w:val="24"/>
        </w:rPr>
      </w:pPr>
      <w:r>
        <w:rPr>
          <w:rFonts w:hint="eastAsia"/>
          <w:sz w:val="24"/>
          <w:szCs w:val="24"/>
        </w:rPr>
        <w:t>- Geographic Layout: 100% of revenue comes from U.S. domestic enterprises and federal government agencies, with zero overseas revenue and extremely single market layout.</w:t>
      </w:r>
    </w:p>
    <w:p w14:paraId="1BD6BE82">
      <w:pPr>
        <w:rPr>
          <w:rFonts w:hint="eastAsia"/>
          <w:sz w:val="24"/>
          <w:szCs w:val="24"/>
        </w:rPr>
      </w:pPr>
      <w:r>
        <w:rPr>
          <w:rFonts w:hint="eastAsia"/>
          <w:sz w:val="24"/>
          <w:szCs w:val="24"/>
        </w:rPr>
        <w:t>- Core Client Group: Large-cap energy enterprises, heavy manufacturing companies, U.S. military contractors and traditional financial institutions.</w:t>
      </w:r>
    </w:p>
    <w:p w14:paraId="670A2B7A">
      <w:pPr>
        <w:rPr>
          <w:rFonts w:hint="eastAsia"/>
          <w:sz w:val="24"/>
          <w:szCs w:val="24"/>
        </w:rPr>
      </w:pPr>
      <w:r>
        <w:rPr>
          <w:rFonts w:hint="eastAsia"/>
          <w:sz w:val="24"/>
          <w:szCs w:val="24"/>
        </w:rPr>
        <w:t xml:space="preserve"> </w:t>
      </w:r>
    </w:p>
    <w:p w14:paraId="412FAE80">
      <w:pPr>
        <w:rPr>
          <w:rFonts w:hint="eastAsia"/>
          <w:sz w:val="24"/>
          <w:szCs w:val="24"/>
        </w:rPr>
      </w:pPr>
      <w:r>
        <w:rPr>
          <w:rFonts w:hint="eastAsia"/>
          <w:sz w:val="24"/>
          <w:szCs w:val="24"/>
        </w:rPr>
        <w:t>1.4 Competitive Landscape</w:t>
      </w:r>
    </w:p>
    <w:p w14:paraId="4768B662">
      <w:pPr>
        <w:rPr>
          <w:rFonts w:hint="eastAsia"/>
          <w:sz w:val="24"/>
          <w:szCs w:val="24"/>
        </w:rPr>
      </w:pPr>
      <w:r>
        <w:rPr>
          <w:rFonts w:hint="eastAsia"/>
          <w:sz w:val="24"/>
          <w:szCs w:val="24"/>
        </w:rPr>
        <w:t xml:space="preserve"> </w:t>
      </w:r>
    </w:p>
    <w:p w14:paraId="31329851">
      <w:pPr>
        <w:rPr>
          <w:rFonts w:hint="eastAsia"/>
          <w:sz w:val="24"/>
          <w:szCs w:val="24"/>
        </w:rPr>
      </w:pPr>
      <w:r>
        <w:rPr>
          <w:rFonts w:hint="eastAsia"/>
          <w:sz w:val="24"/>
          <w:szCs w:val="24"/>
        </w:rPr>
        <w:t>1. Cloud Giant AI Platforms: Microsoft Azure AI, AWS AI, Google Vertex AI, with absolute advantages in capital strength, channel coverage and bundled pricing strategies.</w:t>
      </w:r>
    </w:p>
    <w:p w14:paraId="6F43DED3">
      <w:pPr>
        <w:rPr>
          <w:rFonts w:hint="eastAsia"/>
          <w:sz w:val="24"/>
          <w:szCs w:val="24"/>
        </w:rPr>
      </w:pPr>
      <w:r>
        <w:rPr>
          <w:rFonts w:hint="eastAsia"/>
          <w:sz w:val="24"/>
          <w:szCs w:val="24"/>
        </w:rPr>
        <w:t>2. Vertical Industrial Software Competitors: Palantir (PLTR), GE Digital, Snowflake. Among them, Palantir has stronger government compliance barriers and stable positive operating cash flow, forming a clear competitive gap with C3.ai.</w:t>
      </w:r>
    </w:p>
    <w:p w14:paraId="780CF515">
      <w:pPr>
        <w:rPr>
          <w:rFonts w:hint="eastAsia"/>
          <w:sz w:val="24"/>
          <w:szCs w:val="24"/>
        </w:rPr>
      </w:pPr>
      <w:r>
        <w:rPr>
          <w:rFonts w:hint="eastAsia"/>
          <w:sz w:val="24"/>
          <w:szCs w:val="24"/>
        </w:rPr>
        <w:t>3. Niche Industrial AI Startups: Represented by BigBear.ai, capturing segmented small-market demands with flexible strategies.</w:t>
      </w:r>
    </w:p>
    <w:p w14:paraId="645A572A">
      <w:pPr>
        <w:rPr>
          <w:rFonts w:hint="eastAsia"/>
          <w:sz w:val="24"/>
          <w:szCs w:val="24"/>
        </w:rPr>
      </w:pPr>
      <w:r>
        <w:rPr>
          <w:rFonts w:hint="eastAsia"/>
          <w:sz w:val="24"/>
          <w:szCs w:val="24"/>
        </w:rPr>
        <w:t xml:space="preserve"> </w:t>
      </w:r>
    </w:p>
    <w:p w14:paraId="5D3A2B61">
      <w:pPr>
        <w:rPr>
          <w:rFonts w:hint="eastAsia"/>
          <w:sz w:val="24"/>
          <w:szCs w:val="24"/>
        </w:rPr>
      </w:pPr>
      <w:r>
        <w:rPr>
          <w:rFonts w:hint="eastAsia"/>
          <w:sz w:val="24"/>
          <w:szCs w:val="24"/>
        </w:rPr>
        <w:t>1.5 Management Team</w:t>
      </w:r>
    </w:p>
    <w:p w14:paraId="5F5424E9">
      <w:pPr>
        <w:rPr>
          <w:rFonts w:hint="eastAsia"/>
          <w:sz w:val="24"/>
          <w:szCs w:val="24"/>
        </w:rPr>
      </w:pPr>
      <w:r>
        <w:rPr>
          <w:rFonts w:hint="eastAsia"/>
          <w:sz w:val="24"/>
          <w:szCs w:val="24"/>
        </w:rPr>
        <w:t xml:space="preserve"> </w:t>
      </w:r>
    </w:p>
    <w:p w14:paraId="028D25E5">
      <w:pPr>
        <w:rPr>
          <w:rFonts w:hint="eastAsia"/>
          <w:sz w:val="24"/>
          <w:szCs w:val="24"/>
        </w:rPr>
      </w:pPr>
      <w:r>
        <w:rPr>
          <w:rFonts w:hint="eastAsia"/>
          <w:sz w:val="24"/>
          <w:szCs w:val="24"/>
        </w:rPr>
        <w:t>The company is chaired by founder Tom Siebel. Stephen Ehikian was appointed CEO in Q1 FY2026, tasked with improving inefficient sales execution. Notably, the management team has continuously missed profitability guidance for five consecutive fiscal years, with poor long-term performance execution.</w:t>
      </w:r>
    </w:p>
    <w:p w14:paraId="1EDDD117">
      <w:pPr>
        <w:rPr>
          <w:rFonts w:hint="eastAsia"/>
          <w:sz w:val="24"/>
          <w:szCs w:val="24"/>
        </w:rPr>
      </w:pPr>
      <w:r>
        <w:rPr>
          <w:rFonts w:hint="eastAsia"/>
          <w:sz w:val="24"/>
          <w:szCs w:val="24"/>
        </w:rPr>
        <w:t xml:space="preserve"> </w:t>
      </w:r>
    </w:p>
    <w:p w14:paraId="20CF507A">
      <w:pPr>
        <w:rPr>
          <w:rFonts w:hint="eastAsia"/>
          <w:sz w:val="24"/>
          <w:szCs w:val="24"/>
        </w:rPr>
      </w:pPr>
      <w:r>
        <w:rPr>
          <w:rFonts w:hint="eastAsia"/>
          <w:sz w:val="24"/>
          <w:szCs w:val="24"/>
        </w:rPr>
        <w:t>2. Company Operating &amp; Financial Performance</w:t>
      </w:r>
    </w:p>
    <w:p w14:paraId="3DDCB88F">
      <w:pPr>
        <w:rPr>
          <w:rFonts w:hint="eastAsia"/>
          <w:sz w:val="24"/>
          <w:szCs w:val="24"/>
        </w:rPr>
      </w:pPr>
      <w:r>
        <w:rPr>
          <w:rFonts w:hint="eastAsia"/>
          <w:sz w:val="24"/>
          <w:szCs w:val="24"/>
        </w:rPr>
        <w:t xml:space="preserve"> </w:t>
      </w:r>
    </w:p>
    <w:p w14:paraId="1E31D1F7">
      <w:pPr>
        <w:rPr>
          <w:rFonts w:hint="eastAsia"/>
          <w:sz w:val="24"/>
          <w:szCs w:val="24"/>
        </w:rPr>
      </w:pPr>
      <w:r>
        <w:rPr>
          <w:rFonts w:hint="eastAsia"/>
          <w:sz w:val="24"/>
          <w:szCs w:val="24"/>
        </w:rPr>
        <w:t>2.1 Historical Revenue &amp; Net Profit Trend</w:t>
      </w:r>
    </w:p>
    <w:p w14:paraId="1C7A8C39">
      <w:pPr>
        <w:rPr>
          <w:rFonts w:hint="eastAsia"/>
          <w:sz w:val="24"/>
          <w:szCs w:val="24"/>
        </w:rPr>
      </w:pPr>
      <w:r>
        <w:rPr>
          <w:rFonts w:hint="eastAsia"/>
          <w:sz w:val="24"/>
          <w:szCs w:val="24"/>
        </w:rPr>
        <w:t xml:space="preserve"> </w:t>
      </w:r>
    </w:p>
    <w:p w14:paraId="70B8D67C">
      <w:pPr>
        <w:rPr>
          <w:rFonts w:hint="eastAsia"/>
          <w:sz w:val="24"/>
          <w:szCs w:val="24"/>
        </w:rPr>
      </w:pPr>
      <w:r>
        <w:rPr>
          <w:rFonts w:hint="eastAsia"/>
          <w:sz w:val="24"/>
          <w:szCs w:val="24"/>
        </w:rPr>
        <w:t>- FY2022: Total Revenue $253M | Net Loss $192M</w:t>
      </w:r>
    </w:p>
    <w:p w14:paraId="4DDF324A">
      <w:pPr>
        <w:rPr>
          <w:rFonts w:hint="eastAsia"/>
          <w:sz w:val="24"/>
          <w:szCs w:val="24"/>
        </w:rPr>
      </w:pPr>
      <w:r>
        <w:rPr>
          <w:rFonts w:hint="eastAsia"/>
          <w:sz w:val="24"/>
          <w:szCs w:val="24"/>
        </w:rPr>
        <w:t>- FY2023: Total Revenue $267M | Net Loss $269M</w:t>
      </w:r>
    </w:p>
    <w:p w14:paraId="7C62F00F">
      <w:pPr>
        <w:rPr>
          <w:rFonts w:hint="eastAsia"/>
          <w:sz w:val="24"/>
          <w:szCs w:val="24"/>
        </w:rPr>
      </w:pPr>
      <w:r>
        <w:rPr>
          <w:rFonts w:hint="eastAsia"/>
          <w:sz w:val="24"/>
          <w:szCs w:val="24"/>
        </w:rPr>
        <w:t>- FY2024: Total Revenue $311M | Net Loss $280M</w:t>
      </w:r>
    </w:p>
    <w:p w14:paraId="2FFB534F">
      <w:pPr>
        <w:rPr>
          <w:rFonts w:hint="eastAsia"/>
          <w:sz w:val="24"/>
          <w:szCs w:val="24"/>
        </w:rPr>
      </w:pPr>
      <w:r>
        <w:rPr>
          <w:rFonts w:hint="eastAsia"/>
          <w:sz w:val="24"/>
          <w:szCs w:val="24"/>
        </w:rPr>
        <w:t>- FY2025 (Historical Peak): Total Revenue $389M | Net Loss $289M</w:t>
      </w:r>
    </w:p>
    <w:p w14:paraId="51CC4C7F">
      <w:pPr>
        <w:rPr>
          <w:rFonts w:hint="eastAsia"/>
          <w:sz w:val="24"/>
          <w:szCs w:val="24"/>
        </w:rPr>
      </w:pPr>
      <w:r>
        <w:rPr>
          <w:rFonts w:hint="eastAsia"/>
          <w:sz w:val="24"/>
          <w:szCs w:val="24"/>
        </w:rPr>
        <w:t>- FY2026: Total Revenue $250.3M (YoY -35.7%) | GAAP Net Loss $470.4M</w:t>
      </w:r>
    </w:p>
    <w:p w14:paraId="1093AA0E">
      <w:pPr>
        <w:rPr>
          <w:rFonts w:hint="eastAsia"/>
          <w:sz w:val="24"/>
          <w:szCs w:val="24"/>
        </w:rPr>
      </w:pPr>
      <w:r>
        <w:rPr>
          <w:rFonts w:hint="eastAsia"/>
          <w:sz w:val="24"/>
          <w:szCs w:val="24"/>
        </w:rPr>
        <w:t xml:space="preserve"> </w:t>
      </w:r>
    </w:p>
    <w:p w14:paraId="038E221A">
      <w:pPr>
        <w:rPr>
          <w:rFonts w:hint="eastAsia"/>
          <w:sz w:val="24"/>
          <w:szCs w:val="24"/>
        </w:rPr>
      </w:pPr>
      <w:r>
        <w:rPr>
          <w:rFonts w:hint="eastAsia"/>
          <w:sz w:val="24"/>
          <w:szCs w:val="24"/>
        </w:rPr>
        <w:t>Key Conclusion: The company’s revenue peaked in FY2025 and experienced a cliff-like decline in FY2026. Net losses have continued to expand year by year, and the company has never achieved annual profitability since its IPO.</w:t>
      </w:r>
    </w:p>
    <w:p w14:paraId="146BC8B9">
      <w:pPr>
        <w:rPr>
          <w:rFonts w:hint="eastAsia"/>
          <w:sz w:val="24"/>
          <w:szCs w:val="24"/>
        </w:rPr>
      </w:pPr>
      <w:r>
        <w:rPr>
          <w:rFonts w:hint="eastAsia"/>
          <w:sz w:val="24"/>
          <w:szCs w:val="24"/>
        </w:rPr>
        <w:t xml:space="preserve"> </w:t>
      </w:r>
    </w:p>
    <w:p w14:paraId="0C8A4272">
      <w:pPr>
        <w:rPr>
          <w:rFonts w:hint="eastAsia"/>
          <w:sz w:val="24"/>
          <w:szCs w:val="24"/>
        </w:rPr>
      </w:pPr>
      <w:r>
        <w:rPr>
          <w:rFonts w:hint="eastAsia"/>
          <w:sz w:val="24"/>
          <w:szCs w:val="24"/>
        </w:rPr>
        <w:t>2.2 Profit Margin &amp; Cash Flow Performance</w:t>
      </w:r>
    </w:p>
    <w:p w14:paraId="2C58608F">
      <w:pPr>
        <w:rPr>
          <w:rFonts w:hint="eastAsia"/>
          <w:sz w:val="24"/>
          <w:szCs w:val="24"/>
        </w:rPr>
      </w:pPr>
      <w:r>
        <w:rPr>
          <w:rFonts w:hint="eastAsia"/>
          <w:sz w:val="24"/>
          <w:szCs w:val="24"/>
        </w:rPr>
        <w:t xml:space="preserve"> </w:t>
      </w:r>
    </w:p>
    <w:p w14:paraId="00A460EA">
      <w:pPr>
        <w:rPr>
          <w:rFonts w:hint="eastAsia"/>
          <w:sz w:val="24"/>
          <w:szCs w:val="24"/>
        </w:rPr>
      </w:pPr>
      <w:r>
        <w:rPr>
          <w:rFonts w:hint="eastAsia"/>
          <w:sz w:val="24"/>
          <w:szCs w:val="24"/>
        </w:rPr>
        <w:t>In Q4 FY2026, the company’s GAAP gross margin dropped to 22%, and non-GAAP gross margin was only 37%, a sharp decline from the 50%+ gross margin level two years ago. The labor-intensive customized engineering service business continuously erodes profitability and forms structural margin pressure.</w:t>
      </w:r>
    </w:p>
    <w:p w14:paraId="60AF0ED3">
      <w:pPr>
        <w:rPr>
          <w:rFonts w:hint="eastAsia"/>
          <w:sz w:val="24"/>
          <w:szCs w:val="24"/>
        </w:rPr>
      </w:pPr>
      <w:r>
        <w:rPr>
          <w:rFonts w:hint="eastAsia"/>
          <w:sz w:val="24"/>
          <w:szCs w:val="24"/>
        </w:rPr>
        <w:t xml:space="preserve"> </w:t>
      </w:r>
    </w:p>
    <w:p w14:paraId="22A554B2">
      <w:pPr>
        <w:rPr>
          <w:rFonts w:hint="eastAsia"/>
          <w:sz w:val="24"/>
          <w:szCs w:val="24"/>
        </w:rPr>
      </w:pPr>
      <w:r>
        <w:rPr>
          <w:rFonts w:hint="eastAsia"/>
          <w:sz w:val="24"/>
          <w:szCs w:val="24"/>
        </w:rPr>
        <w:t>In terms of cash flow, operating cash flow has been negative for consecutive fiscal cycles. The company’s operation completely relies on remaining IPO cash reserves, with no self-hematopoiesis capability.</w:t>
      </w:r>
    </w:p>
    <w:p w14:paraId="4279E3B0">
      <w:pPr>
        <w:rPr>
          <w:rFonts w:hint="eastAsia"/>
          <w:sz w:val="24"/>
          <w:szCs w:val="24"/>
        </w:rPr>
      </w:pPr>
      <w:r>
        <w:rPr>
          <w:rFonts w:hint="eastAsia"/>
          <w:sz w:val="24"/>
          <w:szCs w:val="24"/>
        </w:rPr>
        <w:t xml:space="preserve"> </w:t>
      </w:r>
    </w:p>
    <w:p w14:paraId="5EC40BC6">
      <w:pPr>
        <w:rPr>
          <w:rFonts w:hint="eastAsia"/>
          <w:sz w:val="24"/>
          <w:szCs w:val="24"/>
        </w:rPr>
      </w:pPr>
      <w:r>
        <w:rPr>
          <w:rFonts w:hint="eastAsia"/>
          <w:sz w:val="24"/>
          <w:szCs w:val="24"/>
        </w:rPr>
        <w:t>2.3 Core Financial Indicators (FY2026 Year-End)</w:t>
      </w:r>
    </w:p>
    <w:p w14:paraId="28255ABE">
      <w:pPr>
        <w:rPr>
          <w:rFonts w:hint="eastAsia"/>
          <w:sz w:val="24"/>
          <w:szCs w:val="24"/>
        </w:rPr>
      </w:pPr>
      <w:r>
        <w:rPr>
          <w:rFonts w:hint="eastAsia"/>
          <w:sz w:val="24"/>
          <w:szCs w:val="24"/>
        </w:rPr>
        <w:t xml:space="preserve"> </w:t>
      </w:r>
    </w:p>
    <w:p w14:paraId="037ED47E">
      <w:pPr>
        <w:rPr>
          <w:rFonts w:hint="eastAsia"/>
          <w:sz w:val="24"/>
          <w:szCs w:val="24"/>
        </w:rPr>
      </w:pPr>
      <w:r>
        <w:rPr>
          <w:rFonts w:hint="eastAsia"/>
          <w:sz w:val="24"/>
          <w:szCs w:val="24"/>
        </w:rPr>
        <w:t>- Current Ratio: 5.0: Current assets $816M, current liabilities $163M. The company holds $575M in cash and marketable securities, with safe short-term liquidity and no imminent debt default risk.</w:t>
      </w:r>
    </w:p>
    <w:p w14:paraId="28D42849">
      <w:pPr>
        <w:rPr>
          <w:rFonts w:hint="eastAsia"/>
          <w:sz w:val="24"/>
          <w:szCs w:val="24"/>
        </w:rPr>
      </w:pPr>
      <w:r>
        <w:rPr>
          <w:rFonts w:hint="eastAsia"/>
          <w:sz w:val="24"/>
          <w:szCs w:val="24"/>
        </w:rPr>
        <w:t>- Debt-to-Equity Ratio: 0.25: Long-term debt scale is extremely low, with low balance sheet risk. However, continuous large losses will rapidly consume existing liquidity buffers.</w:t>
      </w:r>
    </w:p>
    <w:p w14:paraId="52E72538">
      <w:pPr>
        <w:rPr>
          <w:rFonts w:hint="eastAsia"/>
          <w:sz w:val="24"/>
          <w:szCs w:val="24"/>
        </w:rPr>
      </w:pPr>
      <w:r>
        <w:rPr>
          <w:rFonts w:hint="eastAsia"/>
          <w:sz w:val="24"/>
          <w:szCs w:val="24"/>
        </w:rPr>
        <w:t xml:space="preserve"> </w:t>
      </w:r>
    </w:p>
    <w:p w14:paraId="7A92DE67">
      <w:pPr>
        <w:rPr>
          <w:rFonts w:hint="eastAsia"/>
          <w:sz w:val="24"/>
          <w:szCs w:val="24"/>
        </w:rPr>
      </w:pPr>
      <w:r>
        <w:rPr>
          <w:rFonts w:hint="eastAsia"/>
          <w:sz w:val="24"/>
          <w:szCs w:val="24"/>
        </w:rPr>
        <w:t>2.4 Industry Competition Analysis (Porter’s Five Forces)</w:t>
      </w:r>
    </w:p>
    <w:p w14:paraId="412664D6">
      <w:pPr>
        <w:rPr>
          <w:rFonts w:hint="eastAsia"/>
          <w:sz w:val="24"/>
          <w:szCs w:val="24"/>
        </w:rPr>
      </w:pPr>
      <w:r>
        <w:rPr>
          <w:rFonts w:hint="eastAsia"/>
          <w:sz w:val="24"/>
          <w:szCs w:val="24"/>
        </w:rPr>
        <w:t xml:space="preserve"> </w:t>
      </w:r>
    </w:p>
    <w:p w14:paraId="1D6D6EA2">
      <w:pPr>
        <w:rPr>
          <w:rFonts w:hint="eastAsia"/>
          <w:sz w:val="24"/>
          <w:szCs w:val="24"/>
        </w:rPr>
      </w:pPr>
      <w:r>
        <w:rPr>
          <w:rFonts w:hint="eastAsia"/>
          <w:sz w:val="24"/>
          <w:szCs w:val="24"/>
        </w:rPr>
        <w:t>1. Threat of New Entrants: High: Cloud vendors and industrial software companies can quickly replicate the company’s low-code AI tools with low technical barriers.</w:t>
      </w:r>
    </w:p>
    <w:p w14:paraId="5ECCDA3C">
      <w:pPr>
        <w:rPr>
          <w:rFonts w:hint="eastAsia"/>
          <w:sz w:val="24"/>
          <w:szCs w:val="24"/>
        </w:rPr>
      </w:pPr>
      <w:r>
        <w:rPr>
          <w:rFonts w:hint="eastAsia"/>
          <w:sz w:val="24"/>
          <w:szCs w:val="24"/>
        </w:rPr>
        <w:t>2. Threat of Substitutes: Very High: Microsoft, AWS and Google embed industrial AI functions in existing cloud subscription services at low or zero incremental costs, squeezing the survival space of independent third-party AI platforms.</w:t>
      </w:r>
    </w:p>
    <w:p w14:paraId="1BBFC298">
      <w:pPr>
        <w:rPr>
          <w:rFonts w:hint="eastAsia"/>
          <w:sz w:val="24"/>
          <w:szCs w:val="24"/>
        </w:rPr>
      </w:pPr>
      <w:r>
        <w:rPr>
          <w:rFonts w:hint="eastAsia"/>
          <w:sz w:val="24"/>
          <w:szCs w:val="24"/>
        </w:rPr>
        <w:t>3. Supplier Bargaining Power: Low: The company’s GPU and large model resources are all outsourced to cloud giants, with no pricing bargaining power.</w:t>
      </w:r>
    </w:p>
    <w:p w14:paraId="420FF45E">
      <w:pPr>
        <w:rPr>
          <w:rFonts w:hint="eastAsia"/>
          <w:sz w:val="24"/>
          <w:szCs w:val="24"/>
        </w:rPr>
      </w:pPr>
      <w:r>
        <w:rPr>
          <w:rFonts w:hint="eastAsia"/>
          <w:sz w:val="24"/>
          <w:szCs w:val="24"/>
        </w:rPr>
        <w:t>4. Buyer Bargaining Power: High: Large energy and defense clients have strong bargaining power to obtain large-order discounts; single client loss will trigger significant revenue volatility.</w:t>
      </w:r>
    </w:p>
    <w:p w14:paraId="179FB056">
      <w:pPr>
        <w:rPr>
          <w:rFonts w:hint="eastAsia"/>
          <w:sz w:val="24"/>
          <w:szCs w:val="24"/>
        </w:rPr>
      </w:pPr>
      <w:r>
        <w:rPr>
          <w:rFonts w:hint="eastAsia"/>
          <w:sz w:val="24"/>
          <w:szCs w:val="24"/>
        </w:rPr>
        <w:t>5. Industry Competition Intensity: Extreme: Cloud giants rely on cost advantages to suppress prices, while Palantir monopolizes high-margin government orders, leading to double competition pressure on C3.ai.</w:t>
      </w:r>
    </w:p>
    <w:p w14:paraId="55F4360C">
      <w:pPr>
        <w:rPr>
          <w:rFonts w:hint="eastAsia"/>
          <w:sz w:val="24"/>
          <w:szCs w:val="24"/>
        </w:rPr>
      </w:pPr>
      <w:r>
        <w:rPr>
          <w:rFonts w:hint="eastAsia"/>
          <w:sz w:val="24"/>
          <w:szCs w:val="24"/>
        </w:rPr>
        <w:t xml:space="preserve"> </w:t>
      </w:r>
    </w:p>
    <w:p w14:paraId="106BB114">
      <w:pPr>
        <w:rPr>
          <w:rFonts w:hint="eastAsia"/>
          <w:sz w:val="24"/>
          <w:szCs w:val="24"/>
        </w:rPr>
      </w:pPr>
      <w:r>
        <w:rPr>
          <w:rFonts w:hint="eastAsia"/>
          <w:sz w:val="24"/>
          <w:szCs w:val="24"/>
        </w:rPr>
        <w:t>2.5 Current Stock Market Metrics</w:t>
      </w:r>
    </w:p>
    <w:p w14:paraId="7EA0885C">
      <w:pPr>
        <w:rPr>
          <w:rFonts w:hint="eastAsia"/>
          <w:sz w:val="24"/>
          <w:szCs w:val="24"/>
        </w:rPr>
      </w:pPr>
      <w:r>
        <w:rPr>
          <w:rFonts w:hint="eastAsia"/>
          <w:sz w:val="24"/>
          <w:szCs w:val="24"/>
        </w:rPr>
        <w:t xml:space="preserve"> </w:t>
      </w:r>
    </w:p>
    <w:p w14:paraId="1ADE7A5F">
      <w:pPr>
        <w:rPr>
          <w:rFonts w:hint="eastAsia"/>
          <w:sz w:val="24"/>
          <w:szCs w:val="24"/>
        </w:rPr>
      </w:pPr>
      <w:r>
        <w:rPr>
          <w:rFonts w:hint="eastAsia"/>
          <w:sz w:val="24"/>
          <w:szCs w:val="24"/>
        </w:rPr>
        <w:t>- Current Share Price: $10.30</w:t>
      </w:r>
    </w:p>
    <w:p w14:paraId="54365AFE">
      <w:pPr>
        <w:rPr>
          <w:rFonts w:hint="eastAsia"/>
          <w:sz w:val="24"/>
          <w:szCs w:val="24"/>
        </w:rPr>
      </w:pPr>
      <w:r>
        <w:rPr>
          <w:rFonts w:hint="eastAsia"/>
          <w:sz w:val="24"/>
          <w:szCs w:val="24"/>
        </w:rPr>
        <w:t>- Market Capitalization: $1.496B</w:t>
      </w:r>
    </w:p>
    <w:p w14:paraId="07FA4B4F">
      <w:pPr>
        <w:rPr>
          <w:rFonts w:hint="eastAsia"/>
          <w:sz w:val="24"/>
          <w:szCs w:val="24"/>
        </w:rPr>
      </w:pPr>
      <w:r>
        <w:rPr>
          <w:rFonts w:hint="eastAsia"/>
          <w:sz w:val="24"/>
          <w:szCs w:val="24"/>
        </w:rPr>
        <w:t>- Forward P/S Ratio: 5.98x</w:t>
      </w:r>
    </w:p>
    <w:p w14:paraId="36324C2B">
      <w:pPr>
        <w:rPr>
          <w:rFonts w:hint="eastAsia"/>
          <w:sz w:val="24"/>
          <w:szCs w:val="24"/>
        </w:rPr>
      </w:pPr>
      <w:r>
        <w:rPr>
          <w:rFonts w:hint="eastAsia"/>
          <w:sz w:val="24"/>
          <w:szCs w:val="24"/>
        </w:rPr>
        <w:t xml:space="preserve"> </w:t>
      </w:r>
    </w:p>
    <w:p w14:paraId="566B41CC">
      <w:pPr>
        <w:rPr>
          <w:rFonts w:hint="eastAsia"/>
          <w:sz w:val="24"/>
          <w:szCs w:val="24"/>
        </w:rPr>
      </w:pPr>
      <w:r>
        <w:rPr>
          <w:rFonts w:hint="eastAsia"/>
          <w:sz w:val="24"/>
          <w:szCs w:val="24"/>
        </w:rPr>
        <w:t>Although the company’s valuation is far lower than the industry average of 17x for enterprise AI software, the valuation discount fully prices in its structural revenue decline and persistent loss dilemma.</w:t>
      </w:r>
    </w:p>
    <w:p w14:paraId="78D1B769">
      <w:pPr>
        <w:rPr>
          <w:rFonts w:hint="eastAsia"/>
          <w:sz w:val="24"/>
          <w:szCs w:val="24"/>
        </w:rPr>
      </w:pPr>
      <w:r>
        <w:rPr>
          <w:rFonts w:hint="eastAsia"/>
          <w:sz w:val="24"/>
          <w:szCs w:val="24"/>
        </w:rPr>
        <w:t xml:space="preserve"> </w:t>
      </w:r>
    </w:p>
    <w:p w14:paraId="61D9F875">
      <w:pPr>
        <w:rPr>
          <w:rFonts w:hint="eastAsia"/>
          <w:sz w:val="24"/>
          <w:szCs w:val="24"/>
        </w:rPr>
      </w:pPr>
      <w:r>
        <w:rPr>
          <w:rFonts w:hint="eastAsia"/>
          <w:sz w:val="24"/>
          <w:szCs w:val="24"/>
        </w:rPr>
        <w:t>3. Valuation Analysis &amp; Target Price</w:t>
      </w:r>
    </w:p>
    <w:p w14:paraId="5F5184B2">
      <w:pPr>
        <w:rPr>
          <w:rFonts w:hint="eastAsia"/>
          <w:sz w:val="24"/>
          <w:szCs w:val="24"/>
        </w:rPr>
      </w:pPr>
      <w:r>
        <w:rPr>
          <w:rFonts w:hint="eastAsia"/>
          <w:sz w:val="24"/>
          <w:szCs w:val="24"/>
        </w:rPr>
        <w:t xml:space="preserve"> </w:t>
      </w:r>
    </w:p>
    <w:p w14:paraId="70092451">
      <w:pPr>
        <w:rPr>
          <w:rFonts w:hint="eastAsia"/>
          <w:sz w:val="24"/>
          <w:szCs w:val="24"/>
        </w:rPr>
      </w:pPr>
      <w:r>
        <w:rPr>
          <w:rFonts w:hint="eastAsia"/>
          <w:sz w:val="24"/>
          <w:szCs w:val="24"/>
        </w:rPr>
        <w:t>3.1 Five-Year Valuation &amp; Stock Price Trend</w:t>
      </w:r>
    </w:p>
    <w:p w14:paraId="7991A83B">
      <w:pPr>
        <w:rPr>
          <w:rFonts w:hint="eastAsia"/>
          <w:sz w:val="24"/>
          <w:szCs w:val="24"/>
        </w:rPr>
      </w:pPr>
      <w:r>
        <w:rPr>
          <w:rFonts w:hint="eastAsia"/>
          <w:sz w:val="24"/>
          <w:szCs w:val="24"/>
        </w:rPr>
        <w:t xml:space="preserve"> </w:t>
      </w:r>
    </w:p>
    <w:p w14:paraId="29BDBEEF">
      <w:pPr>
        <w:rPr>
          <w:rFonts w:hint="eastAsia"/>
          <w:sz w:val="24"/>
          <w:szCs w:val="24"/>
        </w:rPr>
      </w:pPr>
      <w:r>
        <w:rPr>
          <w:rFonts w:hint="eastAsia"/>
          <w:sz w:val="24"/>
          <w:szCs w:val="24"/>
        </w:rPr>
        <w:t>- Dec 2020 (IPO Peak): All-time high $183.90, P/S ratio exceeded 100x, driven purely by market speculation on the "AI" ticker concept.</w:t>
      </w:r>
    </w:p>
    <w:p w14:paraId="330E12B5">
      <w:pPr>
        <w:rPr>
          <w:rFonts w:hint="eastAsia"/>
          <w:sz w:val="24"/>
          <w:szCs w:val="24"/>
        </w:rPr>
      </w:pPr>
      <w:r>
        <w:rPr>
          <w:rFonts w:hint="eastAsia"/>
          <w:sz w:val="24"/>
          <w:szCs w:val="24"/>
        </w:rPr>
        <w:t>- 2021–2023: AI concept bubble burst, stock price stabilized at $8–$12, as the market recognized the company’s long-term non-profitability problem.</w:t>
      </w:r>
    </w:p>
    <w:p w14:paraId="5ACD3BE6">
      <w:pPr>
        <w:rPr>
          <w:rFonts w:hint="eastAsia"/>
          <w:sz w:val="24"/>
          <w:szCs w:val="24"/>
        </w:rPr>
      </w:pPr>
      <w:r>
        <w:rPr>
          <w:rFonts w:hint="eastAsia"/>
          <w:sz w:val="24"/>
          <w:szCs w:val="24"/>
        </w:rPr>
        <w:t>- 2024–2025: Short-term generative AI market rally pushed the stock price above $30, but repeated earnings misses caused a full retracement of gains.</w:t>
      </w:r>
    </w:p>
    <w:p w14:paraId="06CF9306">
      <w:pPr>
        <w:rPr>
          <w:rFonts w:hint="eastAsia"/>
          <w:sz w:val="24"/>
          <w:szCs w:val="24"/>
        </w:rPr>
      </w:pPr>
      <w:r>
        <w:rPr>
          <w:rFonts w:hint="eastAsia"/>
          <w:sz w:val="24"/>
          <w:szCs w:val="24"/>
        </w:rPr>
        <w:t>- March 2026: 52-week low $7.68. As of June 2026, the stock price has dropped more than 91% from the historical peak and 62% in the past 12 months.</w:t>
      </w:r>
    </w:p>
    <w:p w14:paraId="561717F5">
      <w:pPr>
        <w:rPr>
          <w:rFonts w:hint="eastAsia"/>
          <w:sz w:val="24"/>
          <w:szCs w:val="24"/>
        </w:rPr>
      </w:pPr>
      <w:r>
        <w:rPr>
          <w:rFonts w:hint="eastAsia"/>
          <w:sz w:val="24"/>
          <w:szCs w:val="24"/>
        </w:rPr>
        <w:t xml:space="preserve"> </w:t>
      </w:r>
    </w:p>
    <w:p w14:paraId="4F5BB221">
      <w:pPr>
        <w:rPr>
          <w:rFonts w:hint="eastAsia"/>
          <w:sz w:val="24"/>
          <w:szCs w:val="24"/>
        </w:rPr>
      </w:pPr>
      <w:r>
        <w:rPr>
          <w:rFonts w:hint="eastAsia"/>
          <w:sz w:val="24"/>
          <w:szCs w:val="24"/>
        </w:rPr>
        <w:t>3.2 FY2026 Revenue Verification</w:t>
      </w:r>
    </w:p>
    <w:p w14:paraId="4B455E28">
      <w:pPr>
        <w:rPr>
          <w:rFonts w:hint="eastAsia"/>
          <w:sz w:val="24"/>
          <w:szCs w:val="24"/>
        </w:rPr>
      </w:pPr>
      <w:r>
        <w:rPr>
          <w:rFonts w:hint="eastAsia"/>
          <w:sz w:val="24"/>
          <w:szCs w:val="24"/>
        </w:rPr>
        <w:t xml:space="preserve"> </w:t>
      </w:r>
    </w:p>
    <w:p w14:paraId="768210E2">
      <w:pPr>
        <w:rPr>
          <w:rFonts w:hint="eastAsia"/>
          <w:sz w:val="24"/>
          <w:szCs w:val="24"/>
        </w:rPr>
      </w:pPr>
      <w:r>
        <w:rPr>
          <w:rFonts w:hint="eastAsia"/>
          <w:sz w:val="24"/>
          <w:szCs w:val="24"/>
        </w:rPr>
        <w:t>The full-year revenue of FY2026 was only $250.3M, significantly lower than the original guidance of $289.5M–$309.5M, with a year-on-year decline of 35.7%, confirming the sustained downward trend of the company’s top-line performance.</w:t>
      </w:r>
    </w:p>
    <w:p w14:paraId="75B35A9C">
      <w:pPr>
        <w:rPr>
          <w:rFonts w:hint="eastAsia"/>
          <w:sz w:val="24"/>
          <w:szCs w:val="24"/>
        </w:rPr>
      </w:pPr>
      <w:r>
        <w:rPr>
          <w:rFonts w:hint="eastAsia"/>
          <w:sz w:val="24"/>
          <w:szCs w:val="24"/>
        </w:rPr>
        <w:t xml:space="preserve"> </w:t>
      </w:r>
    </w:p>
    <w:p w14:paraId="6C118D34">
      <w:pPr>
        <w:rPr>
          <w:rFonts w:hint="eastAsia"/>
          <w:sz w:val="24"/>
          <w:szCs w:val="24"/>
        </w:rPr>
      </w:pPr>
      <w:r>
        <w:rPr>
          <w:rFonts w:hint="eastAsia"/>
          <w:sz w:val="24"/>
          <w:szCs w:val="24"/>
        </w:rPr>
        <w:t>3.3 FY2027 Revenue Forecast</w:t>
      </w:r>
    </w:p>
    <w:p w14:paraId="4740484E">
      <w:pPr>
        <w:rPr>
          <w:rFonts w:hint="eastAsia"/>
          <w:sz w:val="24"/>
          <w:szCs w:val="24"/>
        </w:rPr>
      </w:pPr>
      <w:r>
        <w:rPr>
          <w:rFonts w:hint="eastAsia"/>
          <w:sz w:val="24"/>
          <w:szCs w:val="24"/>
        </w:rPr>
        <w:t xml:space="preserve"> </w:t>
      </w:r>
    </w:p>
    <w:p w14:paraId="7B5ABFAD">
      <w:pPr>
        <w:rPr>
          <w:rFonts w:hint="eastAsia"/>
          <w:sz w:val="24"/>
          <w:szCs w:val="24"/>
        </w:rPr>
      </w:pPr>
      <w:r>
        <w:rPr>
          <w:rFonts w:hint="eastAsia"/>
          <w:sz w:val="24"/>
          <w:szCs w:val="24"/>
        </w:rPr>
        <w:t>The company’s official FY2027 revenue guidance is $210M–$240M, with a midpoint of $225M, corresponding to a further 10% year-on-year revenue decline. The company’s 35% workforce reduction in 2026 can only slightly narrow losses and cannot achieve fundamental profitability improvement.</w:t>
      </w:r>
    </w:p>
    <w:p w14:paraId="66FCC326">
      <w:pPr>
        <w:rPr>
          <w:rFonts w:hint="eastAsia"/>
          <w:sz w:val="24"/>
          <w:szCs w:val="24"/>
        </w:rPr>
      </w:pPr>
      <w:r>
        <w:rPr>
          <w:rFonts w:hint="eastAsia"/>
          <w:sz w:val="24"/>
          <w:szCs w:val="24"/>
        </w:rPr>
        <w:t xml:space="preserve"> </w:t>
      </w:r>
    </w:p>
    <w:p w14:paraId="49BB7656">
      <w:pPr>
        <w:rPr>
          <w:rFonts w:hint="eastAsia"/>
          <w:sz w:val="24"/>
          <w:szCs w:val="24"/>
        </w:rPr>
      </w:pPr>
      <w:r>
        <w:rPr>
          <w:rFonts w:hint="eastAsia"/>
          <w:sz w:val="24"/>
          <w:szCs w:val="24"/>
        </w:rPr>
        <w:t>3.4 2027 Target Price Calculation</w:t>
      </w:r>
    </w:p>
    <w:p w14:paraId="169334F4">
      <w:pPr>
        <w:rPr>
          <w:rFonts w:hint="eastAsia"/>
          <w:sz w:val="24"/>
          <w:szCs w:val="24"/>
        </w:rPr>
      </w:pPr>
      <w:r>
        <w:rPr>
          <w:rFonts w:hint="eastAsia"/>
          <w:sz w:val="24"/>
          <w:szCs w:val="24"/>
        </w:rPr>
        <w:t xml:space="preserve"> </w:t>
      </w:r>
    </w:p>
    <w:p w14:paraId="3E4716F4">
      <w:pPr>
        <w:rPr>
          <w:rFonts w:hint="eastAsia"/>
          <w:sz w:val="24"/>
          <w:szCs w:val="24"/>
        </w:rPr>
      </w:pPr>
      <w:r>
        <w:rPr>
          <w:rFonts w:hint="eastAsia"/>
          <w:sz w:val="24"/>
          <w:szCs w:val="24"/>
        </w:rPr>
        <w:t>Core Valuation Assumptions</w:t>
      </w:r>
    </w:p>
    <w:p w14:paraId="25007302">
      <w:pPr>
        <w:rPr>
          <w:rFonts w:hint="eastAsia"/>
          <w:sz w:val="24"/>
          <w:szCs w:val="24"/>
        </w:rPr>
      </w:pPr>
      <w:r>
        <w:rPr>
          <w:rFonts w:hint="eastAsia"/>
          <w:sz w:val="24"/>
          <w:szCs w:val="24"/>
        </w:rPr>
        <w:t xml:space="preserve"> </w:t>
      </w:r>
    </w:p>
    <w:p w14:paraId="02DE75D2">
      <w:pPr>
        <w:rPr>
          <w:rFonts w:hint="eastAsia"/>
          <w:sz w:val="24"/>
          <w:szCs w:val="24"/>
        </w:rPr>
      </w:pPr>
      <w:r>
        <w:rPr>
          <w:rFonts w:hint="eastAsia"/>
          <w:sz w:val="24"/>
          <w:szCs w:val="24"/>
        </w:rPr>
        <w:t>1. FY2027 expected revenue midpoint: $225M</w:t>
      </w:r>
    </w:p>
    <w:p w14:paraId="0AB5D3EA">
      <w:pPr>
        <w:rPr>
          <w:rFonts w:hint="eastAsia"/>
          <w:sz w:val="24"/>
          <w:szCs w:val="24"/>
        </w:rPr>
      </w:pPr>
      <w:r>
        <w:rPr>
          <w:rFonts w:hint="eastAsia"/>
          <w:sz w:val="24"/>
          <w:szCs w:val="24"/>
        </w:rPr>
        <w:t>2. Affected by sustained revenue decline and continuous losses, the market further compresses the P/S multiple to 4.2x</w:t>
      </w:r>
    </w:p>
    <w:p w14:paraId="0F6C1623">
      <w:pPr>
        <w:rPr>
          <w:rFonts w:hint="eastAsia"/>
          <w:sz w:val="24"/>
          <w:szCs w:val="24"/>
        </w:rPr>
      </w:pPr>
      <w:r>
        <w:rPr>
          <w:rFonts w:hint="eastAsia"/>
          <w:sz w:val="24"/>
          <w:szCs w:val="24"/>
        </w:rPr>
        <w:t>3. Fully diluted total share count: 124M shares</w:t>
      </w:r>
    </w:p>
    <w:p w14:paraId="07195329">
      <w:pPr>
        <w:rPr>
          <w:rFonts w:hint="eastAsia"/>
          <w:sz w:val="24"/>
          <w:szCs w:val="24"/>
        </w:rPr>
      </w:pPr>
      <w:r>
        <w:rPr>
          <w:rFonts w:hint="eastAsia"/>
          <w:sz w:val="24"/>
          <w:szCs w:val="24"/>
        </w:rPr>
        <w:t xml:space="preserve"> </w:t>
      </w:r>
    </w:p>
    <w:p w14:paraId="55248E97">
      <w:pPr>
        <w:rPr>
          <w:rFonts w:hint="eastAsia"/>
          <w:sz w:val="24"/>
          <w:szCs w:val="24"/>
        </w:rPr>
      </w:pPr>
      <w:r>
        <w:rPr>
          <w:rFonts w:hint="eastAsia"/>
          <w:sz w:val="24"/>
          <w:szCs w:val="24"/>
        </w:rPr>
        <w:t>Calculation Process</w:t>
      </w:r>
    </w:p>
    <w:p w14:paraId="1590FAD6">
      <w:pPr>
        <w:rPr>
          <w:rFonts w:hint="eastAsia"/>
          <w:sz w:val="24"/>
          <w:szCs w:val="24"/>
        </w:rPr>
      </w:pPr>
      <w:r>
        <w:rPr>
          <w:rFonts w:hint="eastAsia"/>
          <w:sz w:val="24"/>
          <w:szCs w:val="24"/>
        </w:rPr>
        <w:t xml:space="preserve"> </w:t>
      </w:r>
    </w:p>
    <w:p w14:paraId="531B496D">
      <w:pPr>
        <w:rPr>
          <w:rFonts w:hint="eastAsia"/>
          <w:sz w:val="24"/>
          <w:szCs w:val="24"/>
        </w:rPr>
      </w:pPr>
      <w:r>
        <w:rPr>
          <w:rFonts w:hint="eastAsia"/>
          <w:sz w:val="24"/>
          <w:szCs w:val="24"/>
        </w:rPr>
        <w:t>- Fair Market Cap = $225M × 4.2 = $945M</w:t>
      </w:r>
    </w:p>
    <w:p w14:paraId="2F027060">
      <w:pPr>
        <w:rPr>
          <w:rFonts w:hint="eastAsia"/>
          <w:sz w:val="24"/>
          <w:szCs w:val="24"/>
        </w:rPr>
      </w:pPr>
      <w:r>
        <w:rPr>
          <w:rFonts w:hint="eastAsia"/>
          <w:sz w:val="24"/>
          <w:szCs w:val="24"/>
        </w:rPr>
        <w:t>- Target Share Price = $945M ÷ 124M = $7.60</w:t>
      </w:r>
    </w:p>
    <w:p w14:paraId="4FEB4B35">
      <w:pPr>
        <w:rPr>
          <w:rFonts w:hint="eastAsia"/>
          <w:sz w:val="24"/>
          <w:szCs w:val="24"/>
        </w:rPr>
      </w:pPr>
      <w:r>
        <w:rPr>
          <w:rFonts w:hint="eastAsia"/>
          <w:sz w:val="24"/>
          <w:szCs w:val="24"/>
        </w:rPr>
        <w:t>- Downside Space (vs. Current Price $10.30): 26.2%</w:t>
      </w:r>
    </w:p>
    <w:p w14:paraId="3E48E023">
      <w:pPr>
        <w:rPr>
          <w:rFonts w:hint="eastAsia"/>
          <w:sz w:val="24"/>
          <w:szCs w:val="24"/>
        </w:rPr>
      </w:pPr>
      <w:r>
        <w:rPr>
          <w:rFonts w:hint="eastAsia"/>
          <w:sz w:val="24"/>
          <w:szCs w:val="24"/>
        </w:rPr>
        <w:t xml:space="preserve"> </w:t>
      </w:r>
    </w:p>
    <w:p w14:paraId="7641FD8A">
      <w:pPr>
        <w:rPr>
          <w:rFonts w:hint="eastAsia"/>
          <w:sz w:val="24"/>
          <w:szCs w:val="24"/>
        </w:rPr>
      </w:pPr>
      <w:r>
        <w:rPr>
          <w:rFonts w:hint="eastAsia"/>
          <w:sz w:val="24"/>
          <w:szCs w:val="24"/>
        </w:rPr>
        <w:t>The valuation result fully supports the SELL investment recommendation.</w:t>
      </w:r>
    </w:p>
    <w:p w14:paraId="3AA0B2A0">
      <w:pPr>
        <w:rPr>
          <w:rFonts w:hint="eastAsia"/>
          <w:sz w:val="24"/>
          <w:szCs w:val="24"/>
        </w:rPr>
      </w:pPr>
      <w:r>
        <w:rPr>
          <w:rFonts w:hint="eastAsia"/>
          <w:sz w:val="24"/>
          <w:szCs w:val="24"/>
        </w:rPr>
        <w:t xml:space="preserve"> </w:t>
      </w:r>
    </w:p>
    <w:p w14:paraId="2C2604B6">
      <w:pPr>
        <w:rPr>
          <w:rFonts w:hint="eastAsia"/>
          <w:sz w:val="24"/>
          <w:szCs w:val="24"/>
        </w:rPr>
      </w:pPr>
      <w:r>
        <w:rPr>
          <w:rFonts w:hint="eastAsia"/>
          <w:sz w:val="24"/>
          <w:szCs w:val="24"/>
        </w:rPr>
        <w:t>4. Core Investment Risks (Two Required Risks)</w:t>
      </w:r>
    </w:p>
    <w:p w14:paraId="2D970C7B">
      <w:pPr>
        <w:rPr>
          <w:rFonts w:hint="eastAsia"/>
          <w:sz w:val="24"/>
          <w:szCs w:val="24"/>
        </w:rPr>
      </w:pPr>
      <w:r>
        <w:rPr>
          <w:rFonts w:hint="eastAsia"/>
          <w:sz w:val="24"/>
          <w:szCs w:val="24"/>
        </w:rPr>
        <w:t xml:space="preserve"> </w:t>
      </w:r>
    </w:p>
    <w:p w14:paraId="5999BB78">
      <w:pPr>
        <w:rPr>
          <w:rFonts w:hint="eastAsia"/>
          <w:sz w:val="24"/>
          <w:szCs w:val="24"/>
        </w:rPr>
      </w:pPr>
      <w:r>
        <w:rPr>
          <w:rFonts w:hint="eastAsia"/>
          <w:sz w:val="24"/>
          <w:szCs w:val="24"/>
        </w:rPr>
        <w:t>Risk 1: Crushing Competition from Hyper-scale Cloud Giants</w:t>
      </w:r>
    </w:p>
    <w:p w14:paraId="4A8A8F98">
      <w:pPr>
        <w:rPr>
          <w:rFonts w:hint="eastAsia"/>
          <w:sz w:val="24"/>
          <w:szCs w:val="24"/>
        </w:rPr>
      </w:pPr>
      <w:r>
        <w:rPr>
          <w:rFonts w:hint="eastAsia"/>
          <w:sz w:val="24"/>
          <w:szCs w:val="24"/>
        </w:rPr>
        <w:t xml:space="preserve"> </w:t>
      </w:r>
    </w:p>
    <w:p w14:paraId="1A34E34B">
      <w:pPr>
        <w:rPr>
          <w:rFonts w:hint="eastAsia"/>
          <w:sz w:val="24"/>
          <w:szCs w:val="24"/>
        </w:rPr>
      </w:pPr>
      <w:r>
        <w:rPr>
          <w:rFonts w:hint="eastAsia"/>
          <w:sz w:val="24"/>
          <w:szCs w:val="24"/>
        </w:rPr>
        <w:t>Risk Impact</w:t>
      </w:r>
    </w:p>
    <w:p w14:paraId="2CB88479">
      <w:pPr>
        <w:rPr>
          <w:rFonts w:hint="eastAsia"/>
          <w:sz w:val="24"/>
          <w:szCs w:val="24"/>
        </w:rPr>
      </w:pPr>
      <w:r>
        <w:rPr>
          <w:rFonts w:hint="eastAsia"/>
          <w:sz w:val="24"/>
          <w:szCs w:val="24"/>
        </w:rPr>
        <w:t xml:space="preserve"> </w:t>
      </w:r>
    </w:p>
    <w:p w14:paraId="5D4389FA">
      <w:pPr>
        <w:rPr>
          <w:rFonts w:hint="eastAsia"/>
          <w:sz w:val="24"/>
          <w:szCs w:val="24"/>
        </w:rPr>
      </w:pPr>
      <w:r>
        <w:rPr>
          <w:rFonts w:hint="eastAsia"/>
          <w:sz w:val="24"/>
          <w:szCs w:val="24"/>
        </w:rPr>
        <w:t>Microsoft, AWS and Google have embedded industrial generative AI functions in their mainstream cloud service packages, providing zero-incremental-cost AI tools for enterprise clients. A large number of trial customers of C3.ai have switched to integrated cloud-native AI solutions, directly leading to the sharp revenue contraction in FY2026, which forms a long-term irreversible competitive disadvantage.</w:t>
      </w:r>
    </w:p>
    <w:p w14:paraId="0CDCA788">
      <w:pPr>
        <w:rPr>
          <w:rFonts w:hint="eastAsia"/>
          <w:sz w:val="24"/>
          <w:szCs w:val="24"/>
        </w:rPr>
      </w:pPr>
      <w:r>
        <w:rPr>
          <w:rFonts w:hint="eastAsia"/>
          <w:sz w:val="24"/>
          <w:szCs w:val="24"/>
        </w:rPr>
        <w:t xml:space="preserve"> </w:t>
      </w:r>
    </w:p>
    <w:p w14:paraId="4EE31993">
      <w:pPr>
        <w:rPr>
          <w:rFonts w:hint="eastAsia"/>
          <w:sz w:val="24"/>
          <w:szCs w:val="24"/>
        </w:rPr>
      </w:pPr>
      <w:r>
        <w:rPr>
          <w:rFonts w:hint="eastAsia"/>
          <w:sz w:val="24"/>
          <w:szCs w:val="24"/>
        </w:rPr>
        <w:t>Potential Catalysts &amp; Success Probability</w:t>
      </w:r>
    </w:p>
    <w:p w14:paraId="253799F8">
      <w:pPr>
        <w:rPr>
          <w:rFonts w:hint="eastAsia"/>
          <w:sz w:val="24"/>
          <w:szCs w:val="24"/>
        </w:rPr>
      </w:pPr>
      <w:r>
        <w:rPr>
          <w:rFonts w:hint="eastAsia"/>
          <w:sz w:val="24"/>
          <w:szCs w:val="24"/>
        </w:rPr>
        <w:t xml:space="preserve"> </w:t>
      </w:r>
    </w:p>
    <w:p w14:paraId="54797537">
      <w:pPr>
        <w:rPr>
          <w:rFonts w:hint="eastAsia"/>
          <w:sz w:val="24"/>
          <w:szCs w:val="24"/>
        </w:rPr>
      </w:pPr>
      <w:r>
        <w:rPr>
          <w:rFonts w:hint="eastAsia"/>
          <w:sz w:val="24"/>
          <w:szCs w:val="24"/>
        </w:rPr>
        <w:t>Strive for exclusive long-term joint R&amp;D and co-branding cooperation with top cloud vendors to lock in customer resources.</w:t>
      </w:r>
    </w:p>
    <w:p w14:paraId="3265A929">
      <w:pPr>
        <w:rPr>
          <w:rFonts w:hint="eastAsia"/>
          <w:sz w:val="24"/>
          <w:szCs w:val="24"/>
        </w:rPr>
      </w:pPr>
      <w:r>
        <w:rPr>
          <w:rFonts w:hint="eastAsia"/>
          <w:sz w:val="24"/>
          <w:szCs w:val="24"/>
        </w:rPr>
        <w:t>Success Probability: 20%</w:t>
      </w:r>
    </w:p>
    <w:p w14:paraId="27233B1A">
      <w:pPr>
        <w:rPr>
          <w:rFonts w:hint="eastAsia"/>
          <w:sz w:val="24"/>
          <w:szCs w:val="24"/>
        </w:rPr>
      </w:pPr>
      <w:r>
        <w:rPr>
          <w:rFonts w:hint="eastAsia"/>
          <w:sz w:val="24"/>
          <w:szCs w:val="24"/>
        </w:rPr>
        <w:t>Cloud giants prioritize their self-developed AI business layout and are unwilling to carry out in-depth exclusive cooperation with independent third-party middleware vendors.</w:t>
      </w:r>
    </w:p>
    <w:p w14:paraId="6F95A0C3">
      <w:pPr>
        <w:rPr>
          <w:rFonts w:hint="eastAsia"/>
          <w:sz w:val="24"/>
          <w:szCs w:val="24"/>
        </w:rPr>
      </w:pPr>
      <w:r>
        <w:rPr>
          <w:rFonts w:hint="eastAsia"/>
          <w:sz w:val="24"/>
          <w:szCs w:val="24"/>
        </w:rPr>
        <w:t xml:space="preserve"> </w:t>
      </w:r>
    </w:p>
    <w:p w14:paraId="76C3B89A">
      <w:pPr>
        <w:rPr>
          <w:rFonts w:hint="eastAsia"/>
          <w:sz w:val="24"/>
          <w:szCs w:val="24"/>
        </w:rPr>
      </w:pPr>
      <w:r>
        <w:rPr>
          <w:rFonts w:hint="eastAsia"/>
          <w:sz w:val="24"/>
          <w:szCs w:val="24"/>
        </w:rPr>
        <w:t>Risk 2: High Customer Concentration + Cyclical Industrial Capital Expenditure Downturn</w:t>
      </w:r>
    </w:p>
    <w:p w14:paraId="01F47817">
      <w:pPr>
        <w:rPr>
          <w:rFonts w:hint="eastAsia"/>
          <w:sz w:val="24"/>
          <w:szCs w:val="24"/>
        </w:rPr>
      </w:pPr>
      <w:r>
        <w:rPr>
          <w:rFonts w:hint="eastAsia"/>
          <w:sz w:val="24"/>
          <w:szCs w:val="24"/>
        </w:rPr>
        <w:t xml:space="preserve"> </w:t>
      </w:r>
    </w:p>
    <w:p w14:paraId="791A63AB">
      <w:pPr>
        <w:rPr>
          <w:rFonts w:hint="eastAsia"/>
          <w:sz w:val="24"/>
          <w:szCs w:val="24"/>
        </w:rPr>
      </w:pPr>
      <w:r>
        <w:rPr>
          <w:rFonts w:hint="eastAsia"/>
          <w:sz w:val="24"/>
          <w:szCs w:val="24"/>
        </w:rPr>
        <w:t>Risk Impact</w:t>
      </w:r>
    </w:p>
    <w:p w14:paraId="66F2C43A">
      <w:pPr>
        <w:rPr>
          <w:rFonts w:hint="eastAsia"/>
          <w:sz w:val="24"/>
          <w:szCs w:val="24"/>
        </w:rPr>
      </w:pPr>
      <w:r>
        <w:rPr>
          <w:rFonts w:hint="eastAsia"/>
          <w:sz w:val="24"/>
          <w:szCs w:val="24"/>
        </w:rPr>
        <w:t xml:space="preserve"> </w:t>
      </w:r>
    </w:p>
    <w:p w14:paraId="24522704">
      <w:pPr>
        <w:rPr>
          <w:rFonts w:hint="eastAsia"/>
          <w:sz w:val="24"/>
          <w:szCs w:val="24"/>
        </w:rPr>
      </w:pPr>
      <w:r>
        <w:rPr>
          <w:rFonts w:hint="eastAsia"/>
          <w:sz w:val="24"/>
          <w:szCs w:val="24"/>
        </w:rPr>
        <w:t>The company’s revenue is highly dependent on energy and manufacturing industrial clients. Under macroeconomic pressure, industrial enterprises will cut IT digital transformation budgets, delay AI platform deployment and suspend multi-year subscription contracts. The single customer structure leads to extremely unstable revenue and strong cyclical downside pressure.</w:t>
      </w:r>
    </w:p>
    <w:p w14:paraId="4D851AAF">
      <w:pPr>
        <w:rPr>
          <w:rFonts w:hint="eastAsia"/>
          <w:sz w:val="24"/>
          <w:szCs w:val="24"/>
        </w:rPr>
      </w:pPr>
      <w:r>
        <w:rPr>
          <w:rFonts w:hint="eastAsia"/>
          <w:sz w:val="24"/>
          <w:szCs w:val="24"/>
        </w:rPr>
        <w:t xml:space="preserve"> </w:t>
      </w:r>
    </w:p>
    <w:p w14:paraId="075D5C1A">
      <w:pPr>
        <w:rPr>
          <w:rFonts w:hint="eastAsia"/>
          <w:sz w:val="24"/>
          <w:szCs w:val="24"/>
        </w:rPr>
      </w:pPr>
      <w:r>
        <w:rPr>
          <w:rFonts w:hint="eastAsia"/>
          <w:sz w:val="24"/>
          <w:szCs w:val="24"/>
        </w:rPr>
        <w:t>Potential Catalysts &amp; Success Probability</w:t>
      </w:r>
    </w:p>
    <w:p w14:paraId="436A1E2A">
      <w:pPr>
        <w:rPr>
          <w:rFonts w:hint="eastAsia"/>
          <w:sz w:val="24"/>
          <w:szCs w:val="24"/>
        </w:rPr>
      </w:pPr>
      <w:r>
        <w:rPr>
          <w:rFonts w:hint="eastAsia"/>
          <w:sz w:val="24"/>
          <w:szCs w:val="24"/>
        </w:rPr>
        <w:t xml:space="preserve"> </w:t>
      </w:r>
    </w:p>
    <w:p w14:paraId="6E43D846">
      <w:pPr>
        <w:rPr>
          <w:rFonts w:hint="eastAsia"/>
          <w:sz w:val="24"/>
          <w:szCs w:val="24"/>
        </w:rPr>
      </w:pPr>
      <w:r>
        <w:rPr>
          <w:rFonts w:hint="eastAsia"/>
          <w:sz w:val="24"/>
          <w:szCs w:val="24"/>
        </w:rPr>
        <w:t>Quickly expand small and medium-sized enterprise customers, and win large-scale long-term federal defense AI orders to realize revenue diversification.</w:t>
      </w:r>
    </w:p>
    <w:p w14:paraId="141FD43F">
      <w:pPr>
        <w:rPr>
          <w:rFonts w:hint="eastAsia"/>
          <w:sz w:val="24"/>
          <w:szCs w:val="24"/>
        </w:rPr>
      </w:pPr>
      <w:r>
        <w:rPr>
          <w:rFonts w:hint="eastAsia"/>
          <w:sz w:val="24"/>
          <w:szCs w:val="24"/>
        </w:rPr>
        <w:t>Success Probability: 25%</w:t>
      </w:r>
    </w:p>
    <w:p w14:paraId="06476103">
      <w:pPr>
        <w:rPr>
          <w:sz w:val="24"/>
          <w:szCs w:val="24"/>
        </w:rPr>
      </w:pPr>
      <w:r>
        <w:rPr>
          <w:rFonts w:hint="eastAsia"/>
          <w:sz w:val="24"/>
          <w:szCs w:val="24"/>
        </w:rPr>
        <w:t>The company’s sales team has been greatly reduced after restructuring, resulting in insufficient new customer expansion capacity. Meanwhile, Palantir has absolute leading advantages in government compliance and military order acquisition, ma</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AFB6C">
    <w:pPr>
      <w:pStyle w:val="3"/>
      <w:rPr>
        <w:rFonts w:hint="eastAsia"/>
      </w:rPr>
    </w:pPr>
  </w:p>
  <w:p w14:paraId="293C817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703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2026-06-22T11:39:20Z</dcterms:created>
  <dc:creator>zhujiangyan</dc:creator>
  <cp:lastModifiedBy>早安</cp:lastModifiedBy>
  <dcterms:modified xsi:type="dcterms:W3CDTF">2026-06-22T12:04:20Z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eyJoZGlkIjoiODNlZWFkZDhhNzFkNmRjNjY5NWU4YjZlYWRlMDY0YzMiLCJ1c2VySWQiOiIxNjUxNzE3MDE4In0=</vt:lpwstr>
  </property>
  <property fmtid="{D5CDD505-2E9C-101B-9397-08002B2CF9AE}" pid="4" name="ICV">
    <vt:lpwstr>8ED9BA7F6AD64B908132988C4ADEA185_12</vt:lpwstr>
  </property>
</Properties>
</file>