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80" w:line="264" w:lineRule="auto"/>
        <w:jc w:val="center"/>
      </w:pPr>
      <w:r>
        <w:rPr>
          <w:rFonts w:ascii="Microsoft YaHei" w:hAnsi="Microsoft YaHei" w:eastAsia="Microsoft YaHei"/>
          <w:b/>
          <w:i w:val="0"/>
          <w:color w:val="C47A24"/>
          <w:sz w:val="22"/>
        </w:rPr>
        <w:t>项目技术说明文档</w:t>
      </w:r>
    </w:p>
    <w:p>
      <w:pPr>
        <w:spacing w:before="0" w:after="120" w:line="264" w:lineRule="auto"/>
        <w:jc w:val="center"/>
      </w:pPr>
      <w:r>
        <w:rPr>
          <w:rFonts w:ascii="Microsoft YaHei" w:hAnsi="Microsoft YaHei" w:eastAsia="Microsoft YaHei"/>
          <w:b/>
          <w:color w:val="0F4738"/>
          <w:sz w:val="52"/>
        </w:rPr>
        <w:t>知宠 ZHIPET 企业官网</w:t>
      </w:r>
    </w:p>
    <w:p>
      <w:pPr>
        <w:spacing w:before="0" w:after="360" w:line="264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05B54"/>
          <w:sz w:val="26"/>
        </w:rPr>
        <w:t>基于 Nuxt 4、Vue 3、TypeScript 与 SCSS 的企业级静态官网工程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23560" cy="3592830"/>
            <wp:docPr id="1" name="Picture 1" descr="封面图：知宠官网首页首屏预览" title="封面图：知宠官网首页首屏预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59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i/>
          <w:color w:val="605B54"/>
          <w:sz w:val="17"/>
        </w:rPr>
        <w:t>封面图：知宠官网首页首屏预览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i w:val="0"/>
          <w:color w:val="232323"/>
          <w:sz w:val="20"/>
        </w:rPr>
        <w:t>首页采用沉浸式宠物与产品互动视觉，围绕“更懂陪伴，更守护健康”的品牌叙事展开。图中内容来自当前本地运行页面截图。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AD7CC"/>
          <w:left w:val="single" w:sz="6" w:space="0" w:color="DAD7CC"/>
          <w:bottom w:val="single" w:sz="6" w:space="0" w:color="DAD7CC"/>
          <w:right w:val="single" w:sz="6" w:space="0" w:color="DAD7CC"/>
          <w:insideH w:val="single" w:sz="6" w:space="0" w:color="DAD7CC"/>
          <w:insideV w:val="single" w:sz="6" w:space="0" w:color="DAD7C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4EE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20"/>
              </w:rPr>
              <w:t>项目名称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20"/>
              </w:rPr>
              <w:t>知宠 ZHIPET 企业官网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20"/>
              </w:rPr>
              <w:t>项目路径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20"/>
              </w:rPr>
              <w:t>D:\zhipet-official-site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20"/>
              </w:rPr>
              <w:t>当前分支 / 提交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20"/>
              </w:rPr>
              <w:t>main / d3a892e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20"/>
              </w:rPr>
              <w:t>技术栈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20"/>
              </w:rPr>
              <w:t>Nuxt 4、Vue 3、TypeScript、SCSS、pnpm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20"/>
              </w:rPr>
              <w:t>部署方式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20"/>
              </w:rPr>
              <w:t>Nuxt 静态生成 + GitHub Pages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20"/>
              </w:rPr>
              <w:t>文档日期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20"/>
              </w:rPr>
              <w:t>2026-07-09</w:t>
            </w:r>
          </w:p>
        </w:tc>
      </w:tr>
    </w:tbl>
    <w:p/>
    <w:p>
      <w:r>
        <w:br w:type="page"/>
      </w:r>
    </w:p>
    <w:p>
      <w:pPr>
        <w:spacing w:before="320" w:after="160" w:line="276" w:lineRule="auto"/>
      </w:pPr>
      <w:r>
        <w:rPr>
          <w:rFonts w:ascii="Microsoft YaHei" w:hAnsi="Microsoft YaHei" w:eastAsia="Microsoft YaHei"/>
          <w:b/>
          <w:color w:val="0F4738"/>
          <w:sz w:val="34"/>
        </w:rPr>
        <w:t>1. 项目概述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32323"/>
          <w:sz w:val="22"/>
        </w:rPr>
        <w:t>本项目是知宠 ZHIPET 企业官网前端工程，目标是构建一个面向品牌展示、产品说明、解决方案介绍、健康研究内容运营与预约咨询的官方网站。项目采用 Nuxt 4 文件路由与 Vue 3 组件化架构，最终通过静态生成方式发布到 GitHub Pages。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6E2DA"/>
          <w:left w:val="single" w:sz="4" w:space="0" w:color="D6E2DA"/>
          <w:bottom w:val="single" w:sz="4" w:space="0" w:color="D6E2DA"/>
          <w:right w:val="single" w:sz="4" w:space="0" w:color="D6E2DA"/>
          <w:insideH w:val="single" w:sz="4" w:space="0" w:color="D6E2DA"/>
          <w:insideV w:val="single" w:sz="4" w:space="0" w:color="D6E2DA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1EC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0F4738"/>
                <w:sz w:val="22"/>
              </w:rPr>
              <w:t>项目边界说明</w:t>
            </w:r>
          </w:p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605B54"/>
                <w:sz w:val="20"/>
              </w:rPr>
              <w:t>当前页面属于官网前端展示与交互系统不声明未经核实的量产参数、客户案例、医疗级能力、团队资质或备案信息。缺失或未核实内容不进入公开页面。</w:t>
            </w:r>
          </w:p>
        </w:tc>
        <w:trPr>
          <w:tblHeader/>
        </w:trPr>
      </w:tr>
    </w:tbl>
    <w:p/>
    <w:p>
      <w:pPr>
        <w:pStyle w:val="ListBullet"/>
        <w:spacing w:before="0" w:after="80" w:line="276" w:lineRule="auto"/>
        <w:ind w:left="360" w:hanging="144"/>
      </w:pPr>
      <w:r>
        <w:rPr>
          <w:rFonts w:ascii="Microsoft YaHei" w:hAnsi="Microsoft YaHei" w:eastAsia="Microsoft YaHei"/>
          <w:color w:val="232323"/>
          <w:sz w:val="21"/>
        </w:rPr>
        <w:t>首页突出品牌叙事和沉浸式视觉，引导用户理解产品价值。</w:t>
      </w:r>
    </w:p>
    <w:p>
      <w:pPr>
        <w:pStyle w:val="ListBullet"/>
        <w:spacing w:before="0" w:after="80" w:line="276" w:lineRule="auto"/>
        <w:ind w:left="360" w:hanging="144"/>
      </w:pPr>
      <w:r>
        <w:rPr>
          <w:rFonts w:ascii="Microsoft YaHei" w:hAnsi="Microsoft YaHei" w:eastAsia="Microsoft YaHei"/>
          <w:color w:val="232323"/>
          <w:sz w:val="21"/>
        </w:rPr>
        <w:t>产品页围绕智能项圈、App 与健康档案能力展开，避免夸大硬件和医疗能力。</w:t>
      </w:r>
    </w:p>
    <w:p>
      <w:pPr>
        <w:pStyle w:val="ListBullet"/>
        <w:spacing w:before="0" w:after="80" w:line="276" w:lineRule="auto"/>
        <w:ind w:left="360" w:hanging="144"/>
      </w:pPr>
      <w:r>
        <w:rPr>
          <w:rFonts w:ascii="Microsoft YaHei" w:hAnsi="Microsoft YaHei" w:eastAsia="Microsoft YaHei"/>
          <w:color w:val="232323"/>
          <w:sz w:val="21"/>
        </w:rPr>
        <w:t>解决方案页覆盖家庭养宠、宠物医院、宠物门店/机构三类场景。</w:t>
      </w:r>
    </w:p>
    <w:p>
      <w:pPr>
        <w:pStyle w:val="ListBullet"/>
        <w:spacing w:before="0" w:after="80" w:line="276" w:lineRule="auto"/>
        <w:ind w:left="360" w:hanging="144"/>
      </w:pPr>
      <w:r>
        <w:rPr>
          <w:rFonts w:ascii="Microsoft YaHei" w:hAnsi="Microsoft YaHei" w:eastAsia="Microsoft YaHei"/>
          <w:color w:val="232323"/>
          <w:sz w:val="21"/>
        </w:rPr>
        <w:t>健康研究院使用 Markdown 内容运营，支持文章列表、分类筛选和详情页。</w:t>
      </w:r>
    </w:p>
    <w:p>
      <w:pPr>
        <w:pStyle w:val="ListBullet"/>
        <w:spacing w:before="0" w:after="80" w:line="276" w:lineRule="auto"/>
        <w:ind w:left="360" w:hanging="144"/>
      </w:pPr>
      <w:r>
        <w:rPr>
          <w:rFonts w:ascii="Microsoft YaHei" w:hAnsi="Microsoft YaHei" w:eastAsia="Microsoft YaHei"/>
          <w:color w:val="232323"/>
          <w:sz w:val="21"/>
        </w:rPr>
        <w:t>帮助、预约、登录注册、隐私政策和服务条款页面为静态前端入口或占位说明。</w:t>
      </w:r>
    </w:p>
    <w:p>
      <w:pPr>
        <w:spacing w:before="320" w:after="160" w:line="276" w:lineRule="auto"/>
      </w:pPr>
      <w:r>
        <w:rPr>
          <w:rFonts w:ascii="Microsoft YaHei" w:hAnsi="Microsoft YaHei" w:eastAsia="Microsoft YaHei"/>
          <w:b/>
          <w:color w:val="0F4738"/>
          <w:sz w:val="34"/>
        </w:rPr>
        <w:t>2. 技术栈与工程配置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AD7CC"/>
          <w:left w:val="single" w:sz="6" w:space="0" w:color="DAD7CC"/>
          <w:bottom w:val="single" w:sz="6" w:space="0" w:color="DAD7CC"/>
          <w:right w:val="single" w:sz="6" w:space="0" w:color="DAD7CC"/>
          <w:insideH w:val="single" w:sz="6" w:space="0" w:color="DAD7CC"/>
          <w:insideV w:val="single" w:sz="6" w:space="0" w:color="DAD7C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4EE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19"/>
              </w:rPr>
              <w:t>类别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4EE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19"/>
              </w:rPr>
              <w:t>选型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4EE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19"/>
              </w:rPr>
              <w:t>说明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框架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Nuxt 4 / Vue 3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使用文件路由、组件化开发和静态生成能力。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语言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TypeScript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为页面数据、组件属性和工具函数提供类型约束。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样式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SCSS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通过 tokens、排版、布局和组件样式形成统一视觉系统。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内容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@nuxt/content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健康研究院 Markdown 内容可持续维护。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包管理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pnpm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通过 packageManager 锁定 pnpm 版本，提升依赖安装一致性。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测试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Vitest / Playwright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单元测试验证组件和数据，端到端测试验证页面可访问性和关键流程。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部署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GitHub Pages</w:t>
            </w:r>
          </w:p>
        </w:tc>
        <w:tc>
          <w:tcPr>
            <w:tcW w:type="dxa" w:w="54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使用 pnpm generate 生成 .output/public，再同步到 gh-pages 分支。</w:t>
            </w:r>
          </w:p>
        </w:tc>
      </w:tr>
    </w:tbl>
    <w:p/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32323"/>
          <w:sz w:val="21"/>
        </w:rPr>
        <w:t>VSCode 运行问题已定位为系统 PATH 优先使用 DevEco Studio 自带 Node 18，导致 Nuxt CLI 依赖的 node:util.styleText 不可用。当前 .vscode 配置已固定使用 C:\Users\Administrator\nodejs 下的 Node 24 与 pnpm。</w:t>
      </w:r>
    </w:p>
    <w:p>
      <w:pPr>
        <w:spacing w:before="320" w:after="160" w:line="276" w:lineRule="auto"/>
      </w:pPr>
      <w:r>
        <w:rPr>
          <w:rFonts w:ascii="Microsoft YaHei" w:hAnsi="Microsoft YaHei" w:eastAsia="Microsoft YaHei"/>
          <w:b/>
          <w:color w:val="0F4738"/>
          <w:sz w:val="34"/>
        </w:rPr>
        <w:t>3. 项目目录结构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240280" cy="6649283"/>
            <wp:docPr id="2" name="Picture 2" descr="图 1：VSCode 中的项目根目录结构" title="图 1：VSCode 中的项目根目录结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scode-stru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6649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i/>
          <w:color w:val="605B54"/>
          <w:sz w:val="17"/>
        </w:rPr>
        <w:t>图 1：VSCode 中的项目根目录结构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i w:val="0"/>
          <w:color w:val="232323"/>
          <w:sz w:val="20"/>
        </w:rPr>
        <w:t>灰色目录通常是 .gitignore 忽略的依赖、缓存或构建产物，例如 .nuxt、.output、.data、node_modules、dist。真正需要重点维护的源码主要集中在 app、content、public、server、tests 和配置文件中。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AD7CC"/>
          <w:left w:val="single" w:sz="6" w:space="0" w:color="DAD7CC"/>
          <w:bottom w:val="single" w:sz="6" w:space="0" w:color="DAD7CC"/>
          <w:right w:val="single" w:sz="6" w:space="0" w:color="DAD7CC"/>
          <w:insideH w:val="single" w:sz="6" w:space="0" w:color="DAD7CC"/>
          <w:insideV w:val="single" w:sz="6" w:space="0" w:color="DAD7C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4EE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19"/>
              </w:rPr>
              <w:t>目录 / 文件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4EE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19"/>
              </w:rPr>
              <w:t>作用说明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app/pages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Nuxt 文件路由目录，承载首页、产品、方案、研究院、帮助、登录等页面。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app/components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组件目录，拆分基础组件、布局组件、首页模块、产品模块和解决方案模块。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app/data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结构化内容目录，集中维护导航、产品、方案、首页 V2 数据和站点页面配置。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app/assets/styles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SCSS 设计系统入口，包含 tokens、排版、布局和组件样式。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content/research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健康研究院 Markdown 内容目录，每篇文章可生成研究院详情页。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public/images/generated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页面使用的生成素材和视觉资源，作为静态资源直接引用。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server/routes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robots.txt、sitemap.xml 等 SEO 相关动态路由，生成时预渲染。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tests/unit / tests/e2e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单元测试与端到端测试，覆盖组件、数据、页面访问和关键交互。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.vscode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VSCode 调试与任务配置，确保本地运行使用正确 Node/pnpm。</w:t>
            </w:r>
          </w:p>
        </w:tc>
      </w:tr>
    </w:tbl>
    <w:p/>
    <w:p>
      <w:pPr>
        <w:spacing w:before="320" w:after="160" w:line="276" w:lineRule="auto"/>
      </w:pPr>
      <w:r>
        <w:rPr>
          <w:rFonts w:ascii="Microsoft YaHei" w:hAnsi="Microsoft YaHei" w:eastAsia="Microsoft YaHei"/>
          <w:b/>
          <w:color w:val="0F4738"/>
          <w:sz w:val="34"/>
        </w:rPr>
        <w:t>4. 前端架构设计</w:t>
      </w:r>
    </w:p>
    <w:p>
      <w:pPr>
        <w:spacing w:before="240" w:after="120" w:line="276" w:lineRule="auto"/>
      </w:pPr>
      <w:r>
        <w:rPr>
          <w:rFonts w:ascii="Microsoft YaHei" w:hAnsi="Microsoft YaHei" w:eastAsia="Microsoft YaHei"/>
          <w:b/>
          <w:color w:val="0F4738"/>
          <w:sz w:val="27"/>
        </w:rPr>
        <w:t>4.1 文件路由与页面拆分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32323"/>
          <w:sz w:val="22"/>
        </w:rPr>
        <w:t>项目使用 Nuxt 文件路由。页面文件放在 app/pages 下，目录结构直接对应访问路径，例如 app/pages/products/index.vue 对应 /products，app/pages/research/[slug].vue 对应研究院文章详情页。</w:t>
      </w:r>
    </w:p>
    <w:p>
      <w:pPr>
        <w:spacing w:before="240" w:after="120" w:line="276" w:lineRule="auto"/>
      </w:pPr>
      <w:r>
        <w:rPr>
          <w:rFonts w:ascii="Microsoft YaHei" w:hAnsi="Microsoft YaHei" w:eastAsia="Microsoft YaHei"/>
          <w:b/>
          <w:color w:val="0F4738"/>
          <w:sz w:val="27"/>
        </w:rPr>
        <w:t>4.2 组件化复用</w:t>
      </w:r>
    </w:p>
    <w:p>
      <w:pPr>
        <w:pStyle w:val="ListBullet"/>
        <w:spacing w:before="0" w:after="80" w:line="276" w:lineRule="auto"/>
        <w:ind w:left="360" w:hanging="144"/>
      </w:pPr>
      <w:r>
        <w:rPr>
          <w:rFonts w:ascii="Microsoft YaHei" w:hAnsi="Microsoft YaHei" w:eastAsia="Microsoft YaHei"/>
          <w:color w:val="232323"/>
          <w:sz w:val="21"/>
        </w:rPr>
        <w:t>base 组件负责按钮、图标、图片、输入框、标签等基础能力。</w:t>
      </w:r>
    </w:p>
    <w:p>
      <w:pPr>
        <w:pStyle w:val="ListBullet"/>
        <w:spacing w:before="0" w:after="80" w:line="276" w:lineRule="auto"/>
        <w:ind w:left="360" w:hanging="144"/>
      </w:pPr>
      <w:r>
        <w:rPr>
          <w:rFonts w:ascii="Microsoft YaHei" w:hAnsi="Microsoft YaHei" w:eastAsia="Microsoft YaHei"/>
          <w:color w:val="232323"/>
          <w:sz w:val="21"/>
        </w:rPr>
        <w:t>layout 组件负责顶部导航、移动端菜单、页脚、一键回到顶部按钮等全局结构。</w:t>
      </w:r>
    </w:p>
    <w:p>
      <w:pPr>
        <w:pStyle w:val="ListBullet"/>
        <w:spacing w:before="0" w:after="80" w:line="276" w:lineRule="auto"/>
        <w:ind w:left="360" w:hanging="144"/>
      </w:pPr>
      <w:r>
        <w:rPr>
          <w:rFonts w:ascii="Microsoft YaHei" w:hAnsi="Microsoft YaHei" w:eastAsia="Microsoft YaHei"/>
          <w:color w:val="232323"/>
          <w:sz w:val="21"/>
        </w:rPr>
        <w:t>home 组件负责首页沉浸式首屏、App 面板和产品叙事模块。</w:t>
      </w:r>
    </w:p>
    <w:p>
      <w:pPr>
        <w:pStyle w:val="ListBullet"/>
        <w:spacing w:before="0" w:after="80" w:line="276" w:lineRule="auto"/>
        <w:ind w:left="360" w:hanging="144"/>
      </w:pPr>
      <w:r>
        <w:rPr>
          <w:rFonts w:ascii="Microsoft YaHei" w:hAnsi="Microsoft YaHei" w:eastAsia="Microsoft YaHei"/>
          <w:color w:val="232323"/>
          <w:sz w:val="21"/>
        </w:rPr>
        <w:t>products 与 solutions 组件负责详情页复用，避免每个页面重复写完整结构。</w:t>
      </w:r>
    </w:p>
    <w:p>
      <w:pPr>
        <w:spacing w:before="240" w:after="120" w:line="276" w:lineRule="auto"/>
      </w:pPr>
      <w:r>
        <w:rPr>
          <w:rFonts w:ascii="Microsoft YaHei" w:hAnsi="Microsoft YaHei" w:eastAsia="Microsoft YaHei"/>
          <w:b/>
          <w:color w:val="0F4738"/>
          <w:sz w:val="27"/>
        </w:rPr>
        <w:t>4.3 数据驱动页面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32323"/>
          <w:sz w:val="22"/>
        </w:rPr>
        <w:t>产品、解决方案、首页叙事和站点导航均通过 app/data 维护。页面组件更多负责布局和渲染，内容变更时优先修改数据文件，降低重复代码和维护成本。</w:t>
      </w:r>
    </w:p>
    <w:p>
      <w:pPr>
        <w:spacing w:before="320" w:after="160" w:line="276" w:lineRule="auto"/>
      </w:pPr>
      <w:r>
        <w:rPr>
          <w:rFonts w:ascii="Microsoft YaHei" w:hAnsi="Microsoft YaHei" w:eastAsia="Microsoft YaHei"/>
          <w:b/>
          <w:color w:val="0F4738"/>
          <w:sz w:val="34"/>
        </w:rPr>
        <w:t>5. 核心页面截图与说明</w:t>
      </w:r>
    </w:p>
    <w:p>
      <w:pPr>
        <w:spacing w:before="240" w:after="120" w:line="276" w:lineRule="auto"/>
      </w:pPr>
      <w:r>
        <w:rPr>
          <w:rFonts w:ascii="Microsoft YaHei" w:hAnsi="Microsoft YaHei" w:eastAsia="Microsoft YaHei"/>
          <w:b/>
          <w:color w:val="0F4738"/>
          <w:sz w:val="27"/>
        </w:rPr>
        <w:t>5.1 首页：沉浸式品牌叙事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80460"/>
            <wp:docPr id="3" name="Picture 3" descr="图 2：首页桌面端首屏" title="图 2：首页桌面端首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i/>
          <w:color w:val="605B54"/>
          <w:sz w:val="17"/>
        </w:rPr>
        <w:t>图 2：首页桌面端首屏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i w:val="0"/>
          <w:color w:val="232323"/>
          <w:sz w:val="20"/>
        </w:rPr>
        <w:t>首页采用大幅真实感宠物场景作为背景，右侧叠加 App 健康面板，底部轮播控件支持不同叙事章节切换。页面重点是建立“设备、App、健康档案”三位一体的品牌认知。</w:t>
      </w:r>
    </w:p>
    <w:p>
      <w:pPr>
        <w:spacing w:before="240" w:after="120" w:line="276" w:lineRule="auto"/>
      </w:pPr>
      <w:r>
        <w:rPr>
          <w:rFonts w:ascii="Microsoft YaHei" w:hAnsi="Microsoft YaHei" w:eastAsia="Microsoft YaHei"/>
          <w:b/>
          <w:color w:val="0F4738"/>
          <w:sz w:val="27"/>
        </w:rPr>
        <w:t>5.2 产品中心：产品能力展示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80460"/>
            <wp:docPr id="4" name="Picture 4" descr="图 3：产品中心页面" title="图 3：产品中心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s-deskto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i/>
          <w:color w:val="605B54"/>
          <w:sz w:val="17"/>
        </w:rPr>
        <w:t>图 3：产品中心页面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i w:val="0"/>
          <w:color w:val="232323"/>
          <w:sz w:val="20"/>
        </w:rPr>
        <w:t>产品中心围绕一个核心主模块和多种佩戴方式展开，强调定位、安全提醒、健康趋势观察和 App 同步等能力。未确认硬件参数不写死，避免对真实产品能力造成误导。</w:t>
      </w:r>
    </w:p>
    <w:p>
      <w:pPr>
        <w:spacing w:before="240" w:after="120" w:line="276" w:lineRule="auto"/>
      </w:pPr>
      <w:r>
        <w:rPr>
          <w:rFonts w:ascii="Microsoft YaHei" w:hAnsi="Microsoft YaHei" w:eastAsia="Microsoft YaHei"/>
          <w:b/>
          <w:color w:val="0F4738"/>
          <w:sz w:val="27"/>
        </w:rPr>
        <w:t>5.3 解决方案：多场景服务入口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80460"/>
            <wp:docPr id="5" name="Picture 5" descr="图 4：解决方案页面" title="图 4：解决方案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lutions-deskt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i/>
          <w:color w:val="605B54"/>
          <w:sz w:val="17"/>
        </w:rPr>
        <w:t>图 4：解决方案页面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i w:val="0"/>
          <w:color w:val="232323"/>
          <w:sz w:val="20"/>
        </w:rPr>
        <w:t>解决方案页面向家庭养宠、宠物医院、宠物门店/机构等不同使用场景，突出同一套能力如何服务不同角色。页面表达保持边界清晰，不把数据观察包装成医疗诊断。</w:t>
      </w:r>
    </w:p>
    <w:p>
      <w:pPr>
        <w:spacing w:before="240" w:after="120" w:line="276" w:lineRule="auto"/>
      </w:pPr>
      <w:r>
        <w:rPr>
          <w:rFonts w:ascii="Microsoft YaHei" w:hAnsi="Microsoft YaHei" w:eastAsia="Microsoft YaHei"/>
          <w:b/>
          <w:color w:val="0F4738"/>
          <w:sz w:val="27"/>
        </w:rPr>
        <w:t>5.4 健康研究院：内容运营能力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80460"/>
            <wp:docPr id="6" name="Picture 6" descr="图 5：健康研究院页面" title="图 5：健康研究院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earch-deskto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i/>
          <w:color w:val="605B54"/>
          <w:sz w:val="17"/>
        </w:rPr>
        <w:t>图 5：健康研究院页面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i w:val="0"/>
          <w:color w:val="232323"/>
          <w:sz w:val="20"/>
        </w:rPr>
        <w:t>研究院模块使用内容列表、分类筛选、精选文章和订阅占位构成，适合作为后续品牌内容、产品认知教育和研究说明的运营入口。</w:t>
      </w:r>
    </w:p>
    <w:p>
      <w:pPr>
        <w:spacing w:before="240" w:after="120" w:line="276" w:lineRule="auto"/>
      </w:pPr>
      <w:r>
        <w:rPr>
          <w:rFonts w:ascii="Microsoft YaHei" w:hAnsi="Microsoft YaHei" w:eastAsia="Microsoft YaHei"/>
          <w:b/>
          <w:color w:val="0F4738"/>
          <w:sz w:val="27"/>
        </w:rPr>
        <w:t>5.5 帮助中心与账号入口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80460"/>
            <wp:docPr id="7" name="Picture 7" descr="图 6：帮助中心页面" title="图 6：帮助中心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lp-deskt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i/>
          <w:color w:val="605B54"/>
          <w:sz w:val="17"/>
        </w:rPr>
        <w:t>图 6：帮助中心页面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i w:val="0"/>
          <w:color w:val="232323"/>
          <w:sz w:val="20"/>
        </w:rPr>
        <w:t>帮助中心提供搜索、问题分类、FAQ 折叠问答和客服入口占位，适合承接用户使用过程中的安装、定位、续航、隐私等常见问题。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680460"/>
            <wp:docPr id="8" name="Picture 8" descr="图 7：登录注册静态页面" title="图 7：登录注册静态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-deskto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0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i/>
          <w:color w:val="605B54"/>
          <w:sz w:val="17"/>
        </w:rPr>
        <w:t>图 7：登录注册静态页面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i w:val="0"/>
          <w:color w:val="232323"/>
          <w:sz w:val="20"/>
        </w:rPr>
        <w:t>登录注册页当前为静态前端入口，不执行真实鉴权。页面保留手机号/邮箱、密码、第三方方式等界面结构，为后续账号体系接入预留空间。</w:t>
      </w:r>
    </w:p>
    <w:p>
      <w:pPr>
        <w:spacing w:before="240" w:after="120" w:line="276" w:lineRule="auto"/>
      </w:pPr>
      <w:r>
        <w:rPr>
          <w:rFonts w:ascii="Microsoft YaHei" w:hAnsi="Microsoft YaHei" w:eastAsia="Microsoft YaHei"/>
          <w:b/>
          <w:color w:val="0F4738"/>
          <w:sz w:val="27"/>
        </w:rPr>
        <w:t>5.6 移动端响应式适配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2514600" cy="5441852"/>
            <wp:docPr id="9" name="Picture 9" descr="图 8：首页移动端效果" title="图 8：首页移动端效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mob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5441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Microsoft YaHei" w:hAnsi="Microsoft YaHei" w:eastAsia="Microsoft YaHei"/>
          <w:i/>
          <w:color w:val="605B54"/>
          <w:sz w:val="17"/>
        </w:rPr>
        <w:t>图 8：首页移动端效果</w:t>
      </w:r>
    </w:p>
    <w:p>
      <w:pPr>
        <w:spacing w:before="0" w:after="160" w:line="276" w:lineRule="auto"/>
      </w:pPr>
      <w:r>
        <w:rPr>
          <w:rFonts w:ascii="Microsoft YaHei" w:hAnsi="Microsoft YaHei" w:eastAsia="Microsoft YaHei"/>
          <w:b w:val="0"/>
          <w:i w:val="0"/>
          <w:color w:val="232323"/>
          <w:sz w:val="20"/>
        </w:rPr>
        <w:t>移动端保留核心叙事、主按钮和轮播能力，同时通过移动导航和弹性布局避免横向溢出。页面交互需要兼顾触控区域、文字换行和内容层级。</w:t>
      </w:r>
    </w:p>
    <w:p>
      <w:pPr>
        <w:spacing w:before="320" w:after="160" w:line="276" w:lineRule="auto"/>
      </w:pPr>
      <w:r>
        <w:rPr>
          <w:rFonts w:ascii="Microsoft YaHei" w:hAnsi="Microsoft YaHei" w:eastAsia="Microsoft YaHei"/>
          <w:b/>
          <w:color w:val="0F4738"/>
          <w:sz w:val="34"/>
        </w:rPr>
        <w:t>6. SEO、部署与线上访问</w:t>
      </w:r>
    </w:p>
    <w:p>
      <w:pPr>
        <w:pStyle w:val="ListBullet"/>
        <w:spacing w:before="0" w:after="80" w:line="276" w:lineRule="auto"/>
        <w:ind w:left="360" w:hanging="144"/>
      </w:pPr>
      <w:r>
        <w:rPr>
          <w:rFonts w:ascii="Microsoft YaHei" w:hAnsi="Microsoft YaHei" w:eastAsia="Microsoft YaHei"/>
          <w:color w:val="232323"/>
          <w:sz w:val="21"/>
        </w:rPr>
        <w:t>通过 useSeoMeta 配置页面标题、描述和 Open Graph 信息。</w:t>
      </w:r>
    </w:p>
    <w:p>
      <w:pPr>
        <w:pStyle w:val="ListBullet"/>
        <w:spacing w:before="0" w:after="80" w:line="276" w:lineRule="auto"/>
        <w:ind w:left="360" w:hanging="144"/>
      </w:pPr>
      <w:r>
        <w:rPr>
          <w:rFonts w:ascii="Microsoft YaHei" w:hAnsi="Microsoft YaHei" w:eastAsia="Microsoft YaHei"/>
          <w:color w:val="232323"/>
          <w:sz w:val="21"/>
        </w:rPr>
        <w:t>server/routes 中生成 robots.txt 与 sitemap.xml，便于搜索引擎识别站点结构。</w:t>
      </w:r>
    </w:p>
    <w:p>
      <w:pPr>
        <w:pStyle w:val="ListBullet"/>
        <w:spacing w:before="0" w:after="80" w:line="276" w:lineRule="auto"/>
        <w:ind w:left="360" w:hanging="144"/>
      </w:pPr>
      <w:r>
        <w:rPr>
          <w:rFonts w:ascii="Microsoft YaHei" w:hAnsi="Microsoft YaHei" w:eastAsia="Microsoft YaHei"/>
          <w:color w:val="232323"/>
          <w:sz w:val="21"/>
        </w:rPr>
        <w:t>Nuxt generate 输出静态产物到 .output/public，再同步到 gh-pages 分支。</w:t>
      </w:r>
    </w:p>
    <w:p>
      <w:pPr>
        <w:pStyle w:val="ListBullet"/>
        <w:spacing w:before="0" w:after="80" w:line="276" w:lineRule="auto"/>
        <w:ind w:left="360" w:hanging="144"/>
      </w:pPr>
      <w:r>
        <w:rPr>
          <w:rFonts w:ascii="Microsoft YaHei" w:hAnsi="Microsoft YaHei" w:eastAsia="Microsoft YaHei"/>
          <w:color w:val="232323"/>
          <w:sz w:val="21"/>
        </w:rPr>
        <w:t>GitHub Pages 当前使用 gh-pages 分支根目录作为发布源。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AD7CC"/>
          <w:left w:val="single" w:sz="6" w:space="0" w:color="DAD7CC"/>
          <w:bottom w:val="single" w:sz="6" w:space="0" w:color="DAD7CC"/>
          <w:right w:val="single" w:sz="6" w:space="0" w:color="DAD7CC"/>
          <w:insideH w:val="single" w:sz="6" w:space="0" w:color="DAD7CC"/>
          <w:insideV w:val="single" w:sz="6" w:space="0" w:color="DAD7C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4EE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20"/>
              </w:rPr>
              <w:t>本地运行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20"/>
              </w:rPr>
              <w:t>pnpm dev --port 3000；默认访问 http://127.0.0.1:3000/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20"/>
              </w:rPr>
              <w:t>静态生成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20"/>
              </w:rPr>
              <w:t>pnpm generate；输出目录为 .output/public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20"/>
              </w:rPr>
              <w:t>线上地址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20"/>
              </w:rPr>
              <w:t>https://songtaoluo007-maker.github.io/zhipet-official-site/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20"/>
              </w:rPr>
              <w:t>发布分支</w:t>
            </w:r>
          </w:p>
        </w:tc>
        <w:tc>
          <w:tcPr>
            <w:tcW w:type="dxa" w:w="69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20"/>
              </w:rPr>
              <w:t>main 保存源码，gh-pages 保存静态产物</w:t>
            </w:r>
          </w:p>
        </w:tc>
      </w:tr>
    </w:tbl>
    <w:p/>
    <w:p>
      <w:pPr>
        <w:spacing w:before="320" w:after="160" w:line="276" w:lineRule="auto"/>
      </w:pPr>
      <w:r>
        <w:rPr>
          <w:rFonts w:ascii="Microsoft YaHei" w:hAnsi="Microsoft YaHei" w:eastAsia="Microsoft YaHei"/>
          <w:b/>
          <w:color w:val="0F4738"/>
          <w:sz w:val="34"/>
        </w:rPr>
        <w:t>7. 测试与质量保障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AD7CC"/>
          <w:left w:val="single" w:sz="6" w:space="0" w:color="DAD7CC"/>
          <w:bottom w:val="single" w:sz="6" w:space="0" w:color="DAD7CC"/>
          <w:right w:val="single" w:sz="6" w:space="0" w:color="DAD7CC"/>
          <w:insideH w:val="single" w:sz="6" w:space="0" w:color="DAD7CC"/>
          <w:insideV w:val="single" w:sz="6" w:space="0" w:color="DAD7CC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4EE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19"/>
              </w:rPr>
              <w:t>验证项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4EE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19"/>
              </w:rPr>
              <w:t>命令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4EE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19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代码规范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pnpm lint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使用 ESLint 检查 Vue、TypeScript 和项目代码风格。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类型检查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pnpm typecheck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通过 Nuxt / vue-tsc 检查组件和页面类型。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单元测试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pnpm test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Vitest 覆盖基础组件、站点数据和返回顶部组件等逻辑。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端到端测试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pnpm test:e2e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Playwright 覆盖桌面端与移动端页面访问、SEO、帮助中心、登录、旧路由跳转等场景。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静态生成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pnpm generate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验证页面能被预渲染为 GitHub Pages 可部署产物。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6E2DA"/>
          <w:left w:val="single" w:sz="4" w:space="0" w:color="D6E2DA"/>
          <w:bottom w:val="single" w:sz="4" w:space="0" w:color="D6E2DA"/>
          <w:right w:val="single" w:sz="4" w:space="0" w:color="D6E2DA"/>
          <w:insideH w:val="single" w:sz="4" w:space="0" w:color="D6E2DA"/>
          <w:insideV w:val="single" w:sz="4" w:space="0" w:color="D6E2DA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7F4EE"/>
          </w:tcPr>
          <w:p>
            <w:pPr>
              <w:spacing w:before="0" w:after="60" w:line="264" w:lineRule="auto"/>
            </w:pPr>
            <w:r>
              <w:rPr>
                <w:rFonts w:ascii="Microsoft YaHei" w:hAnsi="Microsoft YaHei" w:eastAsia="Microsoft YaHei"/>
                <w:b/>
                <w:color w:val="0F4738"/>
                <w:sz w:val="22"/>
              </w:rPr>
              <w:t>最近一次本地校验</w:t>
            </w:r>
          </w:p>
          <w:p>
            <w:pPr>
              <w:spacing w:before="0" w:after="0" w:line="264" w:lineRule="auto"/>
            </w:pPr>
            <w:r>
              <w:rPr>
                <w:rFonts w:ascii="Microsoft YaHei" w:hAnsi="Microsoft YaHei" w:eastAsia="Microsoft YaHei"/>
                <w:color w:val="605B54"/>
                <w:sz w:val="20"/>
              </w:rPr>
              <w:t>VSCode 运行配置修复后，已验证 lint、typecheck 和单元测试通过；前序部署验证中 e2e 共 40 条通过。后续每次较大页面改动仍应重新执行完整检查。</w:t>
            </w:r>
          </w:p>
        </w:tc>
        <w:trPr>
          <w:tblHeader/>
        </w:trPr>
      </w:tr>
    </w:tbl>
    <w:p/>
    <w:p>
      <w:pPr>
        <w:spacing w:before="320" w:after="160" w:line="276" w:lineRule="auto"/>
      </w:pPr>
      <w:r>
        <w:rPr>
          <w:rFonts w:ascii="Microsoft YaHei" w:hAnsi="Microsoft YaHei" w:eastAsia="Microsoft YaHei"/>
          <w:b/>
          <w:color w:val="0F4738"/>
          <w:sz w:val="34"/>
        </w:rPr>
        <w:t>8. VSCode 运行问题定位与修复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32323"/>
          <w:sz w:val="22"/>
        </w:rPr>
        <w:t>项目曾在 VSCode 中出现运行失败，根因是系统 PATH 中 DevEco Studio 的 Node 18 排在 Node 24 前面，导致 pnpm dev 时 Nuxt CLI 运行在 Node 18 环境下。错误表现为 node:util 中缺少 styleText 导出。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AD7CC"/>
          <w:left w:val="single" w:sz="6" w:space="0" w:color="DAD7CC"/>
          <w:bottom w:val="single" w:sz="6" w:space="0" w:color="DAD7CC"/>
          <w:right w:val="single" w:sz="6" w:space="0" w:color="DAD7CC"/>
          <w:insideH w:val="single" w:sz="6" w:space="0" w:color="DAD7CC"/>
          <w:insideV w:val="single" w:sz="6" w:space="0" w:color="DAD7CC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4EE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19"/>
              </w:rPr>
              <w:t>问题点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4EE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b/>
                <w:color w:val="0F4738"/>
                <w:sz w:val="19"/>
              </w:rPr>
              <w:t>处理方式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默认 node 指向 Node 18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.vscode/settings.json 将 C:\Users\Administrator\nodejs 提前放入 VSCode 终端 Path。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任务直接调用 pnpm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.vscode/tasks.json 固定使用 C:\Users\Administrator\nodejs\pnpm.CMD。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Chrome 调试类型兼容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Microsoft YaHei" w:hAnsi="Microsoft YaHei" w:eastAsia="Microsoft YaHei"/>
                <w:color w:val="232323"/>
                <w:sz w:val="18"/>
              </w:rPr>
              <w:t>.vscode/launch.json 使用 VSCode 当前 chrome 调试类型，并通过 preLaunchTask 启动 Nuxt。</w:t>
            </w:r>
          </w:p>
        </w:tc>
      </w:tr>
    </w:tbl>
    <w:p/>
    <w:p>
      <w:pPr>
        <w:spacing w:before="320" w:after="160" w:line="276" w:lineRule="auto"/>
      </w:pPr>
      <w:r>
        <w:rPr>
          <w:rFonts w:ascii="Microsoft YaHei" w:hAnsi="Microsoft YaHei" w:eastAsia="Microsoft YaHei"/>
          <w:b/>
          <w:color w:val="0F4738"/>
          <w:sz w:val="34"/>
        </w:rPr>
        <w:t>9. 后续优化建议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color w:val="232323"/>
          <w:sz w:val="21"/>
        </w:rPr>
        <w:t>持续完善正式产品图、品牌素材、协议文本与可核验的公开信息。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color w:val="232323"/>
          <w:sz w:val="21"/>
        </w:rPr>
        <w:t>完善公开邮箱与意见反馈的服务处理流程。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color w:val="232323"/>
          <w:sz w:val="21"/>
        </w:rPr>
        <w:t>持续优化图片体积与加载策略，降低 GitHub Pages 首屏加载压力。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color w:val="232323"/>
          <w:sz w:val="21"/>
        </w:rPr>
        <w:t>在正式上线前补充无障碍检查、隐私合规审查和真实设备能力边界说明。</w:t>
      </w:r>
    </w:p>
    <w:p>
      <w:pPr>
        <w:pStyle w:val="ListNumber"/>
        <w:spacing w:before="0" w:after="80" w:line="276" w:lineRule="auto"/>
      </w:pPr>
      <w:r>
        <w:rPr>
          <w:rFonts w:ascii="Microsoft YaHei" w:hAnsi="Microsoft YaHei" w:eastAsia="Microsoft YaHei"/>
          <w:color w:val="232323"/>
          <w:sz w:val="21"/>
        </w:rPr>
        <w:t>如后续迁移到正式域名，需要同步调整 NUXT_PUBLIC_SITE_URL、sitemap、canonical 和 Pages 配置。</w:t>
      </w:r>
    </w:p>
    <w:p>
      <w:pPr>
        <w:spacing w:before="320" w:after="160" w:line="276" w:lineRule="auto"/>
      </w:pPr>
      <w:r>
        <w:rPr>
          <w:rFonts w:ascii="Microsoft YaHei" w:hAnsi="Microsoft YaHei" w:eastAsia="Microsoft YaHei"/>
          <w:b/>
          <w:color w:val="0F4738"/>
          <w:sz w:val="34"/>
        </w:rPr>
        <w:t>10. 总结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232323"/>
          <w:sz w:val="22"/>
        </w:rPr>
        <w:t>知宠官网项目已经形成较完整的现代前端工程结构：Nuxt 文件路由负责页面组织，Vue 组件体系负责复用，TypeScript 提供类型安全，SCSS 设计系统保证视觉一致性，Markdown 内容支持研究院运营，测试与静态生成流程保障部署质量。当前版本适合作为官网展示原型和技术答辩材料，后续重点应转向真实业务内容确认与接口接入。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Microsoft YaHei" w:hAnsi="Microsoft YaHei" w:eastAsia="Microsoft YaHei"/>
        <w:color w:val="605B54"/>
        <w:sz w:val="16"/>
      </w:rPr>
      <w:t>本文件依据当前本地工程与页面截图生成；未确认信息均以“待项目方确认”为准。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Microsoft YaHei" w:hAnsi="Microsoft YaHei" w:eastAsia="Microsoft YaHei"/>
        <w:color w:val="605B54"/>
        <w:sz w:val="17"/>
      </w:rPr>
      <w:t>知宠 ZHIPET 官网项目技术说明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