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4"/>
          <w:szCs w:val="24"/>
        </w:rPr>
        <w:t xml:space="preserve">Spiekbriefje – Individueel gesprek Data Engineering (Herkansing opdracht 2)</w:t>
      </w:r>
    </w:p>
    <w:p>
      <w:pPr>
        <w:spacing w:after="80"/>
      </w:pPr>
      <w:r>
        <w:rPr>
          <w:rFonts w:ascii="Arial" w:cs="Arial" w:eastAsia="Arial" w:hAnsi="Arial"/>
          <w:b/>
          <w:bCs/>
          <w:sz w:val="24"/>
          <w:szCs w:val="24"/>
        </w:rPr>
        <w:t xml:space="preserve">Onderwerp focus: snowflaking &amp; granulariteit</w:t>
      </w:r>
    </w:p>
    <w:p>
      <w:pPr>
        <w:spacing w:after="80"/>
      </w:pPr>
      <w:r>
        <w:rPr>
          <w:rFonts w:ascii="Arial" w:cs="Arial" w:eastAsia="Arial" w:hAnsi="Arial"/>
          <w:b w:val="false"/>
          <w:bCs w:val="false"/>
          <w:sz w:val="24"/>
          <w:szCs w:val="24"/>
        </w:rPr>
        <w:t xml:space="preserve">Project: Great Outdoors – knelpunt 2 (Retouren) &amp; knelpunt 4 (Cursussen)</w:t>
      </w:r>
    </w:p>
    <w:p>
      <w:pPr>
        <w:spacing w:after="240"/>
      </w:pPr>
      <w:r>
        <w:rPr>
          <w:rFonts w:ascii="Arial" w:cs="Arial" w:eastAsia="Arial" w:hAnsi="Arial"/>
          <w:b w:val="false"/>
          <w:bCs w:val="false"/>
          <w:sz w:val="24"/>
          <w:szCs w:val="24"/>
        </w:rPr>
        <w:t xml:space="preserve">Naam / Klas: __________________________</w:t>
      </w:r>
    </w:p>
    <w:p>
      <w:pPr>
        <w:pStyle w:val="Heading1"/>
      </w:pPr>
      <w:r>
        <w:rPr>
          <w:rFonts w:ascii="Arial" w:cs="Arial" w:eastAsia="Arial" w:hAnsi="Arial"/>
          <w:b/>
          <w:bCs/>
          <w:sz w:val="24"/>
          <w:szCs w:val="24"/>
        </w:rPr>
        <w:t xml:space="preserve">1. De criteria waar ze op letten</w:t>
      </w:r>
    </w:p>
    <w:p>
      <w:pPr>
        <w:pStyle w:val="ListParagraph"/>
        <w:numPr>
          <w:ilvl w:val="0"/>
          <w:numId w:val="2"/>
        </w:numPr>
        <w:spacing w:after="70"/>
      </w:pPr>
      <w:r>
        <w:rPr>
          <w:rFonts w:ascii="Arial" w:cs="Arial" w:eastAsia="Arial" w:hAnsi="Arial"/>
          <w:sz w:val="24"/>
          <w:szCs w:val="24"/>
        </w:rPr>
        <w:t xml:space="preserve">SDM-klassen horizontaal en/of verticaal samengevoegd tot feiten en dimensies in een sterschema.</w:t>
      </w:r>
    </w:p>
    <w:p>
      <w:pPr>
        <w:pStyle w:val="ListParagraph"/>
        <w:numPr>
          <w:ilvl w:val="0"/>
          <w:numId w:val="2"/>
        </w:numPr>
        <w:spacing w:after="70"/>
      </w:pPr>
      <w:r>
        <w:rPr>
          <w:rFonts w:ascii="Arial" w:cs="Arial" w:eastAsia="Arial" w:hAnsi="Arial"/>
          <w:sz w:val="24"/>
          <w:szCs w:val="24"/>
        </w:rPr>
        <w:t xml:space="preserve">Granulariteitsverschillen correct afgehandeld in het sterschema.</w:t>
      </w:r>
    </w:p>
    <w:p>
      <w:pPr>
        <w:pStyle w:val="ListParagraph"/>
        <w:numPr>
          <w:ilvl w:val="0"/>
          <w:numId w:val="2"/>
        </w:numPr>
        <w:spacing w:after="70"/>
      </w:pPr>
      <w:r>
        <w:rPr>
          <w:rFonts w:ascii="Arial" w:cs="Arial" w:eastAsia="Arial" w:hAnsi="Arial"/>
          <w:sz w:val="24"/>
          <w:szCs w:val="24"/>
        </w:rPr>
        <w:t xml:space="preserve">Minimaal 3 afgeleide dimensie-attributen en 3 afgeleide meetwaarden.</w:t>
      </w:r>
    </w:p>
    <w:p>
      <w:pPr>
        <w:pStyle w:val="ListParagraph"/>
        <w:numPr>
          <w:ilvl w:val="0"/>
          <w:numId w:val="2"/>
        </w:numPr>
        <w:spacing w:after="70"/>
      </w:pPr>
      <w:r>
        <w:rPr>
          <w:rFonts w:ascii="Arial" w:cs="Arial" w:eastAsia="Arial" w:hAnsi="Arial"/>
          <w:sz w:val="24"/>
          <w:szCs w:val="24"/>
        </w:rPr>
        <w:t xml:space="preserve">Per sterschema-klasse een ETL-schema; min. 2 dimensies als SCD-type 2, rest SCD-type 1.</w:t>
      </w:r>
    </w:p>
    <w:p>
      <w:pPr>
        <w:pStyle w:val="Heading1"/>
      </w:pPr>
      <w:r>
        <w:rPr>
          <w:rFonts w:ascii="Arial" w:cs="Arial" w:eastAsia="Arial" w:hAnsi="Arial"/>
          <w:b/>
          <w:bCs/>
          <w:sz w:val="24"/>
          <w:szCs w:val="24"/>
        </w:rPr>
        <w:t xml:space="preserve">2. Snowflaking</w:t>
      </w:r>
    </w:p>
    <w:p>
      <w:pPr>
        <w:pStyle w:val="Heading2"/>
      </w:pPr>
      <w:r>
        <w:rPr>
          <w:rFonts w:ascii="Arial" w:cs="Arial" w:eastAsia="Arial" w:hAnsi="Arial"/>
          <w:b/>
          <w:bCs/>
          <w:sz w:val="24"/>
          <w:szCs w:val="24"/>
        </w:rPr>
        <w:t xml:space="preserve">Definitie (uit je hoofd)</w:t>
      </w:r>
    </w:p>
    <w:p>
      <w:pPr>
        <w:spacing w:after="140"/>
      </w:pPr>
      <w:r>
        <w:rPr>
          <w:rFonts w:ascii="Arial" w:cs="Arial" w:eastAsia="Arial" w:hAnsi="Arial"/>
          <w:b/>
          <w:bCs/>
          <w:sz w:val="24"/>
          <w:szCs w:val="24"/>
        </w:rPr>
        <w:t xml:space="preserve">Sterschema = </w:t>
      </w:r>
      <w:r>
        <w:rPr>
          <w:rFonts w:ascii="Arial" w:cs="Arial" w:eastAsia="Arial" w:hAnsi="Arial"/>
          <w:sz w:val="24"/>
          <w:szCs w:val="24"/>
        </w:rPr>
        <w:t xml:space="preserve">dimensies zijn gedenormaliseerd; alle attributen in één dimensietabel. Feit centraal, dimensies eromheen.</w:t>
      </w:r>
    </w:p>
    <w:p>
      <w:pPr>
        <w:spacing w:after="140"/>
      </w:pPr>
      <w:r>
        <w:rPr>
          <w:rFonts w:ascii="Arial" w:cs="Arial" w:eastAsia="Arial" w:hAnsi="Arial"/>
          <w:b/>
          <w:bCs/>
          <w:sz w:val="24"/>
          <w:szCs w:val="24"/>
        </w:rPr>
        <w:t xml:space="preserve">Sneeuwvlok (snowflake) = </w:t>
      </w:r>
      <w:r>
        <w:rPr>
          <w:rFonts w:ascii="Arial" w:cs="Arial" w:eastAsia="Arial" w:hAnsi="Arial"/>
          <w:sz w:val="24"/>
          <w:szCs w:val="24"/>
        </w:rPr>
        <w:t xml:space="preserve">een dimensie is genormaliseerd in sub-tabellen, bv. DIM_PRODUCT verwijst naar aparte DIM_PRODUCT_TYPE en DIM_PRODUCT_LINE. De dimensie 'vertakt'.</w:t>
      </w:r>
    </w:p>
    <w:p>
      <w:pPr>
        <w:pStyle w:val="Heading2"/>
      </w:pPr>
      <w:r>
        <w:rPr>
          <w:rFonts w:ascii="Arial" w:cs="Arial" w:eastAsia="Arial" w:hAnsi="Arial"/>
          <w:b/>
          <w:bCs/>
          <w:sz w:val="24"/>
          <w:szCs w:val="24"/>
        </w:rPr>
        <w:t xml:space="preserve">Wanneer kies je wat? (trade-off)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Aspect</w:t>
            </w:r>
          </w:p>
        </w:tc>
        <w:tc>
          <w:tcPr>
            <w:tcW w:type="pct" w:w="3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Sterschema</w:t>
            </w:r>
          </w:p>
        </w:tc>
        <w:tc>
          <w:tcPr>
            <w:tcW w:type="pct" w:w="3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Sneeuwvlok</w:t>
            </w:r>
          </w:p>
        </w:tc>
      </w:tr>
      <w:tr>
        <w:tc>
          <w:tcPr>
            <w:tcW w:type="pct" w:w="3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Joins</w:t>
            </w:r>
          </w:p>
        </w:tc>
        <w:tc>
          <w:tcPr>
            <w:tcW w:type="pct" w:w="3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Weinig (snel)</w:t>
            </w:r>
          </w:p>
        </w:tc>
        <w:tc>
          <w:tcPr>
            <w:tcW w:type="pct" w:w="3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Meer (trager)</w:t>
            </w:r>
          </w:p>
        </w:tc>
      </w:tr>
      <w:tr>
        <w:tc>
          <w:tcPr>
            <w:tcW w:type="pct" w:w="3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Opslag</w:t>
            </w:r>
          </w:p>
        </w:tc>
        <w:tc>
          <w:tcPr>
            <w:tcW w:type="pct" w:w="3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Iets meer (herhaling)</w:t>
            </w:r>
          </w:p>
        </w:tc>
        <w:tc>
          <w:tcPr>
            <w:tcW w:type="pct" w:w="3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Iets minder</w:t>
            </w:r>
          </w:p>
        </w:tc>
      </w:tr>
      <w:tr>
        <w:tc>
          <w:tcPr>
            <w:tcW w:type="pct" w:w="3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Eenvoud voor BI-gebruiker</w:t>
            </w:r>
          </w:p>
        </w:tc>
        <w:tc>
          <w:tcPr>
            <w:tcW w:type="pct" w:w="3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Hoog</w:t>
            </w:r>
          </w:p>
        </w:tc>
        <w:tc>
          <w:tcPr>
            <w:tcW w:type="pct" w:w="3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Lager</w:t>
            </w:r>
          </w:p>
        </w:tc>
      </w:tr>
      <w:tr>
        <w:tc>
          <w:tcPr>
            <w:tcW w:type="pct" w:w="34%"/>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Consistentie afdwingen</w:t>
            </w:r>
          </w:p>
        </w:tc>
        <w:tc>
          <w:tcPr>
            <w:tcW w:type="pct" w:w="3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Lager</w:t>
            </w:r>
          </w:p>
        </w:tc>
        <w:tc>
          <w:tcPr>
            <w:tcW w:type="pct" w:w="3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Hoger</w:t>
            </w:r>
          </w:p>
        </w:tc>
      </w:tr>
    </w:tbl>
    <w:p>
      <w:pPr>
        <w:spacing w:after="120"/>
      </w:pPr>
      <w:r>
        <w:rPr>
          <w:rFonts w:ascii="Arial" w:cs="Arial" w:eastAsia="Arial" w:hAnsi="Arial"/>
          <w:sz w:val="24"/>
          <w:szCs w:val="24"/>
        </w:rPr>
        <w:t xml:space="preserve"/>
      </w:r>
    </w:p>
    <w:p>
      <w:pPr>
        <w:spacing w:after="140"/>
      </w:pPr>
      <w:r>
        <w:rPr>
          <w:rFonts w:ascii="Arial" w:cs="Arial" w:eastAsia="Arial" w:hAnsi="Arial"/>
          <w:b/>
          <w:bCs/>
          <w:sz w:val="24"/>
          <w:szCs w:val="24"/>
        </w:rPr>
        <w:t xml:space="preserve">Conclusie: </w:t>
      </w:r>
      <w:r>
        <w:rPr>
          <w:rFonts w:ascii="Arial" w:cs="Arial" w:eastAsia="Arial" w:hAnsi="Arial"/>
          <w:sz w:val="24"/>
          <w:szCs w:val="24"/>
        </w:rPr>
        <w:t xml:space="preserve">de casus eist dat ook niet-technische gebruikers de analyses in Power BI kunnen uitvoeren. Daarom is een sterschema (minder joins, makkelijker te begrijpen) de logische keuze.</w:t>
      </w:r>
    </w:p>
    <w:p>
      <w:pPr>
        <w:pStyle w:val="Heading2"/>
      </w:pPr>
      <w:r>
        <w:rPr>
          <w:rFonts w:ascii="Arial" w:cs="Arial" w:eastAsia="Arial" w:hAnsi="Arial"/>
          <w:b/>
          <w:bCs/>
          <w:sz w:val="24"/>
          <w:szCs w:val="24"/>
        </w:rPr>
        <w:t xml:space="preserve">Waar zit het in jullie model?</w:t>
      </w:r>
    </w:p>
    <w:p>
      <w:pPr>
        <w:spacing w:after="140"/>
      </w:pPr>
      <w:r>
        <w:rPr>
          <w:rFonts w:ascii="Arial" w:cs="Arial" w:eastAsia="Arial" w:hAnsi="Arial"/>
          <w:sz w:val="24"/>
          <w:szCs w:val="24"/>
        </w:rPr>
        <w:t xml:space="preserve">In het ontwerp/diagram zijn de bestaande dimensies sneeuwvlok getekend: DIM_PRODUCT → DIM_PRODUCT_TYPE / DIM_PRODUCT_LINE, DIM_CUSTOMER → DIM_SEGMENT / DIM_TERRITORY, DIM_STAFF → DIM_BRANCH.</w:t>
      </w:r>
    </w:p>
    <w:p>
      <w:pPr>
        <w:pStyle w:val="Heading2"/>
      </w:pPr>
      <w:r>
        <w:rPr>
          <w:rFonts w:ascii="Arial" w:cs="Arial" w:eastAsia="Arial" w:hAnsi="Arial"/>
          <w:b/>
          <w:bCs/>
          <w:sz w:val="24"/>
          <w:szCs w:val="24"/>
        </w:rPr>
        <w:t xml:space="preserve">Waarom zijn de NIEUWE dimensies niet gesnowflaket? (verwacht deze vraag)</w:t>
      </w:r>
    </w:p>
    <w:p>
      <w:pPr>
        <w:pStyle w:val="ListParagraph"/>
        <w:numPr>
          <w:ilvl w:val="0"/>
          <w:numId w:val="2"/>
        </w:numPr>
        <w:spacing w:after="70"/>
      </w:pPr>
      <w:r>
        <w:rPr>
          <w:rFonts w:ascii="Arial" w:cs="Arial" w:eastAsia="Arial" w:hAnsi="Arial"/>
          <w:sz w:val="24"/>
          <w:szCs w:val="24"/>
        </w:rPr>
        <w:t xml:space="preserve">dim_return_reason (5 rijen), dim_course (9), dim_satisfaction_type (5) hebben zeer lage cardinaliteit; een aparte categorie-tabel levert nauwelijks winst.</w:t>
      </w:r>
    </w:p>
    <w:p>
      <w:pPr>
        <w:pStyle w:val="ListParagraph"/>
        <w:numPr>
          <w:ilvl w:val="0"/>
          <w:numId w:val="2"/>
        </w:numPr>
        <w:spacing w:after="70"/>
      </w:pPr>
      <w:r>
        <w:rPr>
          <w:rFonts w:ascii="Arial" w:cs="Arial" w:eastAsia="Arial" w:hAnsi="Arial"/>
          <w:sz w:val="24"/>
          <w:szCs w:val="24"/>
        </w:rPr>
        <w:t xml:space="preserve">reason_category en course_category zijn afgeleide attributen (een kolom), bewust gedenormaliseerd → star voor eenvoud en snelheid in Power BI.</w:t>
      </w:r>
    </w:p>
    <w:p>
      <w:pPr>
        <w:pStyle w:val="ListParagraph"/>
        <w:numPr>
          <w:ilvl w:val="0"/>
          <w:numId w:val="2"/>
        </w:numPr>
        <w:spacing w:after="70"/>
      </w:pPr>
      <w:r>
        <w:rPr>
          <w:rFonts w:ascii="Arial" w:cs="Arial" w:eastAsia="Arial" w:hAnsi="Arial"/>
          <w:sz w:val="24"/>
          <w:szCs w:val="24"/>
        </w:rPr>
        <w:t xml:space="preserve">Het is een bewuste ontwerpkeuze, geen vergissing.</w:t>
      </w:r>
    </w:p>
    <w:p>
      <w:pPr>
        <w:pStyle w:val="Heading1"/>
      </w:pPr>
      <w:r>
        <w:rPr>
          <w:rFonts w:ascii="Arial" w:cs="Arial" w:eastAsia="Arial" w:hAnsi="Arial"/>
          <w:b/>
          <w:bCs/>
          <w:sz w:val="24"/>
          <w:szCs w:val="24"/>
        </w:rPr>
        <w:t xml:space="preserve">3. Granulariteit</w:t>
      </w:r>
    </w:p>
    <w:p>
      <w:pPr>
        <w:spacing w:after="140"/>
      </w:pPr>
      <w:r>
        <w:rPr>
          <w:rFonts w:ascii="Arial" w:cs="Arial" w:eastAsia="Arial" w:hAnsi="Arial"/>
          <w:b/>
          <w:bCs/>
          <w:sz w:val="24"/>
          <w:szCs w:val="24"/>
        </w:rPr>
        <w:t xml:space="preserve">Definitie: </w:t>
      </w:r>
      <w:r>
        <w:rPr>
          <w:rFonts w:ascii="Arial" w:cs="Arial" w:eastAsia="Arial" w:hAnsi="Arial"/>
          <w:sz w:val="24"/>
          <w:szCs w:val="24"/>
        </w:rPr>
        <w:t xml:space="preserve">de korrel = wat één rij in een feittabel betekent (het laagste detailniveau).</w:t>
      </w:r>
    </w:p>
    <w:p>
      <w:pPr>
        <w:pStyle w:val="Heading2"/>
      </w:pPr>
      <w:r>
        <w:rPr>
          <w:rFonts w:ascii="Arial" w:cs="Arial" w:eastAsia="Arial" w:hAnsi="Arial"/>
          <w:b/>
          <w:bCs/>
          <w:sz w:val="24"/>
          <w:szCs w:val="24"/>
        </w:rPr>
        <w:t xml:space="preserve">De korrel van de drie nieuwe feiten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Feit</w:t>
            </w:r>
          </w:p>
        </w:tc>
        <w:tc>
          <w:tcPr>
            <w:tcW w:type="pct" w:w="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Korrel (1 rij = …)</w:t>
            </w:r>
          </w:p>
        </w:tc>
      </w:tr>
      <w:t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fact_returns</w:t>
            </w:r>
          </w:p>
        </w:tc>
        <w:tc>
          <w:tcPr>
            <w:tcW w:type="pct" w:w="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1 geretourneerde orderregel (RETURN_CODE)</w:t>
            </w:r>
          </w:p>
        </w:tc>
      </w:tr>
      <w:t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fact_training</w:t>
            </w:r>
          </w:p>
        </w:tc>
        <w:tc>
          <w:tcPr>
            <w:tcW w:type="pct" w:w="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1 medewerker × 1 cursus × 1 jaar</w:t>
            </w:r>
          </w:p>
        </w:tc>
      </w:tr>
      <w:tr>
        <w:tc>
          <w:tcPr>
            <w:tcW w:type="pct" w:w="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fact_staff_satisfaction</w:t>
            </w:r>
          </w:p>
        </w:tc>
        <w:tc>
          <w:tcPr>
            <w:tcW w:type="pct" w:w="6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1 medewerker × 1 jaar</w:t>
            </w:r>
          </w:p>
        </w:tc>
      </w:tr>
    </w:tbl>
    <w:p>
      <w:pPr>
        <w:spacing w:after="120"/>
      </w:pPr>
      <w:r>
        <w:rPr>
          <w:rFonts w:ascii="Arial" w:cs="Arial" w:eastAsia="Arial" w:hAnsi="Arial"/>
          <w:sz w:val="24"/>
          <w:szCs w:val="24"/>
        </w:rPr>
        <w:t xml:space="preserve"/>
      </w:r>
    </w:p>
    <w:p>
      <w:pPr>
        <w:pStyle w:val="Heading2"/>
      </w:pPr>
      <w:r>
        <w:rPr>
          <w:rFonts w:ascii="Arial" w:cs="Arial" w:eastAsia="Arial" w:hAnsi="Arial"/>
          <w:b/>
          <w:bCs/>
          <w:sz w:val="24"/>
          <w:szCs w:val="24"/>
        </w:rPr>
        <w:t xml:space="preserve">GranulariteitsVERSCHILLEN en hoe afgehandeld</w:t>
      </w:r>
    </w:p>
    <w:p>
      <w:pPr>
        <w:spacing w:after="140"/>
      </w:pPr>
      <w:r>
        <w:rPr>
          <w:rFonts w:ascii="Arial" w:cs="Arial" w:eastAsia="Arial" w:hAnsi="Arial"/>
          <w:b/>
          <w:bCs/>
          <w:sz w:val="24"/>
          <w:szCs w:val="24"/>
        </w:rPr>
        <w:t xml:space="preserve">1. Dag vs. jaar. </w:t>
      </w:r>
      <w:r>
        <w:rPr>
          <w:rFonts w:ascii="Arial" w:cs="Arial" w:eastAsia="Arial" w:hAnsi="Arial"/>
          <w:sz w:val="24"/>
          <w:szCs w:val="24"/>
        </w:rPr>
        <w:t xml:space="preserve">dim_date is op dagniveau (verkoop/retouren), maar training en tevredenheid bestaan alleen per jaar. Opgelost met een degenererende dimensie: het jaar staat als kolom year_num ín het feit, niet gekoppeld aan een nep-dag. Een koppeling aan bv. 1 januari zou schijnprecisie geven.</w:t>
      </w:r>
    </w:p>
    <w:p>
      <w:pPr>
        <w:spacing w:after="140"/>
      </w:pPr>
      <w:r>
        <w:rPr>
          <w:rFonts w:ascii="Arial" w:cs="Arial" w:eastAsia="Arial" w:hAnsi="Arial"/>
          <w:b/>
          <w:bCs/>
          <w:sz w:val="24"/>
          <w:szCs w:val="24"/>
        </w:rPr>
        <w:t xml:space="preserve">2. Retour-event vs. orderregel. </w:t>
      </w:r>
      <w:r>
        <w:rPr>
          <w:rFonts w:ascii="Arial" w:cs="Arial" w:eastAsia="Arial" w:hAnsi="Arial"/>
          <w:sz w:val="24"/>
          <w:szCs w:val="24"/>
        </w:rPr>
        <w:t xml:space="preserve">Eén orderregel kan meerdere retouren hebben. Je houdt de fijnste korrel aan (per retour) en aggregeert niet vooraf naar orderregel.</w:t>
      </w:r>
    </w:p>
    <w:p>
      <w:pPr>
        <w:spacing w:after="140"/>
      </w:pPr>
      <w:r>
        <w:rPr>
          <w:rFonts w:ascii="Arial" w:cs="Arial" w:eastAsia="Arial" w:hAnsi="Arial"/>
          <w:b/>
          <w:bCs/>
          <w:sz w:val="24"/>
          <w:szCs w:val="24"/>
        </w:rPr>
        <w:t xml:space="preserve">3. Dubbeltelling vermijden bij retourpercentage. </w:t>
      </w:r>
      <w:r>
        <w:rPr>
          <w:rFonts w:ascii="Arial" w:cs="Arial" w:eastAsia="Arial" w:hAnsi="Arial"/>
          <w:sz w:val="24"/>
          <w:szCs w:val="24"/>
        </w:rPr>
        <w:t xml:space="preserve">Verkocht aantal komt uit fact_order_sales (orderregel-korrel), retour-aantal uit fact_returns (retour-korrel). Beide apart sommeren; original_quantity (per retourregel herhaald) NIET optellen — anders dubbeltelling.</w:t>
      </w:r>
    </w:p>
    <w:p>
      <w:pPr>
        <w:pStyle w:val="Heading1"/>
      </w:pPr>
      <w:r>
        <w:rPr>
          <w:rFonts w:ascii="Arial" w:cs="Arial" w:eastAsia="Arial" w:hAnsi="Arial"/>
          <w:b/>
          <w:bCs/>
          <w:sz w:val="24"/>
          <w:szCs w:val="24"/>
        </w:rPr>
        <w:t xml:space="preserve">4. Verwachte vragen + modelantwoorden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Vraag</w:t>
            </w:r>
          </w:p>
        </w:tc>
        <w:tc>
          <w:tcPr>
            <w:tcW w:type="pct" w:w="5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4"/>
                <w:szCs w:val="24"/>
              </w:rPr>
              <w:t xml:space="preserve">Kort antwoord</w:t>
            </w:r>
          </w:p>
        </w:tc>
      </w:tr>
      <w:tr>
        <w:tc>
          <w:tcPr>
            <w:tcW w:type="pct" w:w="4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Wat is granulariteit?</w:t>
            </w:r>
          </w:p>
        </w:tc>
        <w:tc>
          <w:tcPr>
            <w:tcW w:type="pct" w:w="5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De korrel van een feittabel: wat één rij voorstelt. Bij fact_returns is dat één retour.</w:t>
            </w:r>
          </w:p>
        </w:tc>
      </w:tr>
      <w:tr>
        <w:tc>
          <w:tcPr>
            <w:tcW w:type="pct" w:w="4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Verkoop dagelijks, training jaarlijks — hoe los je dat op?</w:t>
            </w:r>
          </w:p>
        </w:tc>
        <w:tc>
          <w:tcPr>
            <w:tcW w:type="pct" w:w="5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Degenererende jaar-dimensie (year_num) in het feit; geen kunstmatige dagkoppeling (schijnprecisie).</w:t>
            </w:r>
          </w:p>
        </w:tc>
      </w:tr>
      <w:tr>
        <w:tc>
          <w:tcPr>
            <w:tcW w:type="pct" w:w="4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Wat is snowflaking en pas je het toe?</w:t>
            </w:r>
          </w:p>
        </w:tc>
        <w:tc>
          <w:tcPr>
            <w:tcW w:type="pct" w:w="5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Dimensies normaliseren in sub-tabellen. Bestaande dims gesnowflaket in ontwerp; nieuwe dims bewust flat (star).</w:t>
            </w:r>
          </w:p>
        </w:tc>
      </w:tr>
      <w:tr>
        <w:tc>
          <w:tcPr>
            <w:tcW w:type="pct" w:w="4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Waarom geen aparte categorie-tabel voor retourredenen?</w:t>
            </w:r>
          </w:p>
        </w:tc>
        <w:tc>
          <w:tcPr>
            <w:tcW w:type="pct" w:w="5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Lage cardinaliteit + afgeleid attribuut; aparte tabel = extra joins zonder echte winst.</w:t>
            </w:r>
          </w:p>
        </w:tc>
      </w:tr>
      <w:tr>
        <w:tc>
          <w:tcPr>
            <w:tcW w:type="pct" w:w="4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Horizontaal vs. verticaal samenvoegen?</w:t>
            </w:r>
          </w:p>
        </w:tc>
        <w:tc>
          <w:tcPr>
            <w:tcW w:type="pct" w:w="5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Horizontaal = joins (returned_item + order → fact_returns). Verticaal = verrijken/afleiden (course → dim_course met categorie + kosten).</w:t>
            </w:r>
          </w:p>
        </w:tc>
      </w:tr>
      <w:tr>
        <w:tc>
          <w:tcPr>
            <w:tcW w:type="pct" w:w="4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Hoe voorkom je dubbeltelling?</w:t>
            </w:r>
          </w:p>
        </w:tc>
        <w:tc>
          <w:tcPr>
            <w:tcW w:type="pct" w:w="5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Korrel-bewust aggregeren; teller en noemer van retourpercentage uit verschillende feiten.</w:t>
            </w:r>
          </w:p>
        </w:tc>
      </w:tr>
      <w:tr>
        <w:tc>
          <w:tcPr>
            <w:tcW w:type="pct" w:w="4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Noem je afgeleide attributen en meetwaarden.</w:t>
            </w:r>
          </w:p>
        </w:tc>
        <w:tc>
          <w:tcPr>
            <w:tcW w:type="pct" w:w="58%"/>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val="false"/>
                <w:bCs w:val="false"/>
                <w:sz w:val="24"/>
                <w:szCs w:val="24"/>
              </w:rPr>
              <w:t xml:space="preserve">Attr: reason_category, course_category, standard_cost, satisfaction_score. Measures: return_value, gross_loss, course_cost.</w:t>
            </w:r>
          </w:p>
        </w:tc>
      </w:tr>
    </w:tbl>
    <w:p>
      <w:pPr>
        <w:spacing w:after="120"/>
      </w:pPr>
      <w:r>
        <w:rPr>
          <w:rFonts w:ascii="Arial" w:cs="Arial" w:eastAsia="Arial" w:hAnsi="Arial"/>
          <w:sz w:val="24"/>
          <w:szCs w:val="24"/>
        </w:rPr>
        <w:t xml:space="preserve"/>
      </w:r>
    </w:p>
    <w:p>
      <w:pPr>
        <w:pStyle w:val="Heading1"/>
      </w:pPr>
      <w:r>
        <w:rPr>
          <w:rFonts w:ascii="Arial" w:cs="Arial" w:eastAsia="Arial" w:hAnsi="Arial"/>
          <w:b/>
          <w:bCs/>
          <w:sz w:val="24"/>
          <w:szCs w:val="24"/>
        </w:rPr>
        <w:t xml:space="preserve">5. LET OP: verschil diagram vs. database</w:t>
      </w:r>
    </w:p>
    <w:p>
      <w:pPr>
        <w:spacing w:after="140"/>
      </w:pPr>
      <w:r>
        <w:rPr>
          <w:rFonts w:ascii="Arial" w:cs="Arial" w:eastAsia="Arial" w:hAnsi="Arial"/>
          <w:sz w:val="24"/>
          <w:szCs w:val="24"/>
        </w:rPr>
        <w:t xml:space="preserve">Er zit een verschil tussen het diagram en de database:</w:t>
      </w:r>
    </w:p>
    <w:p>
      <w:pPr>
        <w:pStyle w:val="ListParagraph"/>
        <w:numPr>
          <w:ilvl w:val="0"/>
          <w:numId w:val="2"/>
        </w:numPr>
        <w:spacing w:after="70"/>
      </w:pPr>
      <w:r>
        <w:rPr>
          <w:rFonts w:ascii="Arial" w:cs="Arial" w:eastAsia="Arial" w:hAnsi="Arial"/>
          <w:sz w:val="24"/>
          <w:szCs w:val="24"/>
        </w:rPr>
        <w:t xml:space="preserve">Diagram toont sneeuwvlok (aparte DIM_PRODUCT_TYPE, DIM_PRODUCT_LINE, DIM_SEGMENT, DIM_TERRITORY, DIM_BRANCH).</w:t>
      </w:r>
    </w:p>
    <w:p>
      <w:pPr>
        <w:pStyle w:val="ListParagraph"/>
        <w:numPr>
          <w:ilvl w:val="0"/>
          <w:numId w:val="2"/>
        </w:numPr>
        <w:spacing w:after="70"/>
      </w:pPr>
      <w:r>
        <w:rPr>
          <w:rFonts w:ascii="Arial" w:cs="Arial" w:eastAsia="Arial" w:hAnsi="Arial"/>
          <w:sz w:val="24"/>
          <w:szCs w:val="24"/>
        </w:rPr>
        <w:t xml:space="preserve">De echte GO_DWH.db is een ster: die aparte tabellen bestaan niet — dim_product heeft product_type en product_line als kolommen.</w:t>
      </w:r>
    </w:p>
    <w:p>
      <w:pPr>
        <w:spacing w:after="140"/>
      </w:pPr>
      <w:r>
        <w:rPr>
          <w:rFonts w:ascii="Arial" w:cs="Arial" w:eastAsia="Arial" w:hAnsi="Arial"/>
          <w:b/>
          <w:bCs/>
          <w:sz w:val="24"/>
          <w:szCs w:val="24"/>
        </w:rPr>
        <w:t xml:space="preserve">Als ze hierop doorvragen, zeg: </w:t>
      </w:r>
      <w:r>
        <w:rPr>
          <w:rFonts w:ascii="Arial" w:cs="Arial" w:eastAsia="Arial" w:hAnsi="Arial"/>
          <w:sz w:val="24"/>
          <w:szCs w:val="24"/>
        </w:rPr>
        <w:t xml:space="preserve">"Het conceptuele ontwerp toont de genormaliseerde herkomst (sneeuwvlok), maar bij de implementatie heb ik bewust gedenormaliseerd naar een sterschema voor performance en eenvoud in Power BI. De afgeleide attributen zitten daarom als kolommen in de dimensie."</w:t>
      </w:r>
    </w:p>
    <w:p>
      <w:pPr>
        <w:pStyle w:val="Heading1"/>
      </w:pPr>
      <w:r>
        <w:rPr>
          <w:rFonts w:ascii="Arial" w:cs="Arial" w:eastAsia="Arial" w:hAnsi="Arial"/>
          <w:b/>
          <w:bCs/>
          <w:sz w:val="24"/>
          <w:szCs w:val="24"/>
        </w:rPr>
        <w:t xml:space="preserve">6. Snelle naslag (overige criteria)</w:t>
      </w:r>
    </w:p>
    <w:p>
      <w:pPr>
        <w:pStyle w:val="ListParagraph"/>
        <w:numPr>
          <w:ilvl w:val="0"/>
          <w:numId w:val="2"/>
        </w:numPr>
        <w:spacing w:after="70"/>
      </w:pPr>
      <w:r>
        <w:rPr>
          <w:rFonts w:ascii="Arial" w:cs="Arial" w:eastAsia="Arial" w:hAnsi="Arial"/>
          <w:b/>
          <w:bCs/>
          <w:sz w:val="24"/>
          <w:szCs w:val="24"/>
        </w:rPr>
        <w:t xml:space="preserve">SCD-type 2: </w:t>
      </w:r>
      <w:r>
        <w:rPr>
          <w:rFonts w:ascii="Arial" w:cs="Arial" w:eastAsia="Arial" w:hAnsi="Arial"/>
          <w:sz w:val="24"/>
          <w:szCs w:val="24"/>
        </w:rPr>
        <w:t xml:space="preserve">dim_return_reason en dim_course (historie via valid_from/valid_to/is_current/version).</w:t>
      </w:r>
    </w:p>
    <w:p>
      <w:pPr>
        <w:pStyle w:val="ListParagraph"/>
        <w:numPr>
          <w:ilvl w:val="0"/>
          <w:numId w:val="2"/>
        </w:numPr>
        <w:spacing w:after="70"/>
      </w:pPr>
      <w:r>
        <w:rPr>
          <w:rFonts w:ascii="Arial" w:cs="Arial" w:eastAsia="Arial" w:hAnsi="Arial"/>
          <w:b/>
          <w:bCs/>
          <w:sz w:val="24"/>
          <w:szCs w:val="24"/>
        </w:rPr>
        <w:t xml:space="preserve">SCD-type 1: </w:t>
      </w:r>
      <w:r>
        <w:rPr>
          <w:rFonts w:ascii="Arial" w:cs="Arial" w:eastAsia="Arial" w:hAnsi="Arial"/>
          <w:sz w:val="24"/>
          <w:szCs w:val="24"/>
        </w:rPr>
        <w:t xml:space="preserve">dim_satisfaction_type (overschrijven).</w:t>
      </w:r>
    </w:p>
    <w:p>
      <w:pPr>
        <w:pStyle w:val="ListParagraph"/>
        <w:numPr>
          <w:ilvl w:val="0"/>
          <w:numId w:val="2"/>
        </w:numPr>
        <w:spacing w:after="70"/>
      </w:pPr>
      <w:r>
        <w:rPr>
          <w:rFonts w:ascii="Arial" w:cs="Arial" w:eastAsia="Arial" w:hAnsi="Arial"/>
          <w:b/>
          <w:bCs/>
          <w:sz w:val="24"/>
          <w:szCs w:val="24"/>
        </w:rPr>
        <w:t xml:space="preserve">Inlaadstrategie feiten: </w:t>
      </w:r>
      <w:r>
        <w:rPr>
          <w:rFonts w:ascii="Arial" w:cs="Arial" w:eastAsia="Arial" w:hAnsi="Arial"/>
          <w:sz w:val="24"/>
          <w:szCs w:val="24"/>
        </w:rPr>
        <w:t xml:space="preserve">full reload (elke run leegmaken + opnieuw vullen) → nieuwe/gewijzigde/verwijderde brondata komt correct mee.</w:t>
      </w:r>
    </w:p>
    <w:p>
      <w:pPr>
        <w:pStyle w:val="ListParagraph"/>
        <w:numPr>
          <w:ilvl w:val="0"/>
          <w:numId w:val="2"/>
        </w:numPr>
        <w:spacing w:after="70"/>
      </w:pPr>
      <w:r>
        <w:rPr>
          <w:rFonts w:ascii="Arial" w:cs="Arial" w:eastAsia="Arial" w:hAnsi="Arial"/>
          <w:b/>
          <w:bCs/>
          <w:sz w:val="24"/>
          <w:szCs w:val="24"/>
        </w:rPr>
        <w:t xml:space="preserve">Eén druk op de knop: </w:t>
      </w:r>
      <w:r>
        <w:rPr>
          <w:rFonts w:ascii="Arial" w:cs="Arial" w:eastAsia="Arial" w:hAnsi="Arial"/>
          <w:sz w:val="24"/>
          <w:szCs w:val="24"/>
        </w:rPr>
        <w:t xml:space="preserve">run_extra_pipeline() voert alles uit; logging in logs/go_dwh_extra_etl.log.</w:t>
      </w:r>
    </w:p>
    <w:p>
      <w:pPr>
        <w:pStyle w:val="ListParagraph"/>
        <w:numPr>
          <w:ilvl w:val="0"/>
          <w:numId w:val="2"/>
        </w:numPr>
        <w:spacing w:after="70"/>
      </w:pPr>
      <w:r>
        <w:rPr>
          <w:rFonts w:ascii="Arial" w:cs="Arial" w:eastAsia="Arial" w:hAnsi="Arial"/>
          <w:b/>
          <w:bCs/>
          <w:sz w:val="24"/>
          <w:szCs w:val="24"/>
        </w:rPr>
        <w:t xml:space="preserve">Database-overschrijdende associatie: </w:t>
      </w:r>
      <w:r>
        <w:rPr>
          <w:rFonts w:ascii="Arial" w:cs="Arial" w:eastAsia="Arial" w:hAnsi="Arial"/>
          <w:sz w:val="24"/>
          <w:szCs w:val="24"/>
        </w:rPr>
        <w:t xml:space="preserve">training.sales_representative_code = sales_staff.sales_staff_code (zelfde persoon, andere tabel/kolomnaam).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4"/>
      <w:szCs w:val="24"/>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2026-06-30T15:12:27.092Z</dcterms:created>
  <dcterms:modified xsi:type="dcterms:W3CDTF">2026-06-30T15:12:27.094Z</dcterms:modified>
</cp:coreProperties>
</file>

<file path=docProps/custom.xml><?xml version="1.0" encoding="utf-8"?>
<Properties xmlns="http://schemas.openxmlformats.org/officeDocument/2006/custom-properties" xmlns:vt="http://schemas.openxmlformats.org/officeDocument/2006/docPropsVTypes"/>
</file>