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97D"/>
          <w:sz w:val="44"/>
        </w:rPr>
        <w:t>Análisis Técnico de Requerimientos y Arquitectura</w:t>
      </w:r>
    </w:p>
    <w:p>
      <w:pPr>
        <w:spacing w:before="0" w:after="360"/>
      </w:pPr>
      <w:r>
        <w:rPr>
          <w:i/>
          <w:color w:val="4F81BD"/>
          <w:sz w:val="26"/>
        </w:rPr>
        <w:t>Sistema de Gestión de Gimnasio &amp; Control Operativo</w:t>
      </w:r>
    </w:p>
    <w:p>
      <w:pPr>
        <w:spacing w:after="360"/>
        <w:pBdr>
          <w:bottom w:val="single" w:sz="12" w:space="1" w:color="1F497D"/>
        </w:pBdr>
      </w:pPr>
    </w:p>
    <w:p>
      <w:pPr>
        <w:keepNext/>
        <w:spacing w:before="320" w:after="160"/>
      </w:pPr>
      <w:r>
        <w:rPr>
          <w:b/>
          <w:color w:val="1F497D"/>
          <w:sz w:val="30"/>
        </w:rPr>
        <w:t>1. Módulos del Sistema</w:t>
      </w:r>
    </w:p>
    <w:p>
      <w:pPr>
        <w:keepNext/>
        <w:spacing w:before="240" w:after="80"/>
      </w:pPr>
      <w:r>
        <w:rPr>
          <w:b/>
          <w:color w:val="4F81BD"/>
          <w:sz w:val="24"/>
        </w:rPr>
        <w:t>A. Módulo Administrativo</w:t>
      </w:r>
    </w:p>
    <w:p>
      <w:pPr>
        <w:spacing w:before="40" w:after="80"/>
        <w:ind w:left="288"/>
      </w:pPr>
      <w:r>
        <w:rPr>
          <w:b/>
          <w:color w:val="333333"/>
        </w:rPr>
        <w:t xml:space="preserve">• Dashboard Administrativo: </w:t>
      </w:r>
      <w:r>
        <w:rPr>
          <w:color w:val="333333"/>
        </w:rPr>
        <w:t>Métricas globales de ingresos, tasa de conversión, asistencia general, usuarios activos y morosos.</w:t>
      </w:r>
    </w:p>
    <w:p>
      <w:pPr>
        <w:spacing w:before="40" w:after="80"/>
        <w:ind w:left="288"/>
      </w:pPr>
      <w:r>
        <w:rPr>
          <w:b/>
          <w:color w:val="333333"/>
        </w:rPr>
        <w:t xml:space="preserve">• Gestión de Entrenadores: </w:t>
      </w:r>
      <w:r>
        <w:rPr>
          <w:color w:val="333333"/>
        </w:rPr>
        <w:t>Registro, asignación de clientes, control de asistencia e inscripción de personal técnico.</w:t>
      </w:r>
    </w:p>
    <w:p>
      <w:pPr>
        <w:spacing w:before="40" w:after="80"/>
        <w:ind w:left="288"/>
      </w:pPr>
      <w:r>
        <w:rPr>
          <w:b/>
          <w:color w:val="333333"/>
        </w:rPr>
        <w:t xml:space="preserve">• Control de Asistencia Administrativa: </w:t>
      </w:r>
      <w:r>
        <w:rPr>
          <w:color w:val="333333"/>
        </w:rPr>
        <w:t>Monitoreo del cumplimiento del horario establecido por el comerciante/administración.</w:t>
      </w:r>
    </w:p>
    <w:p>
      <w:pPr>
        <w:spacing w:before="40" w:after="80"/>
        <w:ind w:left="288"/>
      </w:pPr>
      <w:r>
        <w:rPr>
          <w:b/>
          <w:color w:val="333333"/>
        </w:rPr>
        <w:t xml:space="preserve">• Planificación de Servicios y Horarios: </w:t>
      </w:r>
      <w:r>
        <w:rPr>
          <w:color w:val="333333"/>
        </w:rPr>
        <w:t>Configuración de clases, horarios disponibles, cupos y reglas operativas.</w:t>
      </w:r>
    </w:p>
    <w:p>
      <w:pPr>
        <w:spacing w:before="40" w:after="80"/>
        <w:ind w:left="288"/>
      </w:pPr>
      <w:r>
        <w:rPr>
          <w:b/>
          <w:color w:val="333333"/>
        </w:rPr>
        <w:t xml:space="preserve">• Gestión de Usuarios: </w:t>
      </w:r>
      <w:r>
        <w:rPr>
          <w:color w:val="333333"/>
        </w:rPr>
        <w:t>Transferencia / reasignación dinámica de entrenadores a usuarios.</w:t>
      </w:r>
    </w:p>
    <w:p>
      <w:pPr>
        <w:keepNext/>
        <w:spacing w:before="240" w:after="80"/>
      </w:pPr>
      <w:r>
        <w:rPr>
          <w:b/>
          <w:color w:val="4F81BD"/>
          <w:sz w:val="24"/>
        </w:rPr>
        <w:t>B. Módulo de Usuarios (Clientes)</w:t>
      </w:r>
    </w:p>
    <w:p>
      <w:pPr>
        <w:spacing w:before="40" w:after="80"/>
        <w:ind w:left="288"/>
      </w:pPr>
      <w:r>
        <w:rPr>
          <w:b/>
          <w:color w:val="333333"/>
        </w:rPr>
        <w:t xml:space="preserve">• Dashboard de Usuario: </w:t>
      </w:r>
      <w:r>
        <w:rPr>
          <w:color w:val="333333"/>
        </w:rPr>
        <w:t>Vista consolidada de membresía activa, rutinas asignadas, historial de pagos y progreso.</w:t>
      </w:r>
    </w:p>
    <w:p>
      <w:pPr>
        <w:spacing w:before="40" w:after="80"/>
        <w:ind w:left="288"/>
      </w:pPr>
      <w:r>
        <w:rPr>
          <w:b/>
          <w:color w:val="333333"/>
        </w:rPr>
        <w:t xml:space="preserve">• Autenticación e Identidad: </w:t>
      </w:r>
      <w:r>
        <w:rPr>
          <w:color w:val="333333"/>
        </w:rPr>
        <w:t>Login/Registro digital con credenciales locales e integración con terceros (OAuth / Single Sign-On).</w:t>
      </w:r>
    </w:p>
    <w:p>
      <w:pPr>
        <w:spacing w:before="40" w:after="80"/>
        <w:ind w:left="288"/>
      </w:pPr>
      <w:r>
        <w:rPr>
          <w:b/>
          <w:color w:val="333333"/>
        </w:rPr>
        <w:t xml:space="preserve">• Formulario de Inscripción: </w:t>
      </w:r>
      <w:r>
        <w:rPr>
          <w:color w:val="333333"/>
        </w:rPr>
        <w:t>Captura de datos personales, historial médico/físico, objetivos y registro inicial.</w:t>
      </w:r>
    </w:p>
    <w:p>
      <w:pPr>
        <w:spacing w:before="40" w:after="80"/>
        <w:ind w:left="288"/>
      </w:pPr>
      <w:r>
        <w:rPr>
          <w:b/>
          <w:color w:val="333333"/>
        </w:rPr>
        <w:t xml:space="preserve">• Membresías: </w:t>
      </w:r>
      <w:r>
        <w:rPr>
          <w:color w:val="333333"/>
        </w:rPr>
        <w:t>Consulta de estatus, fecha de corte, días de gracia y estado de pago.</w:t>
      </w:r>
    </w:p>
    <w:p>
      <w:pPr>
        <w:keepNext/>
        <w:spacing w:before="240" w:after="80"/>
      </w:pPr>
      <w:r>
        <w:rPr>
          <w:b/>
          <w:color w:val="4F81BD"/>
          <w:sz w:val="24"/>
        </w:rPr>
        <w:t>C. Módulo de Entrenadores</w:t>
      </w:r>
    </w:p>
    <w:p>
      <w:pPr>
        <w:spacing w:before="40" w:after="80"/>
        <w:ind w:left="288"/>
      </w:pPr>
      <w:r>
        <w:rPr>
          <w:b/>
          <w:color w:val="333333"/>
        </w:rPr>
        <w:t xml:space="preserve">• Dashboard de Entrenador: </w:t>
      </w:r>
      <w:r>
        <w:rPr>
          <w:color w:val="333333"/>
        </w:rPr>
        <w:t>Resumen operacional de atletas asignados, sesiones del día y alertas de vencimiento.</w:t>
      </w:r>
    </w:p>
    <w:p>
      <w:pPr>
        <w:spacing w:before="40" w:after="80"/>
        <w:ind w:left="288"/>
      </w:pPr>
      <w:r>
        <w:rPr>
          <w:b/>
          <w:color w:val="333333"/>
        </w:rPr>
        <w:t xml:space="preserve">• Gestión de Atletas: </w:t>
      </w:r>
      <w:r>
        <w:rPr>
          <w:color w:val="333333"/>
        </w:rPr>
        <w:t>Vista detallada de los clientes a su cargo y consulta de perfil deportivo.</w:t>
      </w:r>
    </w:p>
    <w:p>
      <w:pPr>
        <w:spacing w:before="40" w:after="80"/>
        <w:ind w:left="288"/>
      </w:pPr>
      <w:r>
        <w:rPr>
          <w:b/>
          <w:color w:val="333333"/>
        </w:rPr>
        <w:t xml:space="preserve">• Planes de Rutina: </w:t>
      </w:r>
      <w:r>
        <w:rPr>
          <w:color w:val="333333"/>
        </w:rPr>
        <w:t>Creación, edicion y personalización de rutinas asociadas a cada cliente.</w:t>
      </w:r>
    </w:p>
    <w:p>
      <w:pPr>
        <w:spacing w:before="40" w:after="80"/>
        <w:ind w:left="288"/>
      </w:pPr>
      <w:r>
        <w:rPr>
          <w:b/>
          <w:color w:val="333333"/>
        </w:rPr>
        <w:t xml:space="preserve">• Control de Asistencia de Entrenadores: </w:t>
      </w:r>
      <w:r>
        <w:rPr>
          <w:color w:val="333333"/>
        </w:rPr>
        <w:t>Registro de jornada laboral (check-in / check-out) y cumplimiento de turnos.</w:t>
      </w:r>
    </w:p>
    <w:p>
      <w:pPr>
        <w:keepNext/>
        <w:spacing w:before="240" w:after="80"/>
      </w:pPr>
      <w:r>
        <w:rPr>
          <w:b/>
          <w:color w:val="4F81BD"/>
          <w:sz w:val="24"/>
        </w:rPr>
        <w:t>D. Módulo de Pagos y Facturación</w:t>
      </w:r>
    </w:p>
    <w:p>
      <w:pPr>
        <w:spacing w:before="40" w:after="80"/>
        <w:ind w:left="288"/>
      </w:pPr>
      <w:r>
        <w:rPr>
          <w:b/>
          <w:color w:val="333333"/>
        </w:rPr>
        <w:t xml:space="preserve">• Gestión de Cobros y Órdenes: </w:t>
      </w:r>
      <w:r>
        <w:rPr>
          <w:color w:val="333333"/>
        </w:rPr>
        <w:t>Generación automática de órdenes a la tasa del día, procesamiento de mensualidades fidedignas y adelantos de pago.</w:t>
      </w:r>
    </w:p>
    <w:p>
      <w:pPr>
        <w:spacing w:before="40" w:after="80"/>
        <w:ind w:left="288"/>
      </w:pPr>
      <w:r>
        <w:rPr>
          <w:b/>
          <w:color w:val="333333"/>
        </w:rPr>
        <w:t xml:space="preserve">• Control de Morosidad e Inhabilitación: </w:t>
      </w:r>
      <w:r>
        <w:rPr>
          <w:color w:val="333333"/>
        </w:rPr>
        <w:t>Bloqueo automático de acceso a servicios y rutinas para usuarios con pagos pendientes.</w:t>
      </w:r>
    </w:p>
    <w:p>
      <w:pPr>
        <w:keepNext/>
        <w:spacing w:before="320" w:after="160"/>
      </w:pPr>
      <w:r>
        <w:rPr>
          <w:b/>
          <w:color w:val="1F497D"/>
          <w:sz w:val="30"/>
        </w:rPr>
        <w:t>2. Requerimientos Funcionales Clave (RFC)</w:t>
      </w:r>
    </w:p>
    <w:p>
      <w:pPr>
        <w:keepNext/>
        <w:spacing w:before="240" w:after="80"/>
      </w:pPr>
      <w:r>
        <w:rPr>
          <w:b/>
          <w:color w:val="4F81BD"/>
          <w:sz w:val="24"/>
        </w:rPr>
        <w:t>RFC-01: Gestión e Inhabilitación Automática por Morosidad</w:t>
      </w:r>
    </w:p>
    <w:p>
      <w:pPr>
        <w:spacing w:before="40" w:after="120"/>
        <w:ind w:left="216"/>
      </w:pPr>
      <w:r>
        <w:rPr>
          <w:color w:val="333333"/>
        </w:rPr>
        <w:t>El sistema debe evaluar diariamente el estatus de pago de los clientes. Si la membresía expira sin un pago registrado (o un adelanto válido), el sistema debe cambiar automáticamente el estado del usuario a 'Moroso' y denegar el acceso al gimnasio, la reserva de servicios y la visualización de rutinas.</w:t>
      </w:r>
    </w:p>
    <w:p>
      <w:pPr>
        <w:keepNext/>
        <w:spacing w:before="240" w:after="80"/>
      </w:pPr>
      <w:r>
        <w:rPr>
          <w:b/>
          <w:color w:val="4F81BD"/>
          <w:sz w:val="24"/>
        </w:rPr>
        <w:t>RFC-02: Conversión Multimoneda y Facturación a la Tasa del Día</w:t>
      </w:r>
    </w:p>
    <w:p>
      <w:pPr>
        <w:spacing w:before="40" w:after="120"/>
        <w:ind w:left="216"/>
      </w:pPr>
      <w:r>
        <w:rPr>
          <w:color w:val="333333"/>
        </w:rPr>
        <w:t>El módulo de pagos debe consultar automáticamente la tasa de cambio vigente al momento de generar la orden de cobro. Debe permitir pagos parciales o adelantos y registrar cada transacción ajustada al equivalente exacto en moneda local/extranjera a la fecha de la operación.</w:t>
      </w:r>
    </w:p>
    <w:p>
      <w:pPr>
        <w:keepNext/>
        <w:spacing w:before="240" w:after="80"/>
      </w:pPr>
      <w:r>
        <w:rPr>
          <w:b/>
          <w:color w:val="4F81BD"/>
          <w:sz w:val="24"/>
        </w:rPr>
        <w:t>RFC-03: Asignación y Reasignación Dinámica Entrenador-Cliente</w:t>
      </w:r>
    </w:p>
    <w:p>
      <w:pPr>
        <w:spacing w:before="40" w:after="120"/>
        <w:ind w:left="216"/>
      </w:pPr>
      <w:r>
        <w:rPr>
          <w:color w:val="333333"/>
        </w:rPr>
        <w:t>El administrador debe contar con la facultad de asignar uno o múltiples clientes a un entrenador específico, así como reasignar clientes entre entrenadores en cualquier momento. La vista del entrenador se actualizará en tiempo real mostrando únicamente los atletas asignados.</w:t>
      </w:r>
    </w:p>
    <w:p>
      <w:pPr>
        <w:keepNext/>
        <w:spacing w:before="240" w:after="80"/>
      </w:pPr>
      <w:r>
        <w:rPr>
          <w:b/>
          <w:color w:val="4F81BD"/>
          <w:sz w:val="24"/>
        </w:rPr>
        <w:t>RFC-04: Control de Horarios e Incidencias del Personal</w:t>
      </w:r>
    </w:p>
    <w:p>
      <w:pPr>
        <w:spacing w:before="40" w:after="120"/>
        <w:ind w:left="216"/>
      </w:pPr>
      <w:r>
        <w:rPr>
          <w:color w:val="333333"/>
        </w:rPr>
        <w:t>El sistema debe registrar las entradas y salidas de los entrenadores (vía login, PIN o biometría) y contrastarlas contra la planificación horaria establecida por la administración, calculando métricas de cumplimiento, retardo o inasistencia.</w:t>
      </w:r>
    </w:p>
    <w:p>
      <w:pPr>
        <w:keepNext/>
        <w:spacing w:before="320" w:after="160"/>
      </w:pPr>
      <w:r>
        <w:rPr>
          <w:b/>
          <w:color w:val="1F497D"/>
          <w:sz w:val="30"/>
        </w:rPr>
        <w:t>3. Transacciones Principales</w:t>
      </w:r>
    </w:p>
    <w:tbl>
      <w:tblPr>
        <w:tblW w:type="auto" w:w="0"/>
        <w:jc w:val="center"/>
        <w:tblLayout w:type="fixed"/>
        <w:tblLook w:firstColumn="1" w:firstRow="1" w:lastColumn="0" w:lastRow="0" w:noHBand="0" w:noVBand="1" w:val="04A0"/>
        <w:tblBorders>
          <w:top w:val="single" w:sz="4" w:space="0" w:color="D9D9D9"/>
          <w:left w:val="none"/>
          <w:bottom w:val="single" w:sz="8" w:space="0" w:color="1F497D"/>
          <w:right w:val="none"/>
          <w:insideH w:val="single" w:sz="4" w:space="0" w:color="D9D9D9"/>
          <w:insideV w:val="none"/>
        </w:tblBorders>
      </w:tblPr>
      <w:tblGrid>
        <w:gridCol w:w="2340"/>
        <w:gridCol w:w="2340"/>
        <w:gridCol w:w="2340"/>
        <w:gridCol w:w="2340"/>
      </w:tblGrid>
      <w:tr>
        <w:tc>
          <w:tcPr>
            <w:tcW w:type="dxa" w:w="1440"/>
            <w:shd w:fill="1F497D"/>
            <w:tcMar>
              <w:top w:w="120" w:type="dxa"/>
              <w:bottom w:w="120" w:type="dxa"/>
              <w:left w:w="120" w:type="dxa"/>
              <w:right w:w="120" w:type="dxa"/>
            </w:tcMar>
          </w:tcPr>
          <w:p>
            <w:pPr>
              <w:spacing w:before="0" w:after="0"/>
              <w:jc w:val="left"/>
            </w:pPr>
            <w:r>
              <w:rPr>
                <w:b/>
                <w:color w:val="FFFFFF"/>
                <w:sz w:val="20"/>
              </w:rPr>
              <w:t>ID</w:t>
            </w:r>
          </w:p>
        </w:tc>
        <w:tc>
          <w:tcPr>
            <w:tcW w:type="dxa" w:w="2592"/>
            <w:shd w:fill="1F497D"/>
            <w:tcMar>
              <w:top w:w="120" w:type="dxa"/>
              <w:bottom w:w="120" w:type="dxa"/>
              <w:left w:w="120" w:type="dxa"/>
              <w:right w:w="120" w:type="dxa"/>
            </w:tcMar>
          </w:tcPr>
          <w:p>
            <w:pPr>
              <w:spacing w:before="0" w:after="0"/>
              <w:jc w:val="left"/>
            </w:pPr>
            <w:r>
              <w:rPr>
                <w:b/>
                <w:color w:val="FFFFFF"/>
                <w:sz w:val="20"/>
              </w:rPr>
              <w:t>Transacción</w:t>
            </w:r>
          </w:p>
        </w:tc>
        <w:tc>
          <w:tcPr>
            <w:tcW w:type="dxa" w:w="2016"/>
            <w:shd w:fill="1F497D"/>
            <w:tcMar>
              <w:top w:w="120" w:type="dxa"/>
              <w:bottom w:w="120" w:type="dxa"/>
              <w:left w:w="120" w:type="dxa"/>
              <w:right w:w="120" w:type="dxa"/>
            </w:tcMar>
          </w:tcPr>
          <w:p>
            <w:pPr>
              <w:spacing w:before="0" w:after="0"/>
              <w:jc w:val="left"/>
            </w:pPr>
            <w:r>
              <w:rPr>
                <w:b/>
                <w:color w:val="FFFFFF"/>
                <w:sz w:val="20"/>
              </w:rPr>
              <w:t>Tipo</w:t>
            </w:r>
          </w:p>
        </w:tc>
        <w:tc>
          <w:tcPr>
            <w:tcW w:type="dxa" w:w="3312"/>
            <w:shd w:fill="1F497D"/>
            <w:tcMar>
              <w:top w:w="120" w:type="dxa"/>
              <w:bottom w:w="120" w:type="dxa"/>
              <w:left w:w="120" w:type="dxa"/>
              <w:right w:w="120" w:type="dxa"/>
            </w:tcMar>
          </w:tcPr>
          <w:p>
            <w:pPr>
              <w:spacing w:before="0" w:after="0"/>
              <w:jc w:val="left"/>
            </w:pPr>
            <w:r>
              <w:rPr>
                <w:b/>
                <w:color w:val="FFFFFF"/>
                <w:sz w:val="20"/>
              </w:rPr>
              <w:t>Descripción / Operación Técnica</w:t>
            </w:r>
          </w:p>
        </w:tc>
      </w:tr>
      <w:tr>
        <w:tc>
          <w:tcPr>
            <w:tcW w:type="dxa" w:w="1440"/>
            <w:shd w:fill="F2F5F9"/>
            <w:tcMar>
              <w:top w:w="100" w:type="dxa"/>
              <w:bottom w:w="100" w:type="dxa"/>
              <w:left w:w="120" w:type="dxa"/>
              <w:right w:w="120" w:type="dxa"/>
            </w:tcMar>
          </w:tcPr>
          <w:p>
            <w:pPr>
              <w:spacing w:before="0" w:after="0"/>
              <w:jc w:val="left"/>
            </w:pPr>
            <w:r>
              <w:rPr>
                <w:b/>
                <w:color w:val="333333"/>
                <w:sz w:val="19"/>
              </w:rPr>
              <w:t>TRX-01</w:t>
            </w:r>
          </w:p>
        </w:tc>
        <w:tc>
          <w:tcPr>
            <w:tcW w:type="dxa" w:w="2592"/>
            <w:shd w:fill="F2F5F9"/>
            <w:tcMar>
              <w:top w:w="100" w:type="dxa"/>
              <w:bottom w:w="100" w:type="dxa"/>
              <w:left w:w="120" w:type="dxa"/>
              <w:right w:w="120" w:type="dxa"/>
            </w:tcMar>
          </w:tcPr>
          <w:p>
            <w:pPr>
              <w:spacing w:before="0" w:after="0"/>
              <w:jc w:val="left"/>
            </w:pPr>
            <w:r>
              <w:rPr>
                <w:color w:val="333333"/>
                <w:sz w:val="19"/>
              </w:rPr>
              <w:t>Generación y Pago de Orden de Membresía</w:t>
            </w:r>
          </w:p>
        </w:tc>
        <w:tc>
          <w:tcPr>
            <w:tcW w:type="dxa" w:w="2016"/>
            <w:shd w:fill="F2F5F9"/>
            <w:tcMar>
              <w:top w:w="100" w:type="dxa"/>
              <w:bottom w:w="100" w:type="dxa"/>
              <w:left w:w="120" w:type="dxa"/>
              <w:right w:w="120" w:type="dxa"/>
            </w:tcMar>
          </w:tcPr>
          <w:p>
            <w:pPr>
              <w:spacing w:before="0" w:after="0"/>
              <w:jc w:val="left"/>
            </w:pPr>
            <w:r>
              <w:rPr>
                <w:color w:val="333333"/>
                <w:sz w:val="19"/>
              </w:rPr>
              <w:t>Financiera / Escritura</w:t>
            </w:r>
          </w:p>
        </w:tc>
        <w:tc>
          <w:tcPr>
            <w:tcW w:type="dxa" w:w="3312"/>
            <w:shd w:fill="F2F5F9"/>
            <w:tcMar>
              <w:top w:w="100" w:type="dxa"/>
              <w:bottom w:w="100" w:type="dxa"/>
              <w:left w:w="120" w:type="dxa"/>
              <w:right w:w="120" w:type="dxa"/>
            </w:tcMar>
          </w:tcPr>
          <w:p>
            <w:pPr>
              <w:spacing w:before="0" w:after="0"/>
              <w:jc w:val="left"/>
            </w:pPr>
            <w:r>
              <w:rPr>
                <w:color w:val="333333"/>
                <w:sz w:val="19"/>
              </w:rPr>
              <w:t>Recibe el ID del cliente y monto a pagar. Consulta la tasa del día, aplica descuentos o adelantos previos, genera la orden con estado 'Pagada' o 'Parcial', extiende la vigencia de la membresía y actualiza el estatus a 'Activo'.</w:t>
            </w:r>
          </w:p>
        </w:tc>
      </w:tr>
      <w:tr>
        <w:tc>
          <w:tcPr>
            <w:tcW w:type="dxa" w:w="1440"/>
            <w:shd w:fill="FFFFFF"/>
            <w:tcMar>
              <w:top w:w="100" w:type="dxa"/>
              <w:bottom w:w="100" w:type="dxa"/>
              <w:left w:w="120" w:type="dxa"/>
              <w:right w:w="120" w:type="dxa"/>
            </w:tcMar>
          </w:tcPr>
          <w:p>
            <w:pPr>
              <w:spacing w:before="0" w:after="0"/>
              <w:jc w:val="left"/>
            </w:pPr>
            <w:r>
              <w:rPr>
                <w:b/>
                <w:color w:val="333333"/>
                <w:sz w:val="19"/>
              </w:rPr>
              <w:t>TRX-02</w:t>
            </w:r>
          </w:p>
        </w:tc>
        <w:tc>
          <w:tcPr>
            <w:tcW w:type="dxa" w:w="2592"/>
            <w:shd w:fill="FFFFFF"/>
            <w:tcMar>
              <w:top w:w="100" w:type="dxa"/>
              <w:bottom w:w="100" w:type="dxa"/>
              <w:left w:w="120" w:type="dxa"/>
              <w:right w:w="120" w:type="dxa"/>
            </w:tcMar>
          </w:tcPr>
          <w:p>
            <w:pPr>
              <w:spacing w:before="0" w:after="0"/>
              <w:jc w:val="left"/>
            </w:pPr>
            <w:r>
              <w:rPr>
                <w:color w:val="333333"/>
                <w:sz w:val="19"/>
              </w:rPr>
              <w:t>Reasignación Masiva / Individual de Entrenador</w:t>
            </w:r>
          </w:p>
        </w:tc>
        <w:tc>
          <w:tcPr>
            <w:tcW w:type="dxa" w:w="2016"/>
            <w:shd w:fill="FFFFFF"/>
            <w:tcMar>
              <w:top w:w="100" w:type="dxa"/>
              <w:bottom w:w="100" w:type="dxa"/>
              <w:left w:w="120" w:type="dxa"/>
              <w:right w:w="120" w:type="dxa"/>
            </w:tcMar>
          </w:tcPr>
          <w:p>
            <w:pPr>
              <w:spacing w:before="0" w:after="0"/>
              <w:jc w:val="left"/>
            </w:pPr>
            <w:r>
              <w:rPr>
                <w:color w:val="333333"/>
                <w:sz w:val="19"/>
              </w:rPr>
              <w:t>Operativa / Actualización</w:t>
            </w:r>
          </w:p>
        </w:tc>
        <w:tc>
          <w:tcPr>
            <w:tcW w:type="dxa" w:w="3312"/>
            <w:shd w:fill="FFFFFF"/>
            <w:tcMar>
              <w:top w:w="100" w:type="dxa"/>
              <w:bottom w:w="100" w:type="dxa"/>
              <w:left w:w="120" w:type="dxa"/>
              <w:right w:w="120" w:type="dxa"/>
            </w:tcMar>
          </w:tcPr>
          <w:p>
            <w:pPr>
              <w:spacing w:before="0" w:after="0"/>
              <w:jc w:val="left"/>
            </w:pPr>
            <w:r>
              <w:rPr>
                <w:color w:val="333333"/>
                <w:sz w:val="19"/>
              </w:rPr>
              <w:t>Desvincula la relación Usuario_ID &lt;-&gt; Entrenador_ID_Origen y crea el nuevo vínculo Usuario_ID &lt;-&gt; Entrenador_ID_Destino. Transfiere el historial de rutinas activas y notifica a ambas partes en el dashboard.</w:t>
            </w:r>
          </w:p>
        </w:tc>
      </w:tr>
      <w:tr>
        <w:tc>
          <w:tcPr>
            <w:tcW w:type="dxa" w:w="1440"/>
            <w:shd w:fill="F2F5F9"/>
            <w:tcMar>
              <w:top w:w="100" w:type="dxa"/>
              <w:bottom w:w="100" w:type="dxa"/>
              <w:left w:w="120" w:type="dxa"/>
              <w:right w:w="120" w:type="dxa"/>
            </w:tcMar>
          </w:tcPr>
          <w:p>
            <w:pPr>
              <w:spacing w:before="0" w:after="0"/>
              <w:jc w:val="left"/>
            </w:pPr>
            <w:r>
              <w:rPr>
                <w:b/>
                <w:color w:val="333333"/>
                <w:sz w:val="19"/>
              </w:rPr>
              <w:t>TRX-03</w:t>
            </w:r>
          </w:p>
        </w:tc>
        <w:tc>
          <w:tcPr>
            <w:tcW w:type="dxa" w:w="2592"/>
            <w:shd w:fill="F2F5F9"/>
            <w:tcMar>
              <w:top w:w="100" w:type="dxa"/>
              <w:bottom w:w="100" w:type="dxa"/>
              <w:left w:w="120" w:type="dxa"/>
              <w:right w:w="120" w:type="dxa"/>
            </w:tcMar>
          </w:tcPr>
          <w:p>
            <w:pPr>
              <w:spacing w:before="0" w:after="0"/>
              <w:jc w:val="left"/>
            </w:pPr>
            <w:r>
              <w:rPr>
                <w:color w:val="333333"/>
                <w:sz w:val="19"/>
              </w:rPr>
              <w:t>Marcaje de Asistencia y Verificación de Acceso</w:t>
            </w:r>
          </w:p>
        </w:tc>
        <w:tc>
          <w:tcPr>
            <w:tcW w:type="dxa" w:w="2016"/>
            <w:shd w:fill="F2F5F9"/>
            <w:tcMar>
              <w:top w:w="100" w:type="dxa"/>
              <w:bottom w:w="100" w:type="dxa"/>
              <w:left w:w="120" w:type="dxa"/>
              <w:right w:w="120" w:type="dxa"/>
            </w:tcMar>
          </w:tcPr>
          <w:p>
            <w:pPr>
              <w:spacing w:before="0" w:after="0"/>
              <w:jc w:val="left"/>
            </w:pPr>
            <w:r>
              <w:rPr>
                <w:color w:val="333333"/>
                <w:sz w:val="19"/>
              </w:rPr>
              <w:t>Lógica de Negocio / Registro</w:t>
            </w:r>
          </w:p>
        </w:tc>
        <w:tc>
          <w:tcPr>
            <w:tcW w:type="dxa" w:w="3312"/>
            <w:shd w:fill="F2F5F9"/>
            <w:tcMar>
              <w:top w:w="100" w:type="dxa"/>
              <w:bottom w:w="100" w:type="dxa"/>
              <w:left w:w="120" w:type="dxa"/>
              <w:right w:w="120" w:type="dxa"/>
            </w:tcMar>
          </w:tcPr>
          <w:p>
            <w:pPr>
              <w:spacing w:before="0" w:after="0"/>
              <w:jc w:val="left"/>
            </w:pPr>
            <w:r>
              <w:rPr>
                <w:color w:val="333333"/>
                <w:sz w:val="19"/>
              </w:rPr>
              <w:t>Evalúa en un solo flujo la identidad del usuario/entrenador, verifica su rol e indica si su membresía/horario está al día. Si cumple, inserta el registro de asistencia (Log_Asistencia) con timestamp y autoriza el ingreso; si es moroso o está fuera de horario, rechaza la transacción.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