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sz w:val="28"/>
          <w:szCs w:val="28"/>
        </w:rPr>
      </w:pPr>
      <w:r w:rsidDel="00000000" w:rsidR="00000000" w:rsidRPr="00000000">
        <w:rPr>
          <w:b w:val="1"/>
          <w:sz w:val="28"/>
          <w:szCs w:val="28"/>
          <w:rtl w:val="0"/>
        </w:rPr>
        <w:t xml:space="preserve">Fundamento de Teoría de Juegos</w:t>
      </w:r>
      <w:r w:rsidDel="00000000" w:rsidR="00000000" w:rsidRPr="00000000">
        <w:drawing>
          <wp:anchor allowOverlap="1" behindDoc="0" distB="0" distT="0" distL="114300" distR="114300" hidden="0" layoutInCell="1" locked="0" relativeHeight="0" simplePos="0">
            <wp:simplePos x="0" y="0"/>
            <wp:positionH relativeFrom="column">
              <wp:posOffset>5434330</wp:posOffset>
            </wp:positionH>
            <wp:positionV relativeFrom="paragraph">
              <wp:posOffset>635</wp:posOffset>
            </wp:positionV>
            <wp:extent cx="630555" cy="61404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555" cy="614045"/>
                    </a:xfrm>
                    <a:prstGeom prst="rect"/>
                    <a:ln/>
                  </pic:spPr>
                </pic:pic>
              </a:graphicData>
            </a:graphic>
          </wp:anchor>
        </w:drawing>
      </w:r>
    </w:p>
    <w:bookmarkStart w:colFirst="0" w:colLast="0" w:name="gjdgxs" w:id="0"/>
    <w:bookmarkEnd w:id="0"/>
    <w:p w:rsidR="00000000" w:rsidDel="00000000" w:rsidP="00000000" w:rsidRDefault="00000000" w:rsidRPr="00000000" w14:paraId="00000002">
      <w:pPr>
        <w:pStyle w:val="Subtitle"/>
        <w:spacing w:after="180" w:line="360" w:lineRule="auto"/>
        <w:jc w:val="center"/>
        <w:rPr>
          <w:b w:val="1"/>
          <w:color w:val="000000"/>
        </w:rPr>
      </w:pPr>
      <w:r w:rsidDel="00000000" w:rsidR="00000000" w:rsidRPr="00000000">
        <w:rPr>
          <w:color w:val="000000"/>
          <w:rtl w:val="0"/>
        </w:rPr>
        <w:t xml:space="preserve">Responsabilidad ética y profesional “ABET – 2”</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1" w:sz="4" w:val="single"/>
          <w:right w:space="0" w:sz="0" w:val="nil"/>
          <w:between w:space="0" w:sz="0" w:val="nil"/>
        </w:pBdr>
        <w:shd w:fill="auto" w:val="clear"/>
        <w:spacing w:after="6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Secciones: Todas</w:t>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INFORME DE APLICACIÓN DE LAS COMPETENCIAS “ABET” EN EL TRABAJO FINAL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GENERALIDADES: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Sergio Sugahara Cruzalegui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estudiante:</w:t>
      </w:r>
      <w:r w:rsidDel="00000000" w:rsidR="00000000" w:rsidRPr="00000000">
        <w:rPr>
          <w:rFonts w:ascii="Arial" w:cs="Arial" w:eastAsia="Arial" w:hAnsi="Arial"/>
          <w:rtl w:val="0"/>
        </w:rPr>
        <w:t xml:space="preserve"> u201513410</w:t>
      </w:r>
      <w:r w:rsidDel="00000000" w:rsidR="00000000" w:rsidRPr="00000000">
        <w:rPr>
          <w:rtl w:val="0"/>
        </w:rPr>
      </w:r>
    </w:p>
    <w:p w:rsidR="00000000" w:rsidDel="00000000" w:rsidP="00000000" w:rsidRDefault="00000000" w:rsidRPr="00000000" w14:paraId="00000009">
      <w:pPr>
        <w:pStyle w:val="Heading1"/>
        <w:spacing w:line="360" w:lineRule="auto"/>
        <w:rPr>
          <w:b w:val="0"/>
          <w:sz w:val="22"/>
          <w:szCs w:val="22"/>
        </w:rPr>
      </w:pPr>
      <w:r w:rsidDel="00000000" w:rsidR="00000000" w:rsidRPr="00000000">
        <w:rPr>
          <w:b w:val="0"/>
          <w:sz w:val="22"/>
          <w:szCs w:val="22"/>
          <w:rtl w:val="0"/>
        </w:rPr>
        <w:t xml:space="preserve">Título del trabajo final: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 la propuesta del trabajo final</w:t>
      </w:r>
      <w:r w:rsidDel="00000000" w:rsidR="00000000" w:rsidRPr="00000000">
        <w:rPr>
          <w:rFonts w:ascii="Arial" w:cs="Arial" w:eastAsia="Arial" w:hAnsi="Arial"/>
          <w:rtl w:val="0"/>
        </w:rPr>
        <w:t xml:space="preserve">: Concientizar a las personas de los remedios indicados ante distintos tipos de enfermedades.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 productos o componentes en ingeniería que satisfacen necesidades específicas considerando el impacto en salud pública, seguridad, bienestar, así como factores globales, culturales, sociales, ambientales y económicos</w:t>
      </w:r>
      <w:bookmarkStart w:colFirst="0" w:colLast="0" w:name="30j0zll" w:id="1"/>
      <w:bookmarkEnd w:id="1"/>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Describa como su videojuego</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 satisface alguna de estas necesidades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rtl w:val="0"/>
        </w:rPr>
        <w:t xml:space="preserve">Ayuda a entender mejor el tipo de medicamento a usar para ciertos tipos de enfermedad o malestares de forma didáctica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Algoritmos, métodos, técnicas u otros en desarrollo de videojuegos que ha usado para el desarrollo de proyecto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Se utilizó cálculos de ecuación de la recta, para determinar la dirección en la que serán enviados los remedios, junto con cálculos de colisiones entre el remedio y la enfermedad.</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Describa brevemente la arquitectura o modelo de la solución que emplea al desarrollar el videojuego o componente del proyecto</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Para desarrollar este videojuego se necesitó crear una clase adicional llamada Bullet en la cual se designa la trayectoria y velocidad del remedio que será arrojado desde el jugado. Asimismo, se implementaron funciones de colisión entre hijos de la clase agente (Enemy y Bullet) para validar cuando estas entran en contacto para su evaluación de si son del mismo tipo (mediante la comparación de una variable dentro de cada clase hija que al ser iguales, eliminará ambos objetos en evaluación.</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 proyectos que permiten la implementación de soluciones en ingeniería considerando el impacto en salud pública, seguridad, bienestar, así como factores globales, culturales, sociales, ambientales y económicos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Describa la arquitectura o diagrama de flujo del aplicativo que utiliza el modelo de solución del videojuego o componente.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Después de cierto tiempo transcurrido un enemigo (distintos tipos de gérmenes) será generado aleatoriamente y esta tendrá que ser contrarrestado con el remedio indicado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cómo reconoce las restricciones éticas como plagios y/o copias de las otras propuestas planteadas.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Buscar similaridades más allá de lo que se pueda apreciar a simple vista, sino en las funcionalidades, mecánicas y propósitos del juego.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la arquitectura planteada ayuda a satisfacer alguna de las necesidades anteriormente mencionadas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Lograr tener un método didáctico de dar el mensaje de beneficios de salud</w:t>
      </w:r>
      <w:r w:rsidDel="00000000" w:rsidR="00000000" w:rsidRPr="00000000">
        <w:rPr>
          <w:rtl w:val="0"/>
        </w:rPr>
      </w:r>
    </w:p>
    <w:tbl>
      <w:tblPr>
        <w:tblStyle w:val="Table1"/>
        <w:tblW w:w="94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04"/>
        <w:tblGridChange w:id="0">
          <w:tblGrid>
            <w:gridCol w:w="9404"/>
          </w:tblGrid>
        </w:tblGridChange>
      </w:tblGrid>
      <w:tr>
        <w:tc>
          <w:tcPr>
            <w:vAlign w:val="center"/>
          </w:tcPr>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 los procesos relacionados al desarrollo y mantenimiento de la solución en ingeniería considerando el impacto en salud pública, seguridad, bienestar, así como factores globales, culturales, sociales, ambientales y económicos</w:t>
            </w:r>
            <w:r w:rsidDel="00000000" w:rsidR="00000000" w:rsidRPr="00000000">
              <w:rPr>
                <w:rtl w:val="0"/>
              </w:rPr>
            </w:r>
          </w:p>
        </w:tc>
      </w:tr>
    </w:tbl>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Métricas de mediciones que ha usado para mostrar los resultados y para comparar o discutir con otras propuestas.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Velocidad de procesamiento del juego para que sea ejecutado en diversos dispositivos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impacto que puede tener su solución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Enseñar al público las contramedidas indicadas ante cada microbio.</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Fonts w:ascii="Arial" w:cs="Arial" w:eastAsia="Arial" w:hAnsi="Arial"/>
          <w:rtl w:val="0"/>
        </w:rPr>
        <w:tab/>
        <w:tab/>
        <w:tab/>
        <w:tab/>
        <w:tab/>
        <w:tab/>
        <w:tab/>
        <w:tab/>
        <w:tab/>
        <w:t xml:space="preserve">Noviembre, 2019</w:t>
      </w:r>
    </w:p>
    <w:sectPr>
      <w:pgSz w:h="15840" w:w="12240"/>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