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11F74" w14:textId="77777777" w:rsidR="00227300" w:rsidRPr="00DC67D8" w:rsidRDefault="00227300" w:rsidP="00DC67D8">
      <w:pPr>
        <w:spacing w:after="0" w:line="480" w:lineRule="auto"/>
        <w:ind w:left="540" w:right="666"/>
        <w:jc w:val="center"/>
        <w:rPr>
          <w:rFonts w:asciiTheme="majorBidi" w:hAnsiTheme="majorBidi" w:cstheme="majorBidi"/>
          <w:b/>
          <w:bCs/>
          <w:sz w:val="36"/>
          <w:szCs w:val="36"/>
          <w:rtl/>
        </w:rPr>
      </w:pPr>
      <w:r w:rsidRPr="00DC67D8">
        <w:rPr>
          <w:rFonts w:asciiTheme="majorBidi" w:hAnsiTheme="majorBidi" w:cstheme="majorBidi"/>
          <w:b/>
          <w:bCs/>
          <w:sz w:val="36"/>
          <w:szCs w:val="36"/>
          <w:lang w:val="en"/>
        </w:rPr>
        <w:t>Law No. (10) of 2018</w:t>
      </w:r>
    </w:p>
    <w:p w14:paraId="48105552" w14:textId="5B210273" w:rsidR="00227300" w:rsidRPr="00DC67D8" w:rsidRDefault="00227300" w:rsidP="00DC67D8">
      <w:pPr>
        <w:spacing w:after="0" w:line="480" w:lineRule="auto"/>
        <w:ind w:left="540" w:right="666"/>
        <w:jc w:val="center"/>
        <w:rPr>
          <w:rFonts w:asciiTheme="majorBidi" w:hAnsiTheme="majorBidi" w:cstheme="majorBidi"/>
          <w:b/>
          <w:bCs/>
          <w:sz w:val="36"/>
          <w:szCs w:val="36"/>
          <w:lang w:val="en"/>
        </w:rPr>
      </w:pPr>
      <w:r w:rsidRPr="00DC67D8">
        <w:rPr>
          <w:rFonts w:asciiTheme="majorBidi" w:hAnsiTheme="majorBidi" w:cstheme="majorBidi"/>
          <w:b/>
          <w:bCs/>
          <w:sz w:val="36"/>
          <w:szCs w:val="36"/>
          <w:lang w:val="en"/>
        </w:rPr>
        <w:t>on Permanent Residency</w:t>
      </w:r>
    </w:p>
    <w:p w14:paraId="1C67CB33" w14:textId="5106E14C" w:rsidR="00B3358B" w:rsidRPr="00B3358B" w:rsidRDefault="00B3358B" w:rsidP="00DC67D8">
      <w:pPr>
        <w:spacing w:after="0" w:line="480" w:lineRule="auto"/>
        <w:ind w:left="540" w:right="666"/>
        <w:jc w:val="center"/>
        <w:rPr>
          <w:rFonts w:asciiTheme="majorBidi" w:hAnsiTheme="majorBidi" w:cstheme="majorBidi"/>
          <w:b/>
          <w:bCs/>
          <w:sz w:val="32"/>
          <w:szCs w:val="32"/>
          <w:rtl/>
        </w:rPr>
      </w:pPr>
      <w:r>
        <w:rPr>
          <w:rFonts w:asciiTheme="majorBidi" w:hAnsiTheme="majorBidi" w:cstheme="majorBidi"/>
          <w:b/>
          <w:bCs/>
          <w:sz w:val="32"/>
          <w:szCs w:val="32"/>
          <w:lang w:val="en"/>
        </w:rPr>
        <w:t>____________________________________________________________</w:t>
      </w:r>
    </w:p>
    <w:p w14:paraId="35A5FCC3" w14:textId="77777777" w:rsidR="00227300" w:rsidRPr="00B3358B" w:rsidRDefault="00227300" w:rsidP="00DC67D8">
      <w:pPr>
        <w:bidi/>
        <w:spacing w:after="0" w:line="480" w:lineRule="auto"/>
        <w:ind w:left="540" w:right="666"/>
        <w:rPr>
          <w:rFonts w:asciiTheme="majorBidi" w:hAnsiTheme="majorBidi" w:cstheme="majorBidi"/>
          <w:b/>
          <w:bCs/>
          <w:sz w:val="32"/>
          <w:szCs w:val="32"/>
          <w:rtl/>
        </w:rPr>
      </w:pPr>
    </w:p>
    <w:p w14:paraId="3BDE93BD" w14:textId="4A8E9676" w:rsidR="00227300" w:rsidRPr="00B3358B" w:rsidRDefault="00227300" w:rsidP="00DC67D8">
      <w:pPr>
        <w:spacing w:after="0" w:line="480" w:lineRule="auto"/>
        <w:ind w:left="540" w:right="666"/>
        <w:rPr>
          <w:rFonts w:asciiTheme="majorBidi" w:hAnsiTheme="majorBidi" w:cstheme="majorBidi"/>
          <w:b/>
          <w:bCs/>
          <w:sz w:val="32"/>
          <w:szCs w:val="32"/>
          <w:rtl/>
        </w:rPr>
      </w:pPr>
      <w:r w:rsidRPr="00B3358B">
        <w:rPr>
          <w:rFonts w:asciiTheme="majorBidi" w:hAnsiTheme="majorBidi" w:cstheme="majorBidi"/>
          <w:b/>
          <w:bCs/>
          <w:sz w:val="32"/>
          <w:szCs w:val="32"/>
          <w:lang w:val="en"/>
        </w:rPr>
        <w:t xml:space="preserve">We, Tamim Bin Hamad Al-Thani               </w:t>
      </w:r>
      <w:r w:rsidR="00DC67D8">
        <w:rPr>
          <w:rFonts w:asciiTheme="majorBidi" w:hAnsiTheme="majorBidi" w:cstheme="majorBidi"/>
          <w:b/>
          <w:bCs/>
          <w:sz w:val="32"/>
          <w:szCs w:val="32"/>
          <w:lang w:val="en"/>
        </w:rPr>
        <w:t xml:space="preserve"> </w:t>
      </w:r>
      <w:r w:rsidRPr="00B3358B">
        <w:rPr>
          <w:rFonts w:asciiTheme="majorBidi" w:hAnsiTheme="majorBidi" w:cstheme="majorBidi"/>
          <w:b/>
          <w:bCs/>
          <w:sz w:val="32"/>
          <w:szCs w:val="32"/>
          <w:lang w:val="en"/>
        </w:rPr>
        <w:t xml:space="preserve">   Emir of the State of Qatar,  </w:t>
      </w:r>
    </w:p>
    <w:p w14:paraId="64D69DC3" w14:textId="77777777" w:rsidR="00227300" w:rsidRPr="00B3358B" w:rsidRDefault="00227300" w:rsidP="00DC67D8">
      <w:pPr>
        <w:spacing w:after="0" w:line="480" w:lineRule="auto"/>
        <w:ind w:left="540" w:right="666"/>
        <w:rPr>
          <w:rFonts w:asciiTheme="majorBidi" w:hAnsiTheme="majorBidi" w:cstheme="majorBidi"/>
          <w:b/>
          <w:bCs/>
          <w:sz w:val="32"/>
          <w:szCs w:val="32"/>
          <w:lang w:val="en"/>
        </w:rPr>
      </w:pPr>
    </w:p>
    <w:p w14:paraId="186F3575"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After having perused the Constitution, </w:t>
      </w:r>
    </w:p>
    <w:p w14:paraId="7D628764"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Law No. (5) of 1963 on the Inadmissibility of the Acquisition of the Immovable Assets by Foreigners in Qatar, </w:t>
      </w:r>
    </w:p>
    <w:p w14:paraId="47F108E1" w14:textId="07ED2925"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Law No. (21) of 1989 on the Regulation of the Marriage of Foreigners, and the amending laws thereof, </w:t>
      </w:r>
    </w:p>
    <w:p w14:paraId="04EE7BD4" w14:textId="30503321"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Law No. (13) of 2000 on the Regulation of the Investment of Non-Qatari Capital in Economic Activity, and the amending laws thereof, </w:t>
      </w:r>
    </w:p>
    <w:p w14:paraId="4C11308F" w14:textId="0FC645CB" w:rsidR="00227300" w:rsidRPr="00B3358B" w:rsidRDefault="00227300" w:rsidP="00DC67D8">
      <w:pPr>
        <w:spacing w:after="0" w:line="480" w:lineRule="auto"/>
        <w:ind w:left="540" w:right="666"/>
        <w:rPr>
          <w:rFonts w:asciiTheme="majorBidi" w:hAnsiTheme="majorBidi" w:cstheme="majorBidi"/>
          <w:sz w:val="32"/>
          <w:szCs w:val="32"/>
          <w:lang w:val="en"/>
        </w:rPr>
      </w:pPr>
      <w:r w:rsidRPr="00B3358B">
        <w:rPr>
          <w:rFonts w:asciiTheme="majorBidi" w:hAnsiTheme="majorBidi" w:cstheme="majorBidi"/>
          <w:sz w:val="32"/>
          <w:szCs w:val="32"/>
          <w:lang w:val="en"/>
        </w:rPr>
        <w:t>Law No. (17) of 2004 on the Regulation of the Ownership and Usage of Real Estate and Residential Units by Non-Qataris,</w:t>
      </w:r>
    </w:p>
    <w:p w14:paraId="4A80AECC"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Law No. (38) of 2005 on Qatari Nationality, </w:t>
      </w:r>
    </w:p>
    <w:p w14:paraId="45BEA193" w14:textId="1256BC00" w:rsidR="00227300" w:rsidRPr="00B3358B" w:rsidRDefault="00DC67D8"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lastRenderedPageBreak/>
        <w:t>The Commercial</w:t>
      </w:r>
      <w:r w:rsidR="00227300" w:rsidRPr="00B3358B">
        <w:rPr>
          <w:rFonts w:asciiTheme="majorBidi" w:hAnsiTheme="majorBidi" w:cstheme="majorBidi"/>
          <w:sz w:val="32"/>
          <w:szCs w:val="32"/>
          <w:lang w:val="en"/>
        </w:rPr>
        <w:t xml:space="preserve"> Companies Law promulgated by Law No. (11) of 2015, </w:t>
      </w:r>
    </w:p>
    <w:p w14:paraId="3D495999" w14:textId="2002205B"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Law No. (21) </w:t>
      </w:r>
      <w:r w:rsidR="00DC67D8" w:rsidRPr="00B3358B">
        <w:rPr>
          <w:rFonts w:asciiTheme="majorBidi" w:hAnsiTheme="majorBidi" w:cstheme="majorBidi"/>
          <w:sz w:val="32"/>
          <w:szCs w:val="32"/>
          <w:lang w:val="en"/>
        </w:rPr>
        <w:t>of 2015</w:t>
      </w:r>
      <w:r w:rsidRPr="00B3358B">
        <w:rPr>
          <w:rFonts w:asciiTheme="majorBidi" w:hAnsiTheme="majorBidi" w:cstheme="majorBidi"/>
          <w:sz w:val="32"/>
          <w:szCs w:val="32"/>
          <w:lang w:val="en"/>
        </w:rPr>
        <w:t xml:space="preserve"> on the Regulation of the Entry and Exit of Expatriates and their Residency, as amended by Law No. (1) of 2017, </w:t>
      </w:r>
      <w:r w:rsidRPr="00B3358B">
        <w:rPr>
          <w:rFonts w:asciiTheme="majorBidi" w:hAnsiTheme="majorBidi" w:cstheme="majorBidi"/>
          <w:sz w:val="32"/>
          <w:szCs w:val="32"/>
        </w:rPr>
        <w:t>and</w:t>
      </w:r>
    </w:p>
    <w:p w14:paraId="41FF0A37"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draft law submitted by the Council of Ministers, and </w:t>
      </w:r>
    </w:p>
    <w:p w14:paraId="7037AC54" w14:textId="328C8F76" w:rsidR="00227300" w:rsidRDefault="00227300" w:rsidP="00DC67D8">
      <w:pPr>
        <w:spacing w:after="0" w:line="480" w:lineRule="auto"/>
        <w:ind w:left="540" w:right="666"/>
        <w:rPr>
          <w:rFonts w:asciiTheme="majorBidi" w:hAnsiTheme="majorBidi" w:cstheme="majorBidi"/>
          <w:sz w:val="32"/>
          <w:szCs w:val="32"/>
          <w:lang w:val="en"/>
        </w:rPr>
      </w:pPr>
      <w:r w:rsidRPr="00B3358B">
        <w:rPr>
          <w:rFonts w:asciiTheme="majorBidi" w:hAnsiTheme="majorBidi" w:cstheme="majorBidi"/>
          <w:sz w:val="32"/>
          <w:szCs w:val="32"/>
          <w:lang w:val="en"/>
        </w:rPr>
        <w:t xml:space="preserve">After having consulted the Shura Council, </w:t>
      </w:r>
    </w:p>
    <w:p w14:paraId="55687C01" w14:textId="77777777" w:rsidR="001F7044" w:rsidRPr="00B3358B" w:rsidRDefault="001F7044" w:rsidP="00DC67D8">
      <w:pPr>
        <w:spacing w:after="0" w:line="480" w:lineRule="auto"/>
        <w:ind w:left="540" w:right="666"/>
        <w:rPr>
          <w:rFonts w:asciiTheme="majorBidi" w:hAnsiTheme="majorBidi" w:cstheme="majorBidi"/>
          <w:sz w:val="32"/>
          <w:szCs w:val="32"/>
          <w:rtl/>
        </w:rPr>
      </w:pPr>
    </w:p>
    <w:p w14:paraId="22DB163E" w14:textId="77777777" w:rsidR="00227300" w:rsidRPr="001F7044" w:rsidRDefault="00227300" w:rsidP="00DC67D8">
      <w:pPr>
        <w:spacing w:after="0" w:line="480" w:lineRule="auto"/>
        <w:ind w:left="540" w:right="666"/>
        <w:rPr>
          <w:rFonts w:asciiTheme="majorBidi" w:hAnsiTheme="majorBidi" w:cstheme="majorBidi"/>
          <w:b/>
          <w:bCs/>
          <w:sz w:val="32"/>
          <w:szCs w:val="32"/>
        </w:rPr>
      </w:pPr>
      <w:r w:rsidRPr="001F7044">
        <w:rPr>
          <w:rFonts w:asciiTheme="majorBidi" w:hAnsiTheme="majorBidi" w:cstheme="majorBidi"/>
          <w:b/>
          <w:bCs/>
          <w:sz w:val="32"/>
          <w:szCs w:val="32"/>
          <w:lang w:val="en"/>
        </w:rPr>
        <w:t xml:space="preserve">Have decided the following Law: </w:t>
      </w:r>
    </w:p>
    <w:p w14:paraId="49F10896" w14:textId="77777777" w:rsidR="00227300" w:rsidRPr="00B3358B" w:rsidRDefault="00227300" w:rsidP="00DC67D8">
      <w:pPr>
        <w:spacing w:after="0" w:line="480" w:lineRule="auto"/>
        <w:ind w:left="540" w:right="666"/>
        <w:rPr>
          <w:rFonts w:asciiTheme="majorBidi" w:hAnsiTheme="majorBidi" w:cstheme="majorBidi"/>
          <w:sz w:val="32"/>
          <w:szCs w:val="32"/>
          <w:rtl/>
        </w:rPr>
      </w:pPr>
    </w:p>
    <w:p w14:paraId="3EE347F2"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(1)</w:t>
      </w:r>
    </w:p>
    <w:p w14:paraId="304BE682"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A non-Qatari may be granted the permanent residency in the State of Qatar, according to the provisions of this Law, if he/she </w:t>
      </w:r>
      <w:r w:rsidRPr="00B3358B">
        <w:rPr>
          <w:rFonts w:asciiTheme="majorBidi" w:hAnsiTheme="majorBidi" w:cstheme="majorBidi"/>
          <w:noProof/>
          <w:sz w:val="32"/>
          <w:szCs w:val="32"/>
          <w:lang w:val="en"/>
        </w:rPr>
        <w:t>meets</w:t>
      </w:r>
      <w:r w:rsidRPr="00B3358B">
        <w:rPr>
          <w:rFonts w:asciiTheme="majorBidi" w:hAnsiTheme="majorBidi" w:cstheme="majorBidi"/>
          <w:sz w:val="32"/>
          <w:szCs w:val="32"/>
          <w:lang w:val="en"/>
        </w:rPr>
        <w:t xml:space="preserve"> the following conditions: </w:t>
      </w:r>
    </w:p>
    <w:p w14:paraId="6AD6C9AA" w14:textId="77777777" w:rsidR="00227300" w:rsidRPr="00B3358B" w:rsidRDefault="00227300" w:rsidP="00DC67D8">
      <w:pPr>
        <w:pStyle w:val="ListParagraph"/>
        <w:numPr>
          <w:ilvl w:val="0"/>
          <w:numId w:val="1"/>
        </w:numPr>
        <w:spacing w:after="0" w:line="480" w:lineRule="auto"/>
        <w:ind w:left="1440" w:right="666"/>
        <w:rPr>
          <w:rFonts w:asciiTheme="majorBidi" w:hAnsiTheme="majorBidi" w:cstheme="majorBidi"/>
          <w:sz w:val="32"/>
          <w:szCs w:val="32"/>
        </w:rPr>
      </w:pPr>
      <w:r w:rsidRPr="00B3358B">
        <w:rPr>
          <w:rFonts w:asciiTheme="majorBidi" w:hAnsiTheme="majorBidi" w:cstheme="majorBidi"/>
          <w:noProof/>
          <w:sz w:val="32"/>
          <w:szCs w:val="32"/>
          <w:lang w:val="en"/>
        </w:rPr>
        <w:t xml:space="preserve">He/she had made his ordinary residency in the State, legally, for a period of twenty years if he/she was born outside the State ,and  ten years if he/she was born inside it, provided that the period of residency is consecutive and before the date of applying for a </w:t>
      </w:r>
      <w:r w:rsidRPr="00B3358B">
        <w:rPr>
          <w:rFonts w:asciiTheme="majorBidi" w:hAnsiTheme="majorBidi" w:cstheme="majorBidi"/>
          <w:noProof/>
          <w:sz w:val="32"/>
          <w:szCs w:val="32"/>
          <w:lang w:val="en"/>
        </w:rPr>
        <w:lastRenderedPageBreak/>
        <w:t>Permanent Residency Permit. The exit of the permit applicant from the State of Qatar for a period not exceeding sixty days per year shall not prejudice the sequence of time.</w:t>
      </w:r>
      <w:r w:rsidRPr="00B3358B">
        <w:rPr>
          <w:rFonts w:asciiTheme="majorBidi" w:hAnsiTheme="majorBidi" w:cstheme="majorBidi"/>
          <w:sz w:val="32"/>
          <w:szCs w:val="32"/>
          <w:lang w:val="en"/>
        </w:rPr>
        <w:t xml:space="preserve"> In all cases, such period shall be deducted from the calculation of the duration </w:t>
      </w:r>
      <w:r w:rsidR="002D63C3" w:rsidRPr="00B3358B">
        <w:rPr>
          <w:rFonts w:asciiTheme="majorBidi" w:hAnsiTheme="majorBidi" w:cstheme="majorBidi"/>
          <w:sz w:val="32"/>
          <w:szCs w:val="32"/>
          <w:lang w:val="en"/>
        </w:rPr>
        <w:t>of his residence in the country</w:t>
      </w:r>
      <w:r w:rsidRPr="00B3358B">
        <w:rPr>
          <w:rFonts w:asciiTheme="majorBidi" w:hAnsiTheme="majorBidi" w:cstheme="majorBidi"/>
          <w:sz w:val="32"/>
          <w:szCs w:val="32"/>
          <w:lang w:val="en"/>
        </w:rPr>
        <w:t xml:space="preserve">. </w:t>
      </w:r>
    </w:p>
    <w:p w14:paraId="4D0360B0" w14:textId="77777777" w:rsidR="00227300" w:rsidRPr="00B3358B" w:rsidRDefault="00227300" w:rsidP="00DC67D8">
      <w:pPr>
        <w:pStyle w:val="ListParagraph"/>
        <w:spacing w:after="0" w:line="480" w:lineRule="auto"/>
        <w:ind w:left="1440" w:right="666"/>
        <w:rPr>
          <w:rFonts w:asciiTheme="majorBidi" w:hAnsiTheme="majorBidi" w:cstheme="majorBidi"/>
          <w:sz w:val="32"/>
          <w:szCs w:val="32"/>
          <w:rtl/>
        </w:rPr>
      </w:pPr>
      <w:r w:rsidRPr="00B3358B">
        <w:rPr>
          <w:rFonts w:asciiTheme="majorBidi" w:hAnsiTheme="majorBidi" w:cstheme="majorBidi"/>
          <w:sz w:val="32"/>
          <w:szCs w:val="32"/>
          <w:lang w:val="en"/>
        </w:rPr>
        <w:t xml:space="preserve">If the applicant for the Permanent Residency Permit leaves the country after submitting his/her application for obtaining it, for a period exceeding six consecutive months, the Minister of Interior may not take into account the period of his/her previous residence in the country. </w:t>
      </w:r>
    </w:p>
    <w:p w14:paraId="15A1295D" w14:textId="77777777" w:rsidR="00227300" w:rsidRPr="00B3358B" w:rsidRDefault="00227300" w:rsidP="00DC67D8">
      <w:pPr>
        <w:pStyle w:val="ListParagraph"/>
        <w:numPr>
          <w:ilvl w:val="0"/>
          <w:numId w:val="1"/>
        </w:numPr>
        <w:spacing w:after="0" w:line="480" w:lineRule="auto"/>
        <w:ind w:left="1440" w:right="666"/>
        <w:rPr>
          <w:rFonts w:asciiTheme="majorBidi" w:hAnsiTheme="majorBidi" w:cstheme="majorBidi"/>
          <w:sz w:val="32"/>
          <w:szCs w:val="32"/>
        </w:rPr>
      </w:pPr>
      <w:r w:rsidRPr="00B3358B">
        <w:rPr>
          <w:rFonts w:asciiTheme="majorBidi" w:hAnsiTheme="majorBidi" w:cstheme="majorBidi"/>
          <w:sz w:val="32"/>
          <w:szCs w:val="32"/>
          <w:lang w:val="en"/>
        </w:rPr>
        <w:t xml:space="preserve">He/she shall have a sufficient income to meet his/her needs and dependents, and the minimum value of this income and exceptions </w:t>
      </w:r>
      <w:r w:rsidRPr="00B3358B">
        <w:rPr>
          <w:rFonts w:asciiTheme="majorBidi" w:hAnsiTheme="majorBidi" w:cstheme="majorBidi"/>
          <w:noProof/>
          <w:sz w:val="32"/>
          <w:szCs w:val="32"/>
          <w:lang w:val="en"/>
        </w:rPr>
        <w:t xml:space="preserve">from it </w:t>
      </w:r>
      <w:r w:rsidRPr="00B3358B">
        <w:rPr>
          <w:rFonts w:asciiTheme="majorBidi" w:hAnsiTheme="majorBidi" w:cstheme="majorBidi"/>
          <w:sz w:val="32"/>
          <w:szCs w:val="32"/>
          <w:lang w:val="en"/>
        </w:rPr>
        <w:t xml:space="preserve">shall </w:t>
      </w:r>
      <w:r w:rsidRPr="00B3358B">
        <w:rPr>
          <w:rFonts w:asciiTheme="majorBidi" w:hAnsiTheme="majorBidi" w:cstheme="majorBidi"/>
          <w:noProof/>
          <w:sz w:val="32"/>
          <w:szCs w:val="32"/>
          <w:lang w:val="en"/>
        </w:rPr>
        <w:t>be specified</w:t>
      </w:r>
      <w:r w:rsidRPr="00B3358B">
        <w:rPr>
          <w:rFonts w:asciiTheme="majorBidi" w:hAnsiTheme="majorBidi" w:cstheme="majorBidi"/>
          <w:sz w:val="32"/>
          <w:szCs w:val="32"/>
          <w:lang w:val="en"/>
        </w:rPr>
        <w:t xml:space="preserve"> by a decision of the Council of Ministers. </w:t>
      </w:r>
    </w:p>
    <w:p w14:paraId="62BC9E10" w14:textId="77777777" w:rsidR="00227300" w:rsidRPr="00B3358B" w:rsidRDefault="00227300" w:rsidP="00DC67D8">
      <w:pPr>
        <w:pStyle w:val="ListParagraph"/>
        <w:numPr>
          <w:ilvl w:val="0"/>
          <w:numId w:val="1"/>
        </w:numPr>
        <w:spacing w:after="0" w:line="480" w:lineRule="auto"/>
        <w:ind w:left="1440" w:right="666"/>
        <w:rPr>
          <w:rFonts w:asciiTheme="majorBidi" w:hAnsiTheme="majorBidi" w:cstheme="majorBidi"/>
          <w:sz w:val="32"/>
          <w:szCs w:val="32"/>
        </w:rPr>
      </w:pPr>
      <w:r w:rsidRPr="00B3358B">
        <w:rPr>
          <w:rFonts w:asciiTheme="majorBidi" w:hAnsiTheme="majorBidi" w:cstheme="majorBidi"/>
          <w:sz w:val="32"/>
          <w:szCs w:val="32"/>
          <w:lang w:val="en"/>
        </w:rPr>
        <w:t xml:space="preserve">He/she shall be a praiseworthy and reputed person, who has never been convicted by any final judgment in the State of Qatar or outside </w:t>
      </w:r>
      <w:r w:rsidRPr="00B3358B">
        <w:rPr>
          <w:rFonts w:asciiTheme="majorBidi" w:hAnsiTheme="majorBidi" w:cstheme="majorBidi"/>
          <w:sz w:val="32"/>
          <w:szCs w:val="32"/>
          <w:lang w:val="en"/>
        </w:rPr>
        <w:lastRenderedPageBreak/>
        <w:t xml:space="preserve">for any crime against honor or honesty, unless he/she </w:t>
      </w:r>
      <w:r w:rsidRPr="00B3358B">
        <w:rPr>
          <w:rFonts w:asciiTheme="majorBidi" w:hAnsiTheme="majorBidi" w:cstheme="majorBidi"/>
          <w:noProof/>
          <w:sz w:val="32"/>
          <w:szCs w:val="32"/>
          <w:lang w:val="en"/>
        </w:rPr>
        <w:t>has been rehabilitated</w:t>
      </w:r>
      <w:r w:rsidRPr="00B3358B">
        <w:rPr>
          <w:rFonts w:asciiTheme="majorBidi" w:hAnsiTheme="majorBidi" w:cstheme="majorBidi"/>
          <w:sz w:val="32"/>
          <w:szCs w:val="32"/>
          <w:lang w:val="en"/>
        </w:rPr>
        <w:t>.</w:t>
      </w:r>
    </w:p>
    <w:p w14:paraId="11C752C7" w14:textId="5BDD6353" w:rsidR="002D63C3" w:rsidRPr="00DC67D8" w:rsidRDefault="00227300" w:rsidP="00DC67D8">
      <w:pPr>
        <w:pStyle w:val="ListParagraph"/>
        <w:numPr>
          <w:ilvl w:val="0"/>
          <w:numId w:val="1"/>
        </w:numPr>
        <w:spacing w:after="0" w:line="480" w:lineRule="auto"/>
        <w:ind w:left="1440" w:right="666"/>
        <w:rPr>
          <w:rFonts w:asciiTheme="majorBidi" w:hAnsiTheme="majorBidi" w:cstheme="majorBidi"/>
          <w:sz w:val="32"/>
          <w:szCs w:val="32"/>
        </w:rPr>
      </w:pPr>
      <w:r w:rsidRPr="00B3358B">
        <w:rPr>
          <w:rFonts w:asciiTheme="majorBidi" w:hAnsiTheme="majorBidi" w:cstheme="majorBidi"/>
          <w:sz w:val="32"/>
          <w:szCs w:val="32"/>
          <w:lang w:val="en"/>
        </w:rPr>
        <w:t xml:space="preserve">He/she shall be sufficiently familiar with the Arabic Language. </w:t>
      </w:r>
    </w:p>
    <w:p w14:paraId="26BF5CCF"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(2)</w:t>
      </w:r>
    </w:p>
    <w:p w14:paraId="165833BD"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As an exception from the provisions of the preceding Article, Permanent Residency Permit may </w:t>
      </w:r>
      <w:r w:rsidRPr="00B3358B">
        <w:rPr>
          <w:rFonts w:asciiTheme="majorBidi" w:hAnsiTheme="majorBidi" w:cstheme="majorBidi"/>
          <w:noProof/>
          <w:sz w:val="32"/>
          <w:szCs w:val="32"/>
          <w:lang w:val="en"/>
        </w:rPr>
        <w:t>be granted</w:t>
      </w:r>
      <w:r w:rsidRPr="00B3358B">
        <w:rPr>
          <w:rFonts w:asciiTheme="majorBidi" w:hAnsiTheme="majorBidi" w:cstheme="majorBidi"/>
          <w:sz w:val="32"/>
          <w:szCs w:val="32"/>
          <w:lang w:val="en"/>
        </w:rPr>
        <w:t xml:space="preserve"> to the non-Qatari from the following categories: </w:t>
      </w:r>
    </w:p>
    <w:p w14:paraId="50C59886"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sz w:val="32"/>
          <w:szCs w:val="32"/>
          <w:lang w:val="en"/>
        </w:rPr>
        <w:t xml:space="preserve">The Qatari woman’s children, who </w:t>
      </w:r>
      <w:r w:rsidRPr="00B3358B">
        <w:rPr>
          <w:rFonts w:asciiTheme="majorBidi" w:hAnsiTheme="majorBidi" w:cstheme="majorBidi"/>
          <w:noProof/>
          <w:sz w:val="32"/>
          <w:szCs w:val="32"/>
          <w:lang w:val="en"/>
        </w:rPr>
        <w:t>is</w:t>
      </w:r>
      <w:r w:rsidRPr="00B3358B">
        <w:rPr>
          <w:rFonts w:asciiTheme="majorBidi" w:hAnsiTheme="majorBidi" w:cstheme="majorBidi"/>
          <w:sz w:val="32"/>
          <w:szCs w:val="32"/>
          <w:lang w:val="en"/>
        </w:rPr>
        <w:t xml:space="preserve"> married to a non-Qatari. </w:t>
      </w:r>
    </w:p>
    <w:p w14:paraId="477935BB"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noProof/>
          <w:sz w:val="32"/>
          <w:szCs w:val="32"/>
          <w:lang w:val="en"/>
        </w:rPr>
        <w:t>The Qatari women’s non-Qatari husband.</w:t>
      </w:r>
      <w:r w:rsidRPr="00B3358B">
        <w:rPr>
          <w:rFonts w:asciiTheme="majorBidi" w:hAnsiTheme="majorBidi" w:cstheme="majorBidi"/>
          <w:sz w:val="32"/>
          <w:szCs w:val="32"/>
          <w:lang w:val="en"/>
        </w:rPr>
        <w:t xml:space="preserve"> </w:t>
      </w:r>
    </w:p>
    <w:p w14:paraId="100F13BD"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noProof/>
          <w:sz w:val="32"/>
          <w:szCs w:val="32"/>
          <w:lang w:val="en"/>
        </w:rPr>
        <w:t>The Qatari man’s non-Qatari wife.</w:t>
      </w:r>
      <w:r w:rsidRPr="00B3358B">
        <w:rPr>
          <w:rFonts w:asciiTheme="majorBidi" w:hAnsiTheme="majorBidi" w:cstheme="majorBidi"/>
          <w:sz w:val="32"/>
          <w:szCs w:val="32"/>
          <w:lang w:val="en"/>
        </w:rPr>
        <w:t xml:space="preserve"> </w:t>
      </w:r>
    </w:p>
    <w:p w14:paraId="2D74F41B"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noProof/>
          <w:sz w:val="32"/>
          <w:szCs w:val="32"/>
          <w:lang w:val="en"/>
        </w:rPr>
        <w:t>The naturalized Qatari’s  children.</w:t>
      </w:r>
      <w:r w:rsidRPr="00B3358B">
        <w:rPr>
          <w:rFonts w:asciiTheme="majorBidi" w:hAnsiTheme="majorBidi" w:cstheme="majorBidi"/>
          <w:sz w:val="32"/>
          <w:szCs w:val="32"/>
          <w:lang w:val="en"/>
        </w:rPr>
        <w:t xml:space="preserve"> </w:t>
      </w:r>
    </w:p>
    <w:p w14:paraId="7AC57D5B"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sz w:val="32"/>
          <w:szCs w:val="32"/>
          <w:lang w:val="en"/>
        </w:rPr>
        <w:t xml:space="preserve">Those who rendered meritorious services to the State. </w:t>
      </w:r>
    </w:p>
    <w:p w14:paraId="05670C31" w14:textId="77777777" w:rsidR="00227300" w:rsidRPr="00B3358B" w:rsidRDefault="00227300" w:rsidP="00DC67D8">
      <w:pPr>
        <w:pStyle w:val="ListParagraph"/>
        <w:numPr>
          <w:ilvl w:val="0"/>
          <w:numId w:val="2"/>
        </w:numPr>
        <w:spacing w:after="0" w:line="480" w:lineRule="auto"/>
        <w:ind w:left="1440" w:right="666"/>
        <w:rPr>
          <w:rFonts w:asciiTheme="majorBidi" w:hAnsiTheme="majorBidi" w:cstheme="majorBidi"/>
          <w:sz w:val="32"/>
          <w:szCs w:val="32"/>
        </w:rPr>
      </w:pPr>
      <w:r w:rsidRPr="00B3358B">
        <w:rPr>
          <w:rFonts w:asciiTheme="majorBidi" w:hAnsiTheme="majorBidi" w:cstheme="majorBidi"/>
          <w:noProof/>
          <w:sz w:val="32"/>
          <w:szCs w:val="32"/>
          <w:lang w:val="en"/>
        </w:rPr>
        <w:t>People with the special competencies needed by the State.</w:t>
      </w:r>
    </w:p>
    <w:p w14:paraId="2E86FA55" w14:textId="5738427D" w:rsidR="002D63C3" w:rsidRDefault="00227300" w:rsidP="00DC67D8">
      <w:pPr>
        <w:spacing w:after="0" w:line="480" w:lineRule="auto"/>
        <w:ind w:left="540" w:right="666"/>
        <w:rPr>
          <w:rFonts w:asciiTheme="majorBidi" w:hAnsiTheme="majorBidi" w:cs="Times New Roman"/>
          <w:sz w:val="32"/>
          <w:szCs w:val="32"/>
          <w:lang w:val="en"/>
        </w:rPr>
      </w:pPr>
      <w:r w:rsidRPr="00B3358B">
        <w:rPr>
          <w:rFonts w:asciiTheme="majorBidi" w:hAnsiTheme="majorBidi" w:cstheme="majorBidi"/>
          <w:sz w:val="32"/>
          <w:szCs w:val="32"/>
          <w:lang w:val="en"/>
        </w:rPr>
        <w:t xml:space="preserve">The marriage as regards the items (1), (2) and (3) must be </w:t>
      </w:r>
      <w:r w:rsidRPr="00B3358B">
        <w:rPr>
          <w:rFonts w:asciiTheme="majorBidi" w:hAnsiTheme="majorBidi" w:cstheme="majorBidi"/>
          <w:noProof/>
          <w:sz w:val="32"/>
          <w:szCs w:val="32"/>
          <w:lang w:val="en"/>
        </w:rPr>
        <w:t>in accordance with</w:t>
      </w:r>
      <w:r w:rsidRPr="00B3358B">
        <w:rPr>
          <w:rFonts w:asciiTheme="majorBidi" w:hAnsiTheme="majorBidi" w:cstheme="majorBidi"/>
          <w:sz w:val="32"/>
          <w:szCs w:val="32"/>
          <w:lang w:val="en"/>
        </w:rPr>
        <w:t xml:space="preserve"> the law</w:t>
      </w:r>
      <w:r w:rsidRPr="00B3358B">
        <w:rPr>
          <w:rFonts w:asciiTheme="majorBidi" w:hAnsiTheme="majorBidi" w:cs="Times New Roman"/>
          <w:sz w:val="32"/>
          <w:szCs w:val="32"/>
          <w:rtl/>
          <w:lang w:val="en"/>
        </w:rPr>
        <w:t>.</w:t>
      </w:r>
    </w:p>
    <w:p w14:paraId="245B9F5C" w14:textId="77777777" w:rsidR="00DC67D8" w:rsidRPr="00B3358B" w:rsidRDefault="00DC67D8" w:rsidP="00DC67D8">
      <w:pPr>
        <w:spacing w:after="0" w:line="480" w:lineRule="auto"/>
        <w:ind w:left="540" w:right="666"/>
        <w:rPr>
          <w:rFonts w:asciiTheme="majorBidi" w:hAnsiTheme="majorBidi" w:cstheme="majorBidi"/>
          <w:sz w:val="32"/>
          <w:szCs w:val="32"/>
          <w:rtl/>
          <w:lang w:bidi="ar-QA"/>
        </w:rPr>
      </w:pPr>
    </w:p>
    <w:p w14:paraId="0B3E547E"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lastRenderedPageBreak/>
        <w:t>Article (3)</w:t>
      </w:r>
    </w:p>
    <w:p w14:paraId="713C0F6E"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A permanent committee called “the Committee for Granting the Permanent Residency Card</w:t>
      </w:r>
      <w:r w:rsidRPr="00B3358B">
        <w:rPr>
          <w:rFonts w:asciiTheme="majorBidi" w:hAnsiTheme="majorBidi" w:cstheme="majorBidi"/>
          <w:noProof/>
          <w:sz w:val="32"/>
          <w:szCs w:val="32"/>
          <w:lang w:val="en"/>
        </w:rPr>
        <w:t>”</w:t>
      </w:r>
      <w:r w:rsidRPr="00B3358B">
        <w:rPr>
          <w:rFonts w:asciiTheme="majorBidi" w:hAnsiTheme="majorBidi" w:cstheme="majorBidi"/>
          <w:sz w:val="32"/>
          <w:szCs w:val="32"/>
          <w:lang w:val="en"/>
        </w:rPr>
        <w:t xml:space="preserve"> shall </w:t>
      </w:r>
      <w:r w:rsidRPr="00B3358B">
        <w:rPr>
          <w:rFonts w:asciiTheme="majorBidi" w:hAnsiTheme="majorBidi" w:cstheme="majorBidi"/>
          <w:noProof/>
          <w:sz w:val="32"/>
          <w:szCs w:val="32"/>
          <w:lang w:val="en"/>
        </w:rPr>
        <w:t>be established</w:t>
      </w:r>
      <w:r w:rsidRPr="00B3358B">
        <w:rPr>
          <w:rFonts w:asciiTheme="majorBidi" w:hAnsiTheme="majorBidi" w:cstheme="majorBidi"/>
          <w:sz w:val="32"/>
          <w:szCs w:val="32"/>
          <w:lang w:val="en"/>
        </w:rPr>
        <w:t xml:space="preserve"> in the Ministry of Interior, which shall be competent to consider the applications for Permanent Residency Permit </w:t>
      </w:r>
      <w:r w:rsidRPr="00B3358B">
        <w:rPr>
          <w:rFonts w:asciiTheme="majorBidi" w:hAnsiTheme="majorBidi" w:cstheme="majorBidi"/>
          <w:noProof/>
          <w:sz w:val="32"/>
          <w:szCs w:val="32"/>
        </w:rPr>
        <w:t>according to</w:t>
      </w:r>
      <w:r w:rsidRPr="00B3358B">
        <w:rPr>
          <w:rFonts w:asciiTheme="majorBidi" w:hAnsiTheme="majorBidi" w:cstheme="majorBidi"/>
          <w:sz w:val="32"/>
          <w:szCs w:val="32"/>
          <w:lang w:val="en"/>
        </w:rPr>
        <w:t xml:space="preserve"> the provisions of this Law.</w:t>
      </w:r>
    </w:p>
    <w:p w14:paraId="2828EEDE"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formation of this Committee, its membership duration, remunerations, working system, and procedures to be followed before it shall </w:t>
      </w:r>
      <w:r w:rsidRPr="00B3358B">
        <w:rPr>
          <w:rFonts w:asciiTheme="majorBidi" w:hAnsiTheme="majorBidi" w:cstheme="majorBidi"/>
          <w:noProof/>
          <w:sz w:val="32"/>
          <w:szCs w:val="32"/>
          <w:lang w:val="en"/>
        </w:rPr>
        <w:t>be issued</w:t>
      </w:r>
      <w:r w:rsidRPr="00B3358B">
        <w:rPr>
          <w:rFonts w:asciiTheme="majorBidi" w:hAnsiTheme="majorBidi" w:cstheme="majorBidi"/>
          <w:sz w:val="32"/>
          <w:szCs w:val="32"/>
          <w:lang w:val="en"/>
        </w:rPr>
        <w:t xml:space="preserve"> by a decision of the Council of Ministers.</w:t>
      </w:r>
    </w:p>
    <w:p w14:paraId="45607086"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Committee shall raise its recommendations to the Minister of Interior. The Minister shall issue the appropriate decision on the applications referred </w:t>
      </w:r>
      <w:r w:rsidRPr="00B3358B">
        <w:rPr>
          <w:rFonts w:asciiTheme="majorBidi" w:hAnsiTheme="majorBidi" w:cstheme="majorBidi"/>
          <w:noProof/>
          <w:sz w:val="32"/>
          <w:szCs w:val="32"/>
          <w:lang w:val="en"/>
        </w:rPr>
        <w:t>to</w:t>
      </w:r>
      <w:r w:rsidRPr="00B3358B">
        <w:rPr>
          <w:rFonts w:asciiTheme="majorBidi" w:hAnsiTheme="majorBidi" w:cstheme="majorBidi"/>
          <w:sz w:val="32"/>
          <w:szCs w:val="32"/>
          <w:lang w:val="en"/>
        </w:rPr>
        <w:t>.</w:t>
      </w:r>
    </w:p>
    <w:p w14:paraId="387802A2" w14:textId="1656F68D" w:rsidR="002D63C3"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Minister of Interior shall grant the licensee a card called "Permanent Residency </w:t>
      </w:r>
      <w:r w:rsidRPr="00B3358B">
        <w:rPr>
          <w:rFonts w:asciiTheme="majorBidi" w:hAnsiTheme="majorBidi" w:cstheme="majorBidi"/>
          <w:noProof/>
          <w:sz w:val="32"/>
          <w:szCs w:val="32"/>
          <w:lang w:val="en"/>
        </w:rPr>
        <w:t>Card.</w:t>
      </w:r>
      <w:r w:rsidRPr="00B3358B">
        <w:rPr>
          <w:rFonts w:asciiTheme="majorBidi" w:hAnsiTheme="majorBidi" w:cstheme="majorBidi"/>
          <w:sz w:val="32"/>
          <w:szCs w:val="32"/>
          <w:lang w:val="en"/>
        </w:rPr>
        <w:t xml:space="preserve">" </w:t>
      </w:r>
    </w:p>
    <w:p w14:paraId="6F09C5A2"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(4)</w:t>
      </w:r>
    </w:p>
    <w:p w14:paraId="64EFCE50"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permit for Permanent Residency shall be for a number not exceeding one hundred persons per year. </w:t>
      </w:r>
    </w:p>
    <w:p w14:paraId="608C65F4" w14:textId="7FEE66B7" w:rsidR="001F7044"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lastRenderedPageBreak/>
        <w:t xml:space="preserve">With the approval of the Emir, upon the proposal of the Minister of Interior, the number </w:t>
      </w:r>
      <w:r w:rsidRPr="00B3358B">
        <w:rPr>
          <w:rFonts w:asciiTheme="majorBidi" w:hAnsiTheme="majorBidi" w:cstheme="majorBidi"/>
          <w:noProof/>
          <w:sz w:val="32"/>
          <w:szCs w:val="32"/>
          <w:lang w:val="en"/>
        </w:rPr>
        <w:t>provided for in</w:t>
      </w:r>
      <w:r w:rsidRPr="00B3358B">
        <w:rPr>
          <w:rFonts w:asciiTheme="majorBidi" w:hAnsiTheme="majorBidi" w:cstheme="majorBidi"/>
          <w:sz w:val="32"/>
          <w:szCs w:val="32"/>
          <w:lang w:val="en"/>
        </w:rPr>
        <w:t xml:space="preserve"> the preceding paragraph may be increased, for each year separately. </w:t>
      </w:r>
    </w:p>
    <w:p w14:paraId="2CB71368"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(5)</w:t>
      </w:r>
    </w:p>
    <w:p w14:paraId="0670465D" w14:textId="77777777" w:rsidR="00227300" w:rsidRPr="00B3358B" w:rsidRDefault="00227300" w:rsidP="00DC67D8">
      <w:pPr>
        <w:spacing w:after="0" w:line="480" w:lineRule="auto"/>
        <w:ind w:left="540" w:right="666"/>
        <w:rPr>
          <w:rFonts w:asciiTheme="majorBidi" w:hAnsiTheme="majorBidi" w:cstheme="majorBidi"/>
          <w:sz w:val="32"/>
          <w:szCs w:val="32"/>
          <w:lang w:val="en"/>
        </w:rPr>
      </w:pPr>
      <w:r w:rsidRPr="00B3358B">
        <w:rPr>
          <w:rFonts w:asciiTheme="majorBidi" w:hAnsiTheme="majorBidi" w:cstheme="majorBidi"/>
          <w:sz w:val="32"/>
          <w:szCs w:val="32"/>
          <w:lang w:val="en"/>
        </w:rPr>
        <w:t>Subject to the provisions of Law No. (21) of 2015 referred to, the holder of the Permanent Residency Card may exit from the State and return to it during the period of its validity, without obtaining permission or authorization therefor.</w:t>
      </w:r>
    </w:p>
    <w:p w14:paraId="15ED3071" w14:textId="77777777" w:rsidR="00227300" w:rsidRPr="00B3358B" w:rsidRDefault="00227300" w:rsidP="00DC67D8">
      <w:pPr>
        <w:spacing w:after="0" w:line="480" w:lineRule="auto"/>
        <w:ind w:left="540" w:right="666"/>
        <w:jc w:val="center"/>
        <w:rPr>
          <w:rFonts w:asciiTheme="majorBidi" w:hAnsiTheme="majorBidi" w:cstheme="majorBidi"/>
          <w:b/>
          <w:bCs/>
          <w:sz w:val="32"/>
          <w:szCs w:val="32"/>
          <w:lang w:val="en"/>
        </w:rPr>
      </w:pPr>
      <w:r w:rsidRPr="00B3358B">
        <w:rPr>
          <w:rFonts w:asciiTheme="majorBidi" w:hAnsiTheme="majorBidi" w:cstheme="majorBidi"/>
          <w:b/>
          <w:bCs/>
          <w:sz w:val="32"/>
          <w:szCs w:val="32"/>
          <w:lang w:val="en"/>
        </w:rPr>
        <w:t>Article (6)</w:t>
      </w:r>
    </w:p>
    <w:p w14:paraId="476828B5"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holder of the Permanent Residency Card may receive health treatment and education at the governmental institutions inside the State, in accordance with the conditions and controls issued by a decision from the Council of Ministers. </w:t>
      </w:r>
    </w:p>
    <w:p w14:paraId="335C3382"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(7)</w:t>
      </w:r>
    </w:p>
    <w:p w14:paraId="7330CC41"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Permanent Residency Card holder’s spouse and his/her children up to the age of eighteen shall enjoy the privileges granted to the cardholder in </w:t>
      </w:r>
      <w:r w:rsidRPr="00B3358B">
        <w:rPr>
          <w:rFonts w:asciiTheme="majorBidi" w:hAnsiTheme="majorBidi" w:cstheme="majorBidi"/>
          <w:sz w:val="32"/>
          <w:szCs w:val="32"/>
          <w:lang w:val="en"/>
        </w:rPr>
        <w:lastRenderedPageBreak/>
        <w:t xml:space="preserve">residence, health, and education, in accordance with the provisions of this Law. </w:t>
      </w:r>
    </w:p>
    <w:p w14:paraId="3218DC24"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Minister of Interior may exempt the Permanent Residency Card holder's male children who have not completed their university studies until they reach the age of twenty-five, and his/her unmarried daughters, from the age stipulation provided for in the preceding paragraph. </w:t>
      </w:r>
    </w:p>
    <w:p w14:paraId="76A27152"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(8)</w:t>
      </w:r>
    </w:p>
    <w:p w14:paraId="50E24EE6" w14:textId="69FD601D"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Permanent Residency Card holder may invest in the activities of the national economy sectors, which shall be specified by a decision issued by the Council of Ministers, without a Qatari partner, provided that the establishment of the company is </w:t>
      </w:r>
      <w:r w:rsidRPr="00B3358B">
        <w:rPr>
          <w:rFonts w:asciiTheme="majorBidi" w:hAnsiTheme="majorBidi" w:cstheme="majorBidi"/>
          <w:noProof/>
          <w:sz w:val="32"/>
          <w:szCs w:val="32"/>
          <w:lang w:val="en"/>
        </w:rPr>
        <w:t>in accordance with</w:t>
      </w:r>
      <w:r w:rsidRPr="00B3358B">
        <w:rPr>
          <w:rFonts w:asciiTheme="majorBidi" w:hAnsiTheme="majorBidi" w:cstheme="majorBidi"/>
          <w:sz w:val="32"/>
          <w:szCs w:val="32"/>
          <w:lang w:val="en"/>
        </w:rPr>
        <w:t xml:space="preserve"> the provisions of the law regulating the commercial companies. </w:t>
      </w:r>
    </w:p>
    <w:p w14:paraId="14F9ADFE"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(9)</w:t>
      </w:r>
    </w:p>
    <w:p w14:paraId="499493FB"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Permanent Residency Card holder may possess the real estate for housing and investment, in the zones, and </w:t>
      </w:r>
      <w:r w:rsidRPr="00B3358B">
        <w:rPr>
          <w:rFonts w:asciiTheme="majorBidi" w:hAnsiTheme="majorBidi" w:cstheme="majorBidi"/>
          <w:noProof/>
          <w:sz w:val="32"/>
          <w:szCs w:val="32"/>
          <w:lang w:val="en"/>
        </w:rPr>
        <w:t>according to</w:t>
      </w:r>
      <w:r w:rsidRPr="00B3358B">
        <w:rPr>
          <w:rFonts w:asciiTheme="majorBidi" w:hAnsiTheme="majorBidi" w:cstheme="majorBidi"/>
          <w:sz w:val="32"/>
          <w:szCs w:val="32"/>
          <w:lang w:val="en"/>
        </w:rPr>
        <w:t xml:space="preserve"> the conditions and </w:t>
      </w:r>
      <w:r w:rsidRPr="00B3358B">
        <w:rPr>
          <w:rFonts w:asciiTheme="majorBidi" w:hAnsiTheme="majorBidi" w:cstheme="majorBidi"/>
          <w:sz w:val="32"/>
          <w:szCs w:val="32"/>
          <w:lang w:val="en"/>
        </w:rPr>
        <w:lastRenderedPageBreak/>
        <w:t xml:space="preserve">controls, which shall be specified by a decision issued by the Council of Ministers. </w:t>
      </w:r>
    </w:p>
    <w:p w14:paraId="63FDF28D"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(10)</w:t>
      </w:r>
    </w:p>
    <w:p w14:paraId="204EFA6B"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fee of the application for Permanent Residency Permit, and the fee for granting the Permanent Residency Card, its data, and its validity period shall be specified by a decision issued by the Minister of Interior. </w:t>
      </w:r>
    </w:p>
    <w:p w14:paraId="10E9A3A1"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Article (11)</w:t>
      </w:r>
    </w:p>
    <w:p w14:paraId="6E371946" w14:textId="385D349E"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The Minister of Interior is entitled to cancel the Permanent Residency Permit and withdraw the Permanent Residency Card from those to whom it was granted, if the licensee loses the condition </w:t>
      </w:r>
      <w:r w:rsidRPr="00B3358B">
        <w:rPr>
          <w:rFonts w:asciiTheme="majorBidi" w:hAnsiTheme="majorBidi" w:cstheme="majorBidi"/>
          <w:noProof/>
          <w:sz w:val="32"/>
          <w:szCs w:val="32"/>
          <w:lang w:val="en"/>
        </w:rPr>
        <w:t>set forth in</w:t>
      </w:r>
      <w:r w:rsidRPr="00B3358B">
        <w:rPr>
          <w:rFonts w:asciiTheme="majorBidi" w:hAnsiTheme="majorBidi" w:cstheme="majorBidi"/>
          <w:sz w:val="32"/>
          <w:szCs w:val="32"/>
          <w:lang w:val="en"/>
        </w:rPr>
        <w:t xml:space="preserve"> Article (1/ Item 3) of this Law or </w:t>
      </w:r>
      <w:r w:rsidRPr="00B3358B">
        <w:rPr>
          <w:rFonts w:asciiTheme="majorBidi" w:hAnsiTheme="majorBidi" w:cstheme="majorBidi"/>
          <w:noProof/>
          <w:sz w:val="32"/>
          <w:szCs w:val="32"/>
          <w:lang w:val="en"/>
        </w:rPr>
        <w:t xml:space="preserve">according to </w:t>
      </w:r>
      <w:r w:rsidRPr="00B3358B">
        <w:rPr>
          <w:rFonts w:asciiTheme="majorBidi" w:hAnsiTheme="majorBidi" w:cstheme="majorBidi"/>
          <w:sz w:val="32"/>
          <w:szCs w:val="32"/>
          <w:lang w:val="en"/>
        </w:rPr>
        <w:t>requirements of the public interest.</w:t>
      </w:r>
    </w:p>
    <w:p w14:paraId="49F68500"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t xml:space="preserve"> Article (12)</w:t>
      </w:r>
    </w:p>
    <w:p w14:paraId="11592107" w14:textId="6AB86371" w:rsidR="00227300" w:rsidRDefault="00227300" w:rsidP="00DC67D8">
      <w:pPr>
        <w:spacing w:after="0" w:line="480" w:lineRule="auto"/>
        <w:ind w:left="540" w:right="666"/>
        <w:rPr>
          <w:rFonts w:asciiTheme="majorBidi" w:hAnsiTheme="majorBidi" w:cstheme="majorBidi"/>
          <w:sz w:val="32"/>
          <w:szCs w:val="32"/>
          <w:lang w:val="en"/>
        </w:rPr>
      </w:pPr>
      <w:r w:rsidRPr="00B3358B">
        <w:rPr>
          <w:rFonts w:asciiTheme="majorBidi" w:hAnsiTheme="majorBidi" w:cstheme="majorBidi"/>
          <w:sz w:val="32"/>
          <w:szCs w:val="32"/>
          <w:lang w:val="en"/>
        </w:rPr>
        <w:t xml:space="preserve">The Minister of Interior shall issue the necessary decisions to implement the provisions of this Law. </w:t>
      </w:r>
    </w:p>
    <w:p w14:paraId="3ECBE248" w14:textId="2EB4C424" w:rsidR="00DC67D8" w:rsidRDefault="00DC67D8" w:rsidP="00DC67D8">
      <w:pPr>
        <w:spacing w:after="0" w:line="480" w:lineRule="auto"/>
        <w:ind w:left="540" w:right="666"/>
        <w:rPr>
          <w:rFonts w:asciiTheme="majorBidi" w:hAnsiTheme="majorBidi" w:cstheme="majorBidi"/>
          <w:sz w:val="32"/>
          <w:szCs w:val="32"/>
          <w:lang w:val="en"/>
        </w:rPr>
      </w:pPr>
    </w:p>
    <w:p w14:paraId="67D566B4" w14:textId="77777777" w:rsidR="00DC67D8" w:rsidRPr="00B3358B" w:rsidRDefault="00DC67D8" w:rsidP="00DC67D8">
      <w:pPr>
        <w:spacing w:after="0" w:line="480" w:lineRule="auto"/>
        <w:ind w:left="540" w:right="666"/>
        <w:rPr>
          <w:rFonts w:asciiTheme="majorBidi" w:hAnsiTheme="majorBidi" w:cstheme="majorBidi"/>
          <w:sz w:val="32"/>
          <w:szCs w:val="32"/>
          <w:rtl/>
        </w:rPr>
      </w:pPr>
    </w:p>
    <w:p w14:paraId="04D8BB02" w14:textId="77777777" w:rsidR="00227300" w:rsidRPr="00B3358B" w:rsidRDefault="00227300" w:rsidP="00DC67D8">
      <w:pPr>
        <w:spacing w:after="0" w:line="480" w:lineRule="auto"/>
        <w:ind w:left="540" w:right="666"/>
        <w:jc w:val="center"/>
        <w:rPr>
          <w:rFonts w:asciiTheme="majorBidi" w:hAnsiTheme="majorBidi" w:cstheme="majorBidi"/>
          <w:b/>
          <w:bCs/>
          <w:sz w:val="32"/>
          <w:szCs w:val="32"/>
          <w:rtl/>
        </w:rPr>
      </w:pPr>
      <w:r w:rsidRPr="00B3358B">
        <w:rPr>
          <w:rFonts w:asciiTheme="majorBidi" w:hAnsiTheme="majorBidi" w:cstheme="majorBidi"/>
          <w:b/>
          <w:bCs/>
          <w:sz w:val="32"/>
          <w:szCs w:val="32"/>
          <w:lang w:val="en"/>
        </w:rPr>
        <w:lastRenderedPageBreak/>
        <w:t>Article (13)</w:t>
      </w:r>
    </w:p>
    <w:p w14:paraId="098AFF3E" w14:textId="77777777" w:rsidR="00227300" w:rsidRPr="00B3358B" w:rsidRDefault="00227300" w:rsidP="00DC67D8">
      <w:pPr>
        <w:spacing w:after="0" w:line="48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All competent authorities, each within its competence, shall implement this Law. It shall </w:t>
      </w:r>
      <w:r w:rsidRPr="00B3358B">
        <w:rPr>
          <w:rFonts w:asciiTheme="majorBidi" w:hAnsiTheme="majorBidi" w:cstheme="majorBidi"/>
          <w:noProof/>
          <w:sz w:val="32"/>
          <w:szCs w:val="32"/>
          <w:lang w:val="en"/>
        </w:rPr>
        <w:t>be published</w:t>
      </w:r>
      <w:r w:rsidRPr="00B3358B">
        <w:rPr>
          <w:rFonts w:asciiTheme="majorBidi" w:hAnsiTheme="majorBidi" w:cstheme="majorBidi"/>
          <w:sz w:val="32"/>
          <w:szCs w:val="32"/>
          <w:lang w:val="en"/>
        </w:rPr>
        <w:t xml:space="preserve"> in the Official Gazette.</w:t>
      </w:r>
    </w:p>
    <w:p w14:paraId="112C454F" w14:textId="77777777" w:rsidR="00227300" w:rsidRPr="00B3358B" w:rsidRDefault="00227300" w:rsidP="00DC67D8">
      <w:pPr>
        <w:bidi/>
        <w:spacing w:after="0" w:line="480" w:lineRule="auto"/>
        <w:ind w:left="540" w:right="666"/>
        <w:rPr>
          <w:rFonts w:asciiTheme="majorBidi" w:hAnsiTheme="majorBidi" w:cstheme="majorBidi"/>
          <w:sz w:val="32"/>
          <w:szCs w:val="32"/>
          <w:rtl/>
        </w:rPr>
      </w:pPr>
    </w:p>
    <w:p w14:paraId="6A6B9301" w14:textId="77777777" w:rsidR="00227300" w:rsidRPr="00B3358B" w:rsidRDefault="00227300" w:rsidP="00DC67D8">
      <w:pPr>
        <w:bidi/>
        <w:spacing w:after="0" w:line="480" w:lineRule="auto"/>
        <w:ind w:left="540" w:right="666"/>
        <w:rPr>
          <w:rFonts w:asciiTheme="majorBidi" w:hAnsiTheme="majorBidi" w:cstheme="majorBidi"/>
          <w:sz w:val="32"/>
          <w:szCs w:val="32"/>
          <w:rtl/>
        </w:rPr>
      </w:pPr>
    </w:p>
    <w:p w14:paraId="3BF38D1E" w14:textId="20C7F219" w:rsidR="00227300" w:rsidRPr="00DC67D8" w:rsidRDefault="00DC67D8" w:rsidP="00DC67D8">
      <w:pPr>
        <w:spacing w:after="0" w:line="240" w:lineRule="auto"/>
        <w:ind w:left="540" w:right="666"/>
        <w:jc w:val="center"/>
        <w:rPr>
          <w:rFonts w:asciiTheme="majorBidi" w:hAnsiTheme="majorBidi" w:cstheme="majorBidi"/>
          <w:b/>
          <w:bCs/>
          <w:sz w:val="36"/>
          <w:szCs w:val="36"/>
          <w:rtl/>
        </w:rPr>
      </w:pPr>
      <w:r>
        <w:rPr>
          <w:rFonts w:asciiTheme="majorBidi" w:hAnsiTheme="majorBidi" w:cstheme="majorBidi"/>
          <w:b/>
          <w:bCs/>
          <w:sz w:val="32"/>
          <w:szCs w:val="32"/>
          <w:lang w:val="en"/>
        </w:rPr>
        <w:t xml:space="preserve">                                                      </w:t>
      </w:r>
      <w:r w:rsidRPr="00DC67D8">
        <w:rPr>
          <w:rFonts w:asciiTheme="majorBidi" w:hAnsiTheme="majorBidi" w:cstheme="majorBidi"/>
          <w:b/>
          <w:bCs/>
          <w:sz w:val="36"/>
          <w:szCs w:val="36"/>
          <w:lang w:val="en"/>
        </w:rPr>
        <w:t xml:space="preserve">    </w:t>
      </w:r>
      <w:r w:rsidR="00227300" w:rsidRPr="00DC67D8">
        <w:rPr>
          <w:rFonts w:asciiTheme="majorBidi" w:hAnsiTheme="majorBidi" w:cstheme="majorBidi"/>
          <w:b/>
          <w:bCs/>
          <w:sz w:val="36"/>
          <w:szCs w:val="36"/>
          <w:lang w:val="en"/>
        </w:rPr>
        <w:t>Tamim Bin Hamad Al-Thani</w:t>
      </w:r>
    </w:p>
    <w:p w14:paraId="09798621" w14:textId="6FE3482F" w:rsidR="00227300" w:rsidRPr="00DC67D8" w:rsidRDefault="00DC67D8" w:rsidP="00DC67D8">
      <w:pPr>
        <w:spacing w:after="0" w:line="240" w:lineRule="auto"/>
        <w:ind w:left="540" w:right="666"/>
        <w:jc w:val="center"/>
        <w:rPr>
          <w:rFonts w:asciiTheme="majorBidi" w:hAnsiTheme="majorBidi" w:cstheme="majorBidi"/>
          <w:b/>
          <w:bCs/>
          <w:sz w:val="36"/>
          <w:szCs w:val="36"/>
          <w:rtl/>
        </w:rPr>
      </w:pPr>
      <w:r w:rsidRPr="00DC67D8">
        <w:rPr>
          <w:rFonts w:asciiTheme="majorBidi" w:hAnsiTheme="majorBidi" w:cstheme="majorBidi"/>
          <w:b/>
          <w:bCs/>
          <w:sz w:val="36"/>
          <w:szCs w:val="36"/>
          <w:lang w:val="en"/>
        </w:rPr>
        <w:t xml:space="preserve">                                                       </w:t>
      </w:r>
      <w:r w:rsidR="00227300" w:rsidRPr="00DC67D8">
        <w:rPr>
          <w:rFonts w:asciiTheme="majorBidi" w:hAnsiTheme="majorBidi" w:cstheme="majorBidi"/>
          <w:b/>
          <w:bCs/>
          <w:sz w:val="36"/>
          <w:szCs w:val="36"/>
          <w:lang w:val="en"/>
        </w:rPr>
        <w:t>Emir of the State of Qatar</w:t>
      </w:r>
    </w:p>
    <w:p w14:paraId="161B4561" w14:textId="77777777" w:rsidR="00227300" w:rsidRPr="00B3358B" w:rsidRDefault="00227300" w:rsidP="00DC67D8">
      <w:pPr>
        <w:bidi/>
        <w:spacing w:after="0" w:line="480" w:lineRule="auto"/>
        <w:ind w:left="540" w:right="666"/>
        <w:jc w:val="center"/>
        <w:rPr>
          <w:rFonts w:asciiTheme="majorBidi" w:hAnsiTheme="majorBidi" w:cstheme="majorBidi"/>
          <w:b/>
          <w:bCs/>
          <w:sz w:val="32"/>
          <w:szCs w:val="32"/>
          <w:rtl/>
        </w:rPr>
      </w:pPr>
    </w:p>
    <w:p w14:paraId="393B9829" w14:textId="77777777" w:rsidR="00DC67D8" w:rsidRDefault="00DC67D8" w:rsidP="00DC67D8">
      <w:pPr>
        <w:spacing w:after="0" w:line="240" w:lineRule="auto"/>
        <w:ind w:left="540" w:right="666"/>
        <w:rPr>
          <w:rFonts w:asciiTheme="majorBidi" w:hAnsiTheme="majorBidi" w:cstheme="majorBidi"/>
          <w:sz w:val="32"/>
          <w:szCs w:val="32"/>
          <w:lang w:val="en"/>
        </w:rPr>
      </w:pPr>
    </w:p>
    <w:p w14:paraId="2F416638" w14:textId="2ADEAFC7" w:rsidR="00227300" w:rsidRPr="00B3358B" w:rsidRDefault="00227300" w:rsidP="00DC67D8">
      <w:pPr>
        <w:spacing w:after="0" w:line="24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 xml:space="preserve">Issued at the Emiri Diwan on: 24/12/1439 </w:t>
      </w:r>
      <w:r w:rsidR="00106D52">
        <w:rPr>
          <w:rFonts w:asciiTheme="majorBidi" w:hAnsiTheme="majorBidi" w:cstheme="majorBidi"/>
          <w:sz w:val="32"/>
          <w:szCs w:val="32"/>
          <w:lang w:val="en"/>
        </w:rPr>
        <w:t>(</w:t>
      </w:r>
      <w:r w:rsidRPr="00B3358B">
        <w:rPr>
          <w:rFonts w:asciiTheme="majorBidi" w:hAnsiTheme="majorBidi" w:cstheme="majorBidi"/>
          <w:sz w:val="32"/>
          <w:szCs w:val="32"/>
          <w:lang w:val="en"/>
        </w:rPr>
        <w:t>A</w:t>
      </w:r>
      <w:r w:rsidR="00DF1EFA">
        <w:rPr>
          <w:rFonts w:asciiTheme="majorBidi" w:hAnsiTheme="majorBidi" w:cstheme="majorBidi"/>
          <w:sz w:val="32"/>
          <w:szCs w:val="32"/>
          <w:lang w:val="en"/>
        </w:rPr>
        <w:t>.</w:t>
      </w:r>
      <w:r w:rsidRPr="00B3358B">
        <w:rPr>
          <w:rFonts w:asciiTheme="majorBidi" w:hAnsiTheme="majorBidi" w:cstheme="majorBidi"/>
          <w:sz w:val="32"/>
          <w:szCs w:val="32"/>
          <w:lang w:val="en"/>
        </w:rPr>
        <w:t>H</w:t>
      </w:r>
      <w:r w:rsidR="00DF1EFA">
        <w:rPr>
          <w:rFonts w:asciiTheme="majorBidi" w:hAnsiTheme="majorBidi" w:cstheme="majorBidi"/>
          <w:sz w:val="32"/>
          <w:szCs w:val="32"/>
          <w:lang w:val="en"/>
        </w:rPr>
        <w:t>.</w:t>
      </w:r>
      <w:r w:rsidR="00106D52">
        <w:rPr>
          <w:rFonts w:asciiTheme="majorBidi" w:hAnsiTheme="majorBidi" w:cstheme="majorBidi"/>
          <w:sz w:val="32"/>
          <w:szCs w:val="32"/>
          <w:lang w:val="en"/>
        </w:rPr>
        <w:t>)</w:t>
      </w:r>
    </w:p>
    <w:p w14:paraId="7AFB2CDC" w14:textId="6E22442C" w:rsidR="00227300" w:rsidRPr="00B3358B" w:rsidRDefault="00227300" w:rsidP="00DC67D8">
      <w:pPr>
        <w:spacing w:after="0" w:line="240" w:lineRule="auto"/>
        <w:ind w:left="540" w:right="666"/>
        <w:rPr>
          <w:rFonts w:asciiTheme="majorBidi" w:hAnsiTheme="majorBidi" w:cstheme="majorBidi"/>
          <w:sz w:val="32"/>
          <w:szCs w:val="32"/>
          <w:rtl/>
        </w:rPr>
      </w:pPr>
      <w:r w:rsidRPr="00B3358B">
        <w:rPr>
          <w:rFonts w:asciiTheme="majorBidi" w:hAnsiTheme="majorBidi" w:cstheme="majorBidi"/>
          <w:sz w:val="32"/>
          <w:szCs w:val="32"/>
          <w:lang w:val="en"/>
        </w:rPr>
        <w:t>Corresponding to</w:t>
      </w:r>
      <w:r w:rsidRPr="00B3358B">
        <w:rPr>
          <w:rFonts w:asciiTheme="majorBidi" w:hAnsiTheme="majorBidi" w:cstheme="majorBidi"/>
          <w:sz w:val="32"/>
          <w:szCs w:val="32"/>
        </w:rPr>
        <w:t xml:space="preserve">                   </w:t>
      </w:r>
      <w:r w:rsidRPr="00B3358B">
        <w:rPr>
          <w:rFonts w:asciiTheme="majorBidi" w:hAnsiTheme="majorBidi" w:cstheme="majorBidi"/>
          <w:sz w:val="32"/>
          <w:szCs w:val="32"/>
          <w:lang w:val="en"/>
        </w:rPr>
        <w:t>: 04/09/2018</w:t>
      </w:r>
      <w:r w:rsidRPr="00B3358B">
        <w:rPr>
          <w:rFonts w:asciiTheme="majorBidi" w:hAnsiTheme="majorBidi" w:cstheme="majorBidi"/>
          <w:sz w:val="32"/>
          <w:szCs w:val="32"/>
        </w:rPr>
        <w:t xml:space="preserve"> </w:t>
      </w:r>
      <w:r w:rsidR="00106D52">
        <w:rPr>
          <w:rFonts w:asciiTheme="majorBidi" w:hAnsiTheme="majorBidi" w:cstheme="majorBidi"/>
          <w:sz w:val="32"/>
          <w:szCs w:val="32"/>
        </w:rPr>
        <w:t>(</w:t>
      </w:r>
      <w:r w:rsidRPr="00B3358B">
        <w:rPr>
          <w:rFonts w:asciiTheme="majorBidi" w:hAnsiTheme="majorBidi" w:cstheme="majorBidi"/>
          <w:sz w:val="32"/>
          <w:szCs w:val="32"/>
        </w:rPr>
        <w:t>A</w:t>
      </w:r>
      <w:r w:rsidR="00DF1EFA">
        <w:rPr>
          <w:rFonts w:asciiTheme="majorBidi" w:hAnsiTheme="majorBidi" w:cstheme="majorBidi"/>
          <w:sz w:val="32"/>
          <w:szCs w:val="32"/>
        </w:rPr>
        <w:t>.</w:t>
      </w:r>
      <w:r w:rsidRPr="00B3358B">
        <w:rPr>
          <w:rFonts w:asciiTheme="majorBidi" w:hAnsiTheme="majorBidi" w:cstheme="majorBidi"/>
          <w:sz w:val="32"/>
          <w:szCs w:val="32"/>
        </w:rPr>
        <w:t>D</w:t>
      </w:r>
      <w:r w:rsidR="00DF1EFA">
        <w:rPr>
          <w:rFonts w:asciiTheme="majorBidi" w:hAnsiTheme="majorBidi" w:cstheme="majorBidi"/>
          <w:sz w:val="32"/>
          <w:szCs w:val="32"/>
        </w:rPr>
        <w:t>.</w:t>
      </w:r>
      <w:r w:rsidR="00106D52">
        <w:rPr>
          <w:rFonts w:asciiTheme="majorBidi" w:hAnsiTheme="majorBidi" w:cstheme="majorBidi"/>
          <w:sz w:val="32"/>
          <w:szCs w:val="32"/>
        </w:rPr>
        <w:t>)</w:t>
      </w:r>
    </w:p>
    <w:sectPr w:rsidR="00227300" w:rsidRPr="00B3358B" w:rsidSect="00294A87">
      <w:headerReference w:type="default" r:id="rId7"/>
      <w:footerReference w:type="default" r:id="rId8"/>
      <w:pgSz w:w="12240" w:h="15840"/>
      <w:pgMar w:top="700" w:right="567" w:bottom="567" w:left="567" w:header="180" w:footer="1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1B1E8" w14:textId="77777777" w:rsidR="00DE048E" w:rsidRDefault="00DE048E" w:rsidP="00D9528D">
      <w:pPr>
        <w:spacing w:after="0" w:line="240" w:lineRule="auto"/>
      </w:pPr>
      <w:r>
        <w:separator/>
      </w:r>
    </w:p>
  </w:endnote>
  <w:endnote w:type="continuationSeparator" w:id="0">
    <w:p w14:paraId="510D11F1" w14:textId="77777777" w:rsidR="00DE048E" w:rsidRDefault="00DE048E" w:rsidP="00D952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sz w:val="20"/>
        <w:szCs w:val="20"/>
      </w:rPr>
      <w:id w:val="682100755"/>
      <w:docPartObj>
        <w:docPartGallery w:val="Page Numbers (Bottom of Page)"/>
        <w:docPartUnique/>
      </w:docPartObj>
    </w:sdtPr>
    <w:sdtEndPr>
      <w:rPr>
        <w:noProof/>
      </w:rPr>
    </w:sdtEndPr>
    <w:sdtContent>
      <w:p w14:paraId="3344A7BC" w14:textId="77777777" w:rsidR="00294A87" w:rsidRDefault="00294A87">
        <w:pPr>
          <w:pStyle w:val="Footer"/>
          <w:jc w:val="center"/>
          <w:rPr>
            <w:rFonts w:asciiTheme="majorBidi" w:hAnsiTheme="majorBidi" w:cstheme="majorBidi"/>
            <w:noProof/>
            <w:sz w:val="20"/>
            <w:szCs w:val="20"/>
          </w:rPr>
        </w:pPr>
        <w:r w:rsidRPr="00294A87">
          <w:rPr>
            <w:rFonts w:asciiTheme="majorBidi" w:hAnsiTheme="majorBidi" w:cstheme="majorBidi"/>
            <w:sz w:val="20"/>
            <w:szCs w:val="20"/>
          </w:rPr>
          <w:fldChar w:fldCharType="begin"/>
        </w:r>
        <w:r w:rsidRPr="00294A87">
          <w:rPr>
            <w:rFonts w:asciiTheme="majorBidi" w:hAnsiTheme="majorBidi" w:cstheme="majorBidi"/>
            <w:sz w:val="20"/>
            <w:szCs w:val="20"/>
          </w:rPr>
          <w:instrText xml:space="preserve"> PAGE   \* MERGEFORMAT </w:instrText>
        </w:r>
        <w:r w:rsidRPr="00294A87">
          <w:rPr>
            <w:rFonts w:asciiTheme="majorBidi" w:hAnsiTheme="majorBidi" w:cstheme="majorBidi"/>
            <w:sz w:val="20"/>
            <w:szCs w:val="20"/>
          </w:rPr>
          <w:fldChar w:fldCharType="separate"/>
        </w:r>
        <w:r w:rsidRPr="00294A87">
          <w:rPr>
            <w:rFonts w:asciiTheme="majorBidi" w:hAnsiTheme="majorBidi" w:cstheme="majorBidi"/>
            <w:noProof/>
            <w:sz w:val="20"/>
            <w:szCs w:val="20"/>
          </w:rPr>
          <w:t>2</w:t>
        </w:r>
        <w:r w:rsidRPr="00294A87">
          <w:rPr>
            <w:rFonts w:asciiTheme="majorBidi" w:hAnsiTheme="majorBidi" w:cstheme="majorBidi"/>
            <w:noProof/>
            <w:sz w:val="20"/>
            <w:szCs w:val="20"/>
          </w:rPr>
          <w:fldChar w:fldCharType="end"/>
        </w:r>
      </w:p>
      <w:p w14:paraId="24F6CD3F" w14:textId="34167958" w:rsidR="00294A87" w:rsidRPr="00294A87" w:rsidRDefault="00294A87">
        <w:pPr>
          <w:pStyle w:val="Footer"/>
          <w:jc w:val="center"/>
          <w:rPr>
            <w:rFonts w:asciiTheme="majorBidi" w:hAnsiTheme="majorBidi" w:cstheme="majorBidi"/>
            <w:sz w:val="20"/>
            <w:szCs w:val="20"/>
          </w:rPr>
        </w:pPr>
        <w:r>
          <w:rPr>
            <w:noProof/>
          </w:rPr>
          <w:drawing>
            <wp:inline distT="0" distB="0" distL="0" distR="0" wp14:anchorId="5D39E688" wp14:editId="32A1935E">
              <wp:extent cx="7052310" cy="53721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403" t="93314" r="1461" b="640"/>
                      <a:stretch/>
                    </pic:blipFill>
                    <pic:spPr bwMode="auto">
                      <a:xfrm>
                        <a:off x="0" y="0"/>
                        <a:ext cx="7052310" cy="537210"/>
                      </a:xfrm>
                      <a:prstGeom prst="rect">
                        <a:avLst/>
                      </a:prstGeom>
                      <a:noFill/>
                      <a:ln>
                        <a:noFill/>
                      </a:ln>
                      <a:extLst>
                        <a:ext uri="{53640926-AAD7-44D8-BBD7-CCE9431645EC}">
                          <a14:shadowObscured xmlns:a14="http://schemas.microsoft.com/office/drawing/2010/main"/>
                        </a:ext>
                      </a:extLst>
                    </pic:spPr>
                  </pic:pic>
                </a:graphicData>
              </a:graphic>
            </wp:inline>
          </w:drawing>
        </w:r>
      </w:p>
    </w:sdtContent>
  </w:sdt>
  <w:p w14:paraId="5F274CCF" w14:textId="40A2DA8B" w:rsidR="00D9528D" w:rsidRPr="00D9528D" w:rsidRDefault="00D9528D" w:rsidP="00D95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B00CE" w14:textId="77777777" w:rsidR="00DE048E" w:rsidRDefault="00DE048E" w:rsidP="00D9528D">
      <w:pPr>
        <w:spacing w:after="0" w:line="240" w:lineRule="auto"/>
      </w:pPr>
      <w:r>
        <w:separator/>
      </w:r>
    </w:p>
  </w:footnote>
  <w:footnote w:type="continuationSeparator" w:id="0">
    <w:p w14:paraId="2E2C939B" w14:textId="77777777" w:rsidR="00DE048E" w:rsidRDefault="00DE048E" w:rsidP="00D952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70A92" w14:textId="68A7EF6A" w:rsidR="00D9528D" w:rsidRPr="00D9528D" w:rsidRDefault="00D9528D" w:rsidP="00D9528D">
    <w:pPr>
      <w:pStyle w:val="Header"/>
    </w:pPr>
    <w:r>
      <w:rPr>
        <w:noProof/>
      </w:rPr>
      <w:drawing>
        <wp:inline distT="0" distB="0" distL="0" distR="0" wp14:anchorId="0D98A528" wp14:editId="4204C4E2">
          <wp:extent cx="7052310" cy="134211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591" t="4442" r="2508" b="81803"/>
                  <a:stretch/>
                </pic:blipFill>
                <pic:spPr bwMode="auto">
                  <a:xfrm>
                    <a:off x="0" y="0"/>
                    <a:ext cx="7052310" cy="1342114"/>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BB7FDF"/>
    <w:multiLevelType w:val="hybridMultilevel"/>
    <w:tmpl w:val="291A20EC"/>
    <w:lvl w:ilvl="0" w:tplc="29180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BA06A9"/>
    <w:multiLevelType w:val="hybridMultilevel"/>
    <w:tmpl w:val="A7E22D6A"/>
    <w:lvl w:ilvl="0" w:tplc="1DF6C6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00"/>
    <w:rsid w:val="00106D52"/>
    <w:rsid w:val="001F7044"/>
    <w:rsid w:val="00227300"/>
    <w:rsid w:val="00294A87"/>
    <w:rsid w:val="002D63C3"/>
    <w:rsid w:val="006F4667"/>
    <w:rsid w:val="00930C31"/>
    <w:rsid w:val="00B3358B"/>
    <w:rsid w:val="00C93F71"/>
    <w:rsid w:val="00D9528D"/>
    <w:rsid w:val="00DC67D8"/>
    <w:rsid w:val="00DD59D8"/>
    <w:rsid w:val="00DE048E"/>
    <w:rsid w:val="00DF1EFA"/>
    <w:rsid w:val="00FE52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C7BC3"/>
  <w15:docId w15:val="{8CA6DFE7-CF91-4BD9-A59E-AFE87468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730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300"/>
    <w:pPr>
      <w:ind w:left="720"/>
      <w:contextualSpacing/>
    </w:pPr>
  </w:style>
  <w:style w:type="paragraph" w:styleId="Header">
    <w:name w:val="header"/>
    <w:basedOn w:val="Normal"/>
    <w:link w:val="HeaderChar"/>
    <w:uiPriority w:val="99"/>
    <w:unhideWhenUsed/>
    <w:rsid w:val="00D9528D"/>
    <w:pPr>
      <w:tabs>
        <w:tab w:val="center" w:pos="4320"/>
        <w:tab w:val="right" w:pos="8640"/>
      </w:tabs>
      <w:spacing w:after="0" w:line="240" w:lineRule="auto"/>
    </w:pPr>
  </w:style>
  <w:style w:type="character" w:customStyle="1" w:styleId="HeaderChar">
    <w:name w:val="Header Char"/>
    <w:basedOn w:val="DefaultParagraphFont"/>
    <w:link w:val="Header"/>
    <w:uiPriority w:val="99"/>
    <w:rsid w:val="00D9528D"/>
  </w:style>
  <w:style w:type="paragraph" w:styleId="Footer">
    <w:name w:val="footer"/>
    <w:basedOn w:val="Normal"/>
    <w:link w:val="FooterChar"/>
    <w:uiPriority w:val="99"/>
    <w:unhideWhenUsed/>
    <w:rsid w:val="00D9528D"/>
    <w:pPr>
      <w:tabs>
        <w:tab w:val="center" w:pos="4320"/>
        <w:tab w:val="right" w:pos="8640"/>
      </w:tabs>
      <w:spacing w:after="0" w:line="240" w:lineRule="auto"/>
    </w:pPr>
  </w:style>
  <w:style w:type="character" w:customStyle="1" w:styleId="FooterChar">
    <w:name w:val="Footer Char"/>
    <w:basedOn w:val="DefaultParagraphFont"/>
    <w:link w:val="Footer"/>
    <w:uiPriority w:val="99"/>
    <w:rsid w:val="00D95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1010</Words>
  <Characters>5757</Characters>
  <Application>Microsoft Office Word</Application>
  <DocSecurity>0</DocSecurity>
  <Lines>47</Lines>
  <Paragraphs>13</Paragraphs>
  <ScaleCrop>false</ScaleCrop>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H.G.</dc:creator>
  <cp:lastModifiedBy>Hedi Guedhami</cp:lastModifiedBy>
  <cp:revision>4</cp:revision>
  <dcterms:created xsi:type="dcterms:W3CDTF">2021-04-07T05:48:00Z</dcterms:created>
  <dcterms:modified xsi:type="dcterms:W3CDTF">2021-11-14T05:02:00Z</dcterms:modified>
</cp:coreProperties>
</file>