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47484" w14:textId="77777777" w:rsidR="004318C3" w:rsidRDefault="003B0DBA" w:rsidP="00B537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0DB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того, чтобы извлечь полученное изделие из формы необходимо тщательно подготовить поверхность формы, убедиться в отсутствии постороннего мусора и по необходимости покрыть часть, которая будет соприкасаться с силиконом</w:t>
      </w:r>
      <w:r w:rsidR="004318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веществом разделителем. Кроме того, следует позаботиться о раскрытии формы после застывания силикона, для этого были предусмотрены зигзагообразные надрезы таким образом, чтобы сохранить жёсткость формы и при этом</w:t>
      </w:r>
      <w:r w:rsidR="004318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случае необходимости</w:t>
      </w:r>
      <w:r w:rsidR="004318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раскрыть часть формы для извлечения изделия (Рис. 1):</w:t>
      </w:r>
    </w:p>
    <w:p w14:paraId="6B9C9F80" w14:textId="534CC813" w:rsidR="00194C86" w:rsidRDefault="00C7583E" w:rsidP="004318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0D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A20381" wp14:editId="232E3D75">
            <wp:extent cx="4478616" cy="25200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1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507EB" w14:textId="0652CB5E" w:rsidR="003B0DBA" w:rsidRDefault="003B0DBA" w:rsidP="003B0D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18F3852C" w14:textId="77777777" w:rsidR="004318C3" w:rsidRDefault="004318C3" w:rsidP="00B537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вырезается литейное отверстие, лишние отверстия формы запечатываются пластилином, чтобы силикон полностью повторил геометрию заливаемой поверхности (рис.2-4):</w:t>
      </w:r>
    </w:p>
    <w:p w14:paraId="315094EA" w14:textId="044B7C30" w:rsidR="003B0DBA" w:rsidRDefault="004318C3" w:rsidP="004318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415F93" wp14:editId="08F0BC2D">
            <wp:extent cx="4475074" cy="2520000"/>
            <wp:effectExtent l="0" t="0" r="190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07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F8C7" w14:textId="175D546F" w:rsidR="00FA6ADB" w:rsidRDefault="00FA6ADB" w:rsidP="004318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 Кусочек пластилина для герметизации отверстий</w:t>
      </w:r>
    </w:p>
    <w:p w14:paraId="73CBAB7D" w14:textId="77777777" w:rsidR="00FA6ADB" w:rsidRDefault="00FA6ADB" w:rsidP="004318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B2371E" w14:textId="77777777" w:rsidR="00FA6ADB" w:rsidRDefault="00FA6ADB" w:rsidP="004318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8305F4" w14:textId="518D7942" w:rsidR="00FA6ADB" w:rsidRDefault="004318C3" w:rsidP="00FA6A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047067" wp14:editId="53AB9BDE">
            <wp:extent cx="4475074" cy="2520000"/>
            <wp:effectExtent l="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07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C938" w14:textId="6888CC4E" w:rsidR="00FA6ADB" w:rsidRDefault="00FA6ADB" w:rsidP="00FA6A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3-Загерм</w:t>
      </w:r>
      <w:r w:rsidR="00EA74D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тизированная форма для заливки</w:t>
      </w:r>
    </w:p>
    <w:p w14:paraId="3B7886BB" w14:textId="77777777" w:rsidR="00FA6ADB" w:rsidRDefault="00FA6ADB" w:rsidP="00FA6A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66D4A" w14:textId="32C5A9C5" w:rsidR="004318C3" w:rsidRDefault="004318C3" w:rsidP="00FA6A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7E5FB5" wp14:editId="19F96D9A">
            <wp:extent cx="4475074" cy="2520000"/>
            <wp:effectExtent l="0" t="0" r="190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07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B2D69" w14:textId="6223E87A" w:rsidR="0072719F" w:rsidRDefault="0072719F" w:rsidP="007271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4-Загерм</w:t>
      </w:r>
      <w:r w:rsidR="00EA74D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тизированная форма для заливки с литейным отверстием</w:t>
      </w:r>
    </w:p>
    <w:p w14:paraId="61F9C316" w14:textId="04CC944E" w:rsidR="005F7245" w:rsidRPr="00170456" w:rsidRDefault="005F7245" w:rsidP="00B537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заливки использовался силикон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зайцевские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силиконы» на платиновой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7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критерием по Шору 23. Данный силикон имеет</w:t>
      </w:r>
      <w:r w:rsidR="00170456">
        <w:rPr>
          <w:rFonts w:ascii="Times New Roman" w:hAnsi="Times New Roman" w:cs="Times New Roman"/>
          <w:sz w:val="28"/>
          <w:szCs w:val="28"/>
        </w:rPr>
        <w:t xml:space="preserve"> заявленное время застывания 10-60 минут. Экспериментально было проверено, что при нормальных условиях, время застывания силикона колеблется от 8 до 10 минут, при условии объема готового многокомпонентного состава </w:t>
      </w:r>
      <w:r w:rsidR="00170456" w:rsidRPr="00170456">
        <w:rPr>
          <w:rFonts w:ascii="Times New Roman" w:hAnsi="Times New Roman" w:cs="Times New Roman"/>
          <w:sz w:val="28"/>
          <w:szCs w:val="28"/>
        </w:rPr>
        <w:t>&lt;100</w:t>
      </w:r>
      <w:r w:rsidR="00170456">
        <w:rPr>
          <w:rFonts w:ascii="Times New Roman" w:hAnsi="Times New Roman" w:cs="Times New Roman"/>
          <w:sz w:val="28"/>
          <w:szCs w:val="28"/>
        </w:rPr>
        <w:t>гр (рис. 5):</w:t>
      </w:r>
    </w:p>
    <w:p w14:paraId="448015D9" w14:textId="0D2776F0" w:rsidR="0072719F" w:rsidRDefault="005F7245" w:rsidP="007271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07251F" wp14:editId="25811BB5">
            <wp:extent cx="4475074" cy="25200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07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8B96" w14:textId="2C2EF359" w:rsidR="00897FEC" w:rsidRDefault="00897FEC" w:rsidP="007271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5- Внешний вид упаковок двухкомпонентного силикона «</w:t>
      </w:r>
      <w:proofErr w:type="spellStart"/>
      <w:r w:rsidRPr="00897FEC">
        <w:rPr>
          <w:rFonts w:ascii="Times New Roman" w:hAnsi="Times New Roman" w:cs="Times New Roman"/>
          <w:sz w:val="28"/>
          <w:szCs w:val="28"/>
        </w:rPr>
        <w:t>Эластолюкс</w:t>
      </w:r>
      <w:proofErr w:type="spellEnd"/>
      <w:r w:rsidRPr="00897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FEC">
        <w:rPr>
          <w:rFonts w:ascii="Times New Roman" w:hAnsi="Times New Roman" w:cs="Times New Roman"/>
          <w:sz w:val="28"/>
          <w:szCs w:val="28"/>
        </w:rPr>
        <w:t>Платинум</w:t>
      </w:r>
      <w:proofErr w:type="spellEnd"/>
      <w:r w:rsidRPr="00897FEC">
        <w:rPr>
          <w:rFonts w:ascii="Times New Roman" w:hAnsi="Times New Roman" w:cs="Times New Roman"/>
          <w:sz w:val="28"/>
          <w:szCs w:val="28"/>
        </w:rPr>
        <w:t xml:space="preserve"> 23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419F39E" w14:textId="77777777" w:rsidR="00897FEC" w:rsidRDefault="00897FEC" w:rsidP="00B537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рациональной заливки материала, необходимо прибегнуть к задаче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предрасчета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массы затрачиваемых материалов. Для этого, имея размеры заливаемой формы и среднее значение плотности силикона, вычислили массу компонентов (рис. 6):</w:t>
      </w:r>
    </w:p>
    <w:p w14:paraId="39199E2D" w14:textId="769A163E" w:rsidR="00B0411A" w:rsidRDefault="00897FEC" w:rsidP="00B041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C7B38" wp14:editId="5FCED8C6">
            <wp:extent cx="4475074" cy="25200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07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0C49" w14:textId="77777777" w:rsidR="00BE3956" w:rsidRDefault="00B0411A" w:rsidP="00B041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взвешивания и добавления компонентов в тару должен сопровождаться определенной точностью, будь она механическая или инструментальная</w:t>
      </w:r>
      <w:r w:rsidR="00BE3956">
        <w:rPr>
          <w:rFonts w:ascii="Times New Roman" w:hAnsi="Times New Roman" w:cs="Times New Roman"/>
          <w:sz w:val="28"/>
          <w:szCs w:val="28"/>
        </w:rPr>
        <w:t>, чтобы достичь желаемого результата (рис. 7):</w:t>
      </w:r>
    </w:p>
    <w:p w14:paraId="47607941" w14:textId="504F96B4" w:rsidR="00BE3956" w:rsidRDefault="00BE3956" w:rsidP="00BE39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600E1B" wp14:editId="285134B7">
            <wp:extent cx="2884714" cy="51251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964" cy="515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653D" w14:textId="61D209FD" w:rsidR="00BE3956" w:rsidRPr="00BE3956" w:rsidRDefault="00BE3956" w:rsidP="00BE39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7- Методика взвешивания компонента, используя функцию «</w:t>
      </w:r>
      <w:r>
        <w:rPr>
          <w:rFonts w:ascii="Times New Roman" w:hAnsi="Times New Roman" w:cs="Times New Roman"/>
          <w:sz w:val="28"/>
          <w:szCs w:val="28"/>
          <w:lang w:val="en-US"/>
        </w:rPr>
        <w:t>Tare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7F6F6D9" w14:textId="2C9E1DE1" w:rsidR="00B537C5" w:rsidRDefault="00DD635E" w:rsidP="00536C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заливки, имеем 2 варианта событий: либо силикон остается, либо его недостаточно. Этот факт говорит о том, что плотность силикона выбрана с недостаточной точностью и необходим ее пересчет. Также необходимо вводить коэффициент потерь и несовершенства формы, отражающий дополнительные затраты материала по тем или иным причинам, будь то оставшийся на форме или </w:t>
      </w:r>
      <w:r w:rsidR="00B537C5">
        <w:rPr>
          <w:rFonts w:ascii="Times New Roman" w:hAnsi="Times New Roman" w:cs="Times New Roman"/>
          <w:sz w:val="28"/>
          <w:szCs w:val="28"/>
        </w:rPr>
        <w:t>инструменте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37C5">
        <w:rPr>
          <w:rFonts w:ascii="Times New Roman" w:hAnsi="Times New Roman" w:cs="Times New Roman"/>
          <w:sz w:val="28"/>
          <w:szCs w:val="28"/>
        </w:rPr>
        <w:t>размешивания силикон</w:t>
      </w:r>
      <w:r>
        <w:rPr>
          <w:rFonts w:ascii="Times New Roman" w:hAnsi="Times New Roman" w:cs="Times New Roman"/>
          <w:sz w:val="28"/>
          <w:szCs w:val="28"/>
        </w:rPr>
        <w:t xml:space="preserve"> или неровности в </w:t>
      </w:r>
      <w:r w:rsidR="00B537C5">
        <w:rPr>
          <w:rFonts w:ascii="Times New Roman" w:hAnsi="Times New Roman" w:cs="Times New Roman"/>
          <w:sz w:val="28"/>
          <w:szCs w:val="28"/>
        </w:rPr>
        <w:t xml:space="preserve">геометрии формы для заливки </w:t>
      </w:r>
    </w:p>
    <w:p w14:paraId="0FEAB6F5" w14:textId="3A798E79" w:rsidR="00536CC2" w:rsidRDefault="00B537C5" w:rsidP="00DD63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Придерживаясь рекомендуемой технологии, следует залить оба компонента по отдельности в различные емкости и дождаться процесса дегазации, либо использовать механические средства для ускорения процесса</w:t>
      </w:r>
      <w:r w:rsidR="0042356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356F">
        <w:rPr>
          <w:rFonts w:ascii="Times New Roman" w:hAnsi="Times New Roman" w:cs="Times New Roman"/>
          <w:sz w:val="28"/>
          <w:szCs w:val="28"/>
        </w:rPr>
        <w:t>действенны как способ «</w:t>
      </w:r>
      <w:r w:rsidR="00536CC2">
        <w:rPr>
          <w:rFonts w:ascii="Times New Roman" w:hAnsi="Times New Roman" w:cs="Times New Roman"/>
          <w:sz w:val="28"/>
          <w:szCs w:val="28"/>
        </w:rPr>
        <w:t>постукивания» (рис. 8)</w:t>
      </w:r>
      <w:r w:rsidR="0042356F">
        <w:rPr>
          <w:rFonts w:ascii="Times New Roman" w:hAnsi="Times New Roman" w:cs="Times New Roman"/>
          <w:sz w:val="28"/>
          <w:szCs w:val="28"/>
        </w:rPr>
        <w:t>, так и использование вакуумной камеры.</w:t>
      </w:r>
      <w:r w:rsidR="00B041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5B9E02" w14:textId="33EC211A" w:rsidR="00536CC2" w:rsidRDefault="00536CC2" w:rsidP="00536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A88B64" wp14:editId="6A5AAEAD">
            <wp:extent cx="2431549" cy="4320000"/>
            <wp:effectExtent l="0" t="0" r="698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549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BEC3" w14:textId="270F412A" w:rsidR="00536CC2" w:rsidRDefault="00536CC2" w:rsidP="00536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8-Дегазация раствора методом «постукивания»</w:t>
      </w:r>
    </w:p>
    <w:p w14:paraId="4A7C7D96" w14:textId="77777777" w:rsidR="00536CC2" w:rsidRDefault="0042356F" w:rsidP="00536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наличие воздуха в каждом из компонентов минимально, необходимо их смешать в новой емкости. Процесс смешивания должен происходить тщательно, заостряя особое внимание на области боковых стенок формы для размешивания и </w:t>
      </w:r>
      <w:r w:rsidR="00BE3956">
        <w:rPr>
          <w:rFonts w:ascii="Times New Roman" w:hAnsi="Times New Roman" w:cs="Times New Roman"/>
          <w:sz w:val="28"/>
          <w:szCs w:val="28"/>
        </w:rPr>
        <w:t>дна (рис. 8):</w:t>
      </w:r>
    </w:p>
    <w:p w14:paraId="12AC472E" w14:textId="647DD5B5" w:rsidR="00BE3956" w:rsidRDefault="00BE3956" w:rsidP="00536C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23BA95" wp14:editId="52200107">
            <wp:extent cx="1946334" cy="345794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34" cy="34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1B42" w14:textId="60C06780" w:rsidR="00BE3956" w:rsidRDefault="00BE3956" w:rsidP="00BE39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8- Процесс перемешивания компонентов</w:t>
      </w:r>
    </w:p>
    <w:p w14:paraId="30D90FC1" w14:textId="55F0CE99" w:rsidR="00B0411A" w:rsidRDefault="0042356F" w:rsidP="00BE39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технических характеристик времени на перемешивание не так уж и много, поэтому следует заранее его распределить на процесс перемешивания, дегазации и заливки: чем более густой получился силикон, тем большую пропорцию времени следует уделять на процесс заливки. В противном случае, можно столкнуться с </w:t>
      </w:r>
      <w:r w:rsidR="00B0411A">
        <w:rPr>
          <w:rFonts w:ascii="Times New Roman" w:hAnsi="Times New Roman" w:cs="Times New Roman"/>
          <w:sz w:val="28"/>
          <w:szCs w:val="28"/>
        </w:rPr>
        <w:t>застыванием силикона в форме для перемешивания. Убедившись в том, что смесь компонентов перешла в состояние раствора, можно начинать процесс заливки.</w:t>
      </w:r>
    </w:p>
    <w:p w14:paraId="1232B181" w14:textId="094448D6" w:rsidR="00536CC2" w:rsidRDefault="00536CC2" w:rsidP="00BE39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итоге, получаем следующий результат (рис. 9):</w:t>
      </w:r>
    </w:p>
    <w:p w14:paraId="30B181D9" w14:textId="73BA8798" w:rsidR="00536CC2" w:rsidRDefault="00536CC2" w:rsidP="00BE39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73AC02" wp14:editId="623A5ACE">
            <wp:extent cx="6466205" cy="36360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113BD" w14:textId="26A559BC" w:rsidR="0042356F" w:rsidRDefault="00536CC2" w:rsidP="00E771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9- Процесс перемешивания компонентов</w:t>
      </w:r>
    </w:p>
    <w:p w14:paraId="640EB797" w14:textId="77777777" w:rsidR="00FA6ADB" w:rsidRPr="003B0DBA" w:rsidRDefault="00FA6ADB" w:rsidP="00FA6A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A6ADB" w:rsidRPr="003B0DBA" w:rsidSect="00544CE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EE"/>
    <w:rsid w:val="00036F18"/>
    <w:rsid w:val="00170456"/>
    <w:rsid w:val="00194C86"/>
    <w:rsid w:val="002F41DE"/>
    <w:rsid w:val="003B0DBA"/>
    <w:rsid w:val="0042356F"/>
    <w:rsid w:val="004318C3"/>
    <w:rsid w:val="00536CC2"/>
    <w:rsid w:val="00544CEA"/>
    <w:rsid w:val="005F7245"/>
    <w:rsid w:val="006A3AB7"/>
    <w:rsid w:val="0072719F"/>
    <w:rsid w:val="00731FB8"/>
    <w:rsid w:val="00774567"/>
    <w:rsid w:val="00897FEC"/>
    <w:rsid w:val="00910E0E"/>
    <w:rsid w:val="009E78EE"/>
    <w:rsid w:val="009F182F"/>
    <w:rsid w:val="00AA61CC"/>
    <w:rsid w:val="00B0411A"/>
    <w:rsid w:val="00B537C5"/>
    <w:rsid w:val="00BE3956"/>
    <w:rsid w:val="00C7583E"/>
    <w:rsid w:val="00C76433"/>
    <w:rsid w:val="00D632EF"/>
    <w:rsid w:val="00DD635E"/>
    <w:rsid w:val="00E77132"/>
    <w:rsid w:val="00EA74D5"/>
    <w:rsid w:val="00FA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BC3D"/>
  <w15:chartTrackingRefBased/>
  <w15:docId w15:val="{82E89A8B-8505-4853-BF9D-0E1EF2EA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F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7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Davidenko</dc:creator>
  <cp:keywords/>
  <dc:description/>
  <cp:lastModifiedBy>Sergey Davidenko</cp:lastModifiedBy>
  <cp:revision>6</cp:revision>
  <dcterms:created xsi:type="dcterms:W3CDTF">2021-03-18T14:26:00Z</dcterms:created>
  <dcterms:modified xsi:type="dcterms:W3CDTF">2021-03-18T16:33:00Z</dcterms:modified>
</cp:coreProperties>
</file>