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6B" w:val="clear"/>
            <w:tcMar>
              <w:top w:type="dxa" w:w="400"/>
              <w:left w:type="dxa" w:w="400"/>
              <w:bottom w:type="dxa" w:w="400"/>
              <w:right w:type="dxa" w:w="400"/>
            </w:tcMar>
          </w:tcPr>
          <w:p>
            <w:pPr>
              <w:jc w:val="center"/>
            </w:pPr>
            <w:r>
              <w:rPr>
                <w:rFonts w:ascii="Arial" w:cs="Arial" w:eastAsia="Arial" w:hAnsi="Arial"/>
                <w:b/>
                <w:bCs/>
                <w:color w:val="02C39A"/>
                <w:spacing w:val="80"/>
                <w:sz w:val="20"/>
                <w:szCs w:val="20"/>
              </w:rPr>
              <w:t xml:space="preserve">HAVI × NIU HACKATHON 2026</w:t>
            </w:r>
          </w:p>
          <w:p>
            <w:pPr>
              <w:spacing w:before="160" w:after="80"/>
              <w:jc w:val="center"/>
            </w:pPr>
            <w:r>
              <w:rPr>
                <w:rFonts w:ascii="Arial" w:cs="Arial" w:eastAsia="Arial" w:hAnsi="Arial"/>
                <w:b/>
                <w:bCs/>
                <w:color w:val="FFFFFF"/>
                <w:sz w:val="52"/>
                <w:szCs w:val="52"/>
              </w:rPr>
              <w:t xml:space="preserve">QSR Demand Forecasting Challenge</w:t>
            </w:r>
          </w:p>
          <w:p>
            <w:pPr>
              <w:spacing w:before="80" w:after="160"/>
              <w:jc w:val="center"/>
            </w:pPr>
            <w:r>
              <w:rPr>
                <w:rFonts w:ascii="Arial" w:cs="Arial" w:eastAsia="Arial" w:hAnsi="Arial"/>
                <w:b/>
                <w:bCs/>
                <w:color w:val="02C39A"/>
                <w:sz w:val="28"/>
                <w:szCs w:val="28"/>
              </w:rPr>
              <w:t xml:space="preserve">PRESENTATION SCRIPT</w:t>
            </w:r>
          </w:p>
          <w:p>
            <w:pPr>
              <w:jc w:val="center"/>
            </w:pPr>
            <w:r>
              <w:rPr>
                <w:rFonts w:ascii="Arial" w:cs="Arial" w:eastAsia="Arial" w:hAnsi="Arial"/>
                <w:color w:val="CADCFC"/>
                <w:sz w:val="20"/>
                <w:szCs w:val="20"/>
              </w:rPr>
              <w:t xml:space="preserve">5-Minute Video Walkthrough  •  NIU Team  •  April 2026</w:t>
            </w:r>
          </w:p>
        </w:tc>
      </w:tr>
    </w:tbl>
    <w:p>
      <w:pPr>
        <w:spacing w:before="60" w:after="60"/>
      </w:pPr>
      <w:r>
        <w:t xml:space="preserve"/>
      </w:r>
    </w:p>
    <w:p>
      <w:pPr>
        <w:spacing w:before="60" w:after="60"/>
      </w:pPr>
      <w:r>
        <w:t xml:space="preserve"/>
      </w:r>
    </w:p>
    <w:p>
      <w:pPr>
        <w:spacing w:before="0" w:after="80"/>
      </w:pPr>
      <w:r>
        <w:rPr>
          <w:rFonts w:ascii="Arial" w:cs="Arial" w:eastAsia="Arial" w:hAnsi="Arial"/>
          <w:b/>
          <w:bCs/>
          <w:color w:val="1B2A6B"/>
          <w:sz w:val="26"/>
          <w:szCs w:val="26"/>
        </w:rPr>
        <w:t xml:space="preserve">How to Use This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028090" w:sz="12"/>
              <w:bottom w:val="none" w:color="FFFFFF" w:sz="0"/>
              <w:right w:val="none" w:color="FFFFFF" w:sz="0"/>
            </w:tcBorders>
            <w:shd w:fill="F4F7FE" w:val="clear"/>
            <w:tcMar>
              <w:top w:type="dxa" w:w="100"/>
              <w:left w:type="dxa" w:w="160"/>
              <w:bottom w:type="dxa" w:w="100"/>
              <w:right w:type="dxa" w:w="120"/>
            </w:tcMar>
          </w:tcPr>
          <w:p>
            <w:r>
              <w:rPr>
                <w:rFonts w:ascii="Arial" w:cs="Arial" w:eastAsia="Arial" w:hAnsi="Arial"/>
                <w:sz w:val="22"/>
                <w:szCs w:val="22"/>
              </w:rPr>
              <w:t xml:space="preserve">Each slide section includes: (1) the exact words to say, (2) a speaker note with delivery tips, and (3) the key data points to emphasize. The total target runtime is 5 minutes. Slide timings are shown in brackets.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6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Slide</w:t>
            </w:r>
          </w:p>
        </w:tc>
        <w:tc>
          <w:tcPr>
            <w:tcW w:type="dxa" w:w="3120"/>
            <w:tcBorders>
              <w:top w:val="single" w:color="CCCCCC" w:sz="1"/>
              <w:left w:val="single" w:color="CCCCCC" w:sz="1"/>
              <w:bottom w:val="single" w:color="CCCCCC" w:sz="1"/>
              <w:right w:val="single" w:color="CCCCCC" w:sz="1"/>
            </w:tcBorders>
            <w:shd w:fill="1B2A6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Topic</w:t>
            </w:r>
          </w:p>
        </w:tc>
        <w:tc>
          <w:tcPr>
            <w:tcW w:type="dxa" w:w="3120"/>
            <w:tcBorders>
              <w:top w:val="single" w:color="CCCCCC" w:sz="1"/>
              <w:left w:val="single" w:color="CCCCCC" w:sz="1"/>
              <w:bottom w:val="single" w:color="CCCCCC" w:sz="1"/>
              <w:right w:val="single" w:color="CCCCCC" w:sz="1"/>
            </w:tcBorders>
            <w:shd w:fill="1B2A6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Time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2"/>
                <w:szCs w:val="22"/>
              </w:rPr>
              <w:t xml:space="preserve">1</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Title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2"/>
                <w:szCs w:val="22"/>
              </w:rPr>
              <w:t xml:space="preserve">0:00–0:10</w:t>
            </w:r>
          </w:p>
        </w:tc>
      </w:tr>
      <w:tr>
        <w:tc>
          <w:tcPr>
            <w:tcW w:type="dxa" w:w="3120"/>
            <w:tcBorders>
              <w:top w:val="single" w:color="CCCCCC" w:sz="1"/>
              <w:left w:val="single" w:color="CCCCCC" w:sz="1"/>
              <w:bottom w:val="single" w:color="CCCCCC" w:sz="1"/>
              <w:right w:val="single" w:color="CCCCCC" w:sz="1"/>
            </w:tcBorders>
            <w:shd w:fill="F4F7FE" w:val="clear"/>
            <w:tcMar>
              <w:top w:type="dxa" w:w="60"/>
              <w:left w:type="dxa" w:w="120"/>
              <w:bottom w:type="dxa" w:w="60"/>
              <w:right w:type="dxa" w:w="120"/>
            </w:tcMar>
          </w:tcPr>
          <w:p>
            <w:pPr>
              <w:jc w:val="center"/>
            </w:pPr>
            <w:r>
              <w:rPr>
                <w:rFonts w:ascii="Arial" w:cs="Arial" w:eastAsia="Arial" w:hAnsi="Arial"/>
                <w:sz w:val="22"/>
                <w:szCs w:val="22"/>
              </w:rPr>
              <w:t xml:space="preserve">2</w:t>
            </w:r>
          </w:p>
        </w:tc>
        <w:tc>
          <w:tcPr>
            <w:tcW w:type="dxa" w:w="3120"/>
            <w:tcBorders>
              <w:top w:val="single" w:color="CCCCCC" w:sz="1"/>
              <w:left w:val="single" w:color="CCCCCC" w:sz="1"/>
              <w:bottom w:val="single" w:color="CCCCCC" w:sz="1"/>
              <w:right w:val="single" w:color="CCCCCC" w:sz="1"/>
            </w:tcBorders>
            <w:shd w:fill="F4F7FE" w:val="clear"/>
            <w:tcMar>
              <w:top w:type="dxa" w:w="60"/>
              <w:left w:type="dxa" w:w="120"/>
              <w:bottom w:type="dxa" w:w="60"/>
              <w:right w:type="dxa" w:w="120"/>
            </w:tcMar>
          </w:tcPr>
          <w:p>
            <w:r>
              <w:rPr>
                <w:rFonts w:ascii="Arial" w:cs="Arial" w:eastAsia="Arial" w:hAnsi="Arial"/>
                <w:sz w:val="22"/>
                <w:szCs w:val="22"/>
              </w:rPr>
              <w:t xml:space="preserve">The Business Problem</w:t>
            </w:r>
          </w:p>
        </w:tc>
        <w:tc>
          <w:tcPr>
            <w:tcW w:type="dxa" w:w="3120"/>
            <w:tcBorders>
              <w:top w:val="single" w:color="CCCCCC" w:sz="1"/>
              <w:left w:val="single" w:color="CCCCCC" w:sz="1"/>
              <w:bottom w:val="single" w:color="CCCCCC" w:sz="1"/>
              <w:right w:val="single" w:color="CCCCCC" w:sz="1"/>
            </w:tcBorders>
            <w:shd w:fill="F4F7FE" w:val="clear"/>
            <w:tcMar>
              <w:top w:type="dxa" w:w="60"/>
              <w:left w:type="dxa" w:w="120"/>
              <w:bottom w:type="dxa" w:w="60"/>
              <w:right w:type="dxa" w:w="120"/>
            </w:tcMar>
          </w:tcPr>
          <w:p>
            <w:pPr>
              <w:jc w:val="center"/>
            </w:pPr>
            <w:r>
              <w:rPr>
                <w:rFonts w:ascii="Arial" w:cs="Arial" w:eastAsia="Arial" w:hAnsi="Arial"/>
                <w:sz w:val="22"/>
                <w:szCs w:val="22"/>
              </w:rPr>
              <w:t xml:space="preserve">0:10–0:55</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2"/>
                <w:szCs w:val="22"/>
              </w:rPr>
              <w:t xml:space="preserve">3</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Data Exploration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2"/>
                <w:szCs w:val="22"/>
              </w:rPr>
              <w:t xml:space="preserve">0:55–1:40</w:t>
            </w:r>
          </w:p>
        </w:tc>
      </w:tr>
      <w:tr>
        <w:tc>
          <w:tcPr>
            <w:tcW w:type="dxa" w:w="3120"/>
            <w:tcBorders>
              <w:top w:val="single" w:color="CCCCCC" w:sz="1"/>
              <w:left w:val="single" w:color="CCCCCC" w:sz="1"/>
              <w:bottom w:val="single" w:color="CCCCCC" w:sz="1"/>
              <w:right w:val="single" w:color="CCCCCC" w:sz="1"/>
            </w:tcBorders>
            <w:shd w:fill="F4F7FE" w:val="clear"/>
            <w:tcMar>
              <w:top w:type="dxa" w:w="60"/>
              <w:left w:type="dxa" w:w="120"/>
              <w:bottom w:type="dxa" w:w="60"/>
              <w:right w:type="dxa" w:w="120"/>
            </w:tcMar>
          </w:tcPr>
          <w:p>
            <w:pPr>
              <w:jc w:val="center"/>
            </w:pPr>
            <w:r>
              <w:rPr>
                <w:rFonts w:ascii="Arial" w:cs="Arial" w:eastAsia="Arial" w:hAnsi="Arial"/>
                <w:sz w:val="22"/>
                <w:szCs w:val="22"/>
              </w:rPr>
              <w:t xml:space="preserve">4</w:t>
            </w:r>
          </w:p>
        </w:tc>
        <w:tc>
          <w:tcPr>
            <w:tcW w:type="dxa" w:w="3120"/>
            <w:tcBorders>
              <w:top w:val="single" w:color="CCCCCC" w:sz="1"/>
              <w:left w:val="single" w:color="CCCCCC" w:sz="1"/>
              <w:bottom w:val="single" w:color="CCCCCC" w:sz="1"/>
              <w:right w:val="single" w:color="CCCCCC" w:sz="1"/>
            </w:tcBorders>
            <w:shd w:fill="F4F7FE" w:val="clear"/>
            <w:tcMar>
              <w:top w:type="dxa" w:w="60"/>
              <w:left w:type="dxa" w:w="120"/>
              <w:bottom w:type="dxa" w:w="60"/>
              <w:right w:type="dxa" w:w="120"/>
            </w:tcMar>
          </w:tcPr>
          <w:p>
            <w:r>
              <w:rPr>
                <w:rFonts w:ascii="Arial" w:cs="Arial" w:eastAsia="Arial" w:hAnsi="Arial"/>
                <w:sz w:val="22"/>
                <w:szCs w:val="22"/>
              </w:rPr>
              <w:t xml:space="preserve">Methodology</w:t>
            </w:r>
          </w:p>
        </w:tc>
        <w:tc>
          <w:tcPr>
            <w:tcW w:type="dxa" w:w="3120"/>
            <w:tcBorders>
              <w:top w:val="single" w:color="CCCCCC" w:sz="1"/>
              <w:left w:val="single" w:color="CCCCCC" w:sz="1"/>
              <w:bottom w:val="single" w:color="CCCCCC" w:sz="1"/>
              <w:right w:val="single" w:color="CCCCCC" w:sz="1"/>
            </w:tcBorders>
            <w:shd w:fill="F4F7FE" w:val="clear"/>
            <w:tcMar>
              <w:top w:type="dxa" w:w="60"/>
              <w:left w:type="dxa" w:w="120"/>
              <w:bottom w:type="dxa" w:w="60"/>
              <w:right w:type="dxa" w:w="120"/>
            </w:tcMar>
          </w:tcPr>
          <w:p>
            <w:pPr>
              <w:jc w:val="center"/>
            </w:pPr>
            <w:r>
              <w:rPr>
                <w:rFonts w:ascii="Arial" w:cs="Arial" w:eastAsia="Arial" w:hAnsi="Arial"/>
                <w:sz w:val="22"/>
                <w:szCs w:val="22"/>
              </w:rPr>
              <w:t xml:space="preserve">1:40–2:30</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2"/>
                <w:szCs w:val="22"/>
              </w:rPr>
              <w:t xml:space="preserve">5</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Feature Engineering</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2"/>
                <w:szCs w:val="22"/>
              </w:rPr>
              <w:t xml:space="preserve">2:30–3:10</w:t>
            </w:r>
          </w:p>
        </w:tc>
      </w:tr>
      <w:tr>
        <w:tc>
          <w:tcPr>
            <w:tcW w:type="dxa" w:w="3120"/>
            <w:tcBorders>
              <w:top w:val="single" w:color="CCCCCC" w:sz="1"/>
              <w:left w:val="single" w:color="CCCCCC" w:sz="1"/>
              <w:bottom w:val="single" w:color="CCCCCC" w:sz="1"/>
              <w:right w:val="single" w:color="CCCCCC" w:sz="1"/>
            </w:tcBorders>
            <w:shd w:fill="F4F7FE" w:val="clear"/>
            <w:tcMar>
              <w:top w:type="dxa" w:w="60"/>
              <w:left w:type="dxa" w:w="120"/>
              <w:bottom w:type="dxa" w:w="60"/>
              <w:right w:type="dxa" w:w="120"/>
            </w:tcMar>
          </w:tcPr>
          <w:p>
            <w:pPr>
              <w:jc w:val="center"/>
            </w:pPr>
            <w:r>
              <w:rPr>
                <w:rFonts w:ascii="Arial" w:cs="Arial" w:eastAsia="Arial" w:hAnsi="Arial"/>
                <w:sz w:val="22"/>
                <w:szCs w:val="22"/>
              </w:rPr>
              <w:t xml:space="preserve">6</w:t>
            </w:r>
          </w:p>
        </w:tc>
        <w:tc>
          <w:tcPr>
            <w:tcW w:type="dxa" w:w="3120"/>
            <w:tcBorders>
              <w:top w:val="single" w:color="CCCCCC" w:sz="1"/>
              <w:left w:val="single" w:color="CCCCCC" w:sz="1"/>
              <w:bottom w:val="single" w:color="CCCCCC" w:sz="1"/>
              <w:right w:val="single" w:color="CCCCCC" w:sz="1"/>
            </w:tcBorders>
            <w:shd w:fill="F4F7FE" w:val="clear"/>
            <w:tcMar>
              <w:top w:type="dxa" w:w="60"/>
              <w:left w:type="dxa" w:w="120"/>
              <w:bottom w:type="dxa" w:w="60"/>
              <w:right w:type="dxa" w:w="120"/>
            </w:tcMar>
          </w:tcPr>
          <w:p>
            <w:r>
              <w:rPr>
                <w:rFonts w:ascii="Arial" w:cs="Arial" w:eastAsia="Arial" w:hAnsi="Arial"/>
                <w:sz w:val="22"/>
                <w:szCs w:val="22"/>
              </w:rPr>
              <w:t xml:space="preserve">Model Results</w:t>
            </w:r>
          </w:p>
        </w:tc>
        <w:tc>
          <w:tcPr>
            <w:tcW w:type="dxa" w:w="3120"/>
            <w:tcBorders>
              <w:top w:val="single" w:color="CCCCCC" w:sz="1"/>
              <w:left w:val="single" w:color="CCCCCC" w:sz="1"/>
              <w:bottom w:val="single" w:color="CCCCCC" w:sz="1"/>
              <w:right w:val="single" w:color="CCCCCC" w:sz="1"/>
            </w:tcBorders>
            <w:shd w:fill="F4F7FE" w:val="clear"/>
            <w:tcMar>
              <w:top w:type="dxa" w:w="60"/>
              <w:left w:type="dxa" w:w="120"/>
              <w:bottom w:type="dxa" w:w="60"/>
              <w:right w:type="dxa" w:w="120"/>
            </w:tcMar>
          </w:tcPr>
          <w:p>
            <w:pPr>
              <w:jc w:val="center"/>
            </w:pPr>
            <w:r>
              <w:rPr>
                <w:rFonts w:ascii="Arial" w:cs="Arial" w:eastAsia="Arial" w:hAnsi="Arial"/>
                <w:sz w:val="22"/>
                <w:szCs w:val="22"/>
              </w:rPr>
              <w:t xml:space="preserve">3:10–3:50</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2"/>
                <w:szCs w:val="22"/>
              </w:rPr>
              <w:t xml:space="preserve">7</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Innovation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2"/>
                <w:szCs w:val="22"/>
              </w:rPr>
              <w:t xml:space="preserve">3:50–4:25</w:t>
            </w:r>
          </w:p>
        </w:tc>
      </w:tr>
      <w:tr>
        <w:tc>
          <w:tcPr>
            <w:tcW w:type="dxa" w:w="3120"/>
            <w:tcBorders>
              <w:top w:val="single" w:color="CCCCCC" w:sz="1"/>
              <w:left w:val="single" w:color="CCCCCC" w:sz="1"/>
              <w:bottom w:val="single" w:color="CCCCCC" w:sz="1"/>
              <w:right w:val="single" w:color="CCCCCC" w:sz="1"/>
            </w:tcBorders>
            <w:shd w:fill="F4F7FE" w:val="clear"/>
            <w:tcMar>
              <w:top w:type="dxa" w:w="60"/>
              <w:left w:type="dxa" w:w="120"/>
              <w:bottom w:type="dxa" w:w="60"/>
              <w:right w:type="dxa" w:w="120"/>
            </w:tcMar>
          </w:tcPr>
          <w:p>
            <w:pPr>
              <w:jc w:val="center"/>
            </w:pPr>
            <w:r>
              <w:rPr>
                <w:rFonts w:ascii="Arial" w:cs="Arial" w:eastAsia="Arial" w:hAnsi="Arial"/>
                <w:sz w:val="22"/>
                <w:szCs w:val="22"/>
              </w:rPr>
              <w:t xml:space="preserve">8</w:t>
            </w:r>
          </w:p>
        </w:tc>
        <w:tc>
          <w:tcPr>
            <w:tcW w:type="dxa" w:w="3120"/>
            <w:tcBorders>
              <w:top w:val="single" w:color="CCCCCC" w:sz="1"/>
              <w:left w:val="single" w:color="CCCCCC" w:sz="1"/>
              <w:bottom w:val="single" w:color="CCCCCC" w:sz="1"/>
              <w:right w:val="single" w:color="CCCCCC" w:sz="1"/>
            </w:tcBorders>
            <w:shd w:fill="F4F7FE" w:val="clear"/>
            <w:tcMar>
              <w:top w:type="dxa" w:w="60"/>
              <w:left w:type="dxa" w:w="120"/>
              <w:bottom w:type="dxa" w:w="60"/>
              <w:right w:type="dxa" w:w="120"/>
            </w:tcMar>
          </w:tcPr>
          <w:p>
            <w:r>
              <w:rPr>
                <w:rFonts w:ascii="Arial" w:cs="Arial" w:eastAsia="Arial" w:hAnsi="Arial"/>
                <w:sz w:val="22"/>
                <w:szCs w:val="22"/>
              </w:rPr>
              <w:t xml:space="preserve">Business Recs</w:t>
            </w:r>
          </w:p>
        </w:tc>
        <w:tc>
          <w:tcPr>
            <w:tcW w:type="dxa" w:w="3120"/>
            <w:tcBorders>
              <w:top w:val="single" w:color="CCCCCC" w:sz="1"/>
              <w:left w:val="single" w:color="CCCCCC" w:sz="1"/>
              <w:bottom w:val="single" w:color="CCCCCC" w:sz="1"/>
              <w:right w:val="single" w:color="CCCCCC" w:sz="1"/>
            </w:tcBorders>
            <w:shd w:fill="F4F7FE" w:val="clear"/>
            <w:tcMar>
              <w:top w:type="dxa" w:w="60"/>
              <w:left w:type="dxa" w:w="120"/>
              <w:bottom w:type="dxa" w:w="60"/>
              <w:right w:type="dxa" w:w="120"/>
            </w:tcMar>
          </w:tcPr>
          <w:p>
            <w:pPr>
              <w:jc w:val="center"/>
            </w:pPr>
            <w:r>
              <w:rPr>
                <w:rFonts w:ascii="Arial" w:cs="Arial" w:eastAsia="Arial" w:hAnsi="Arial"/>
                <w:sz w:val="22"/>
                <w:szCs w:val="22"/>
              </w:rPr>
              <w:t xml:space="preserve">4:25–4:50</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2"/>
                <w:szCs w:val="22"/>
              </w:rPr>
              <w:t xml:space="preserve">9</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Thank You</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2"/>
                <w:szCs w:val="22"/>
              </w:rPr>
              <w:t xml:space="preserve">4:50–5:00</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6B" w:val="clear"/>
            <w:tcMar>
              <w:top w:type="dxa" w:w="120"/>
              <w:left w:type="dxa" w:w="200"/>
              <w:bottom w:type="dxa" w:w="120"/>
              <w:right w:type="dxa" w:w="200"/>
            </w:tcMar>
          </w:tcPr>
          <w:p>
            <w:r>
              <w:rPr>
                <w:rFonts w:ascii="Arial" w:cs="Arial" w:eastAsia="Arial" w:hAnsi="Arial"/>
                <w:b/>
                <w:bCs/>
                <w:color w:val="FFFFFF"/>
                <w:sz w:val="28"/>
                <w:szCs w:val="28"/>
              </w:rPr>
              <w:t xml:space="preserve">SLIDE 1 — Title  [0:00–0:10]</w:t>
            </w:r>
          </w:p>
        </w:tc>
      </w:tr>
    </w:tbl>
    <w:p>
      <w:pPr>
        <w:spacing w:before="60" w:after="60"/>
      </w:pPr>
      <w:r>
        <w:t xml:space="preserve"/>
      </w:r>
    </w:p>
    <w:p>
      <w:pPr>
        <w:spacing w:before="80" w:after="80"/>
      </w:pPr>
      <w:r>
        <w:rPr>
          <w:rFonts w:ascii="Arial" w:cs="Arial" w:eastAsia="Arial" w:hAnsi="Arial"/>
          <w:b w:val="false"/>
          <w:bCs w:val="false"/>
          <w:color w:val="6B7280"/>
          <w:sz w:val="24"/>
          <w:szCs w:val="24"/>
        </w:rPr>
        <w:t xml:space="preserve">WHAT'S ON SCREEN: Title slide — "QSR Demand Forecasting Challenge" with your team name.</w:t>
      </w:r>
    </w:p>
    <w:p>
      <w:pPr>
        <w:spacing w:before="60" w:after="60"/>
      </w:pPr>
      <w:r>
        <w:t xml:space="preserve"/>
      </w:r>
    </w:p>
    <w:p>
      <w:pPr>
        <w:pStyle w:val="Heading2"/>
      </w:pPr>
      <w:r>
        <w:rPr>
          <w:b/>
          <w:bCs/>
        </w:rPr>
        <w:t xml:space="preserve">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02809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SAY THIS</w:t>
            </w:r>
          </w:p>
        </w:tc>
        <w:tc>
          <w:tcPr>
            <w:tcW w:type="dxa" w:w="7920"/>
            <w:tcBorders>
              <w:top w:val="none" w:color="FFFFFF" w:sz="0"/>
              <w:left w:val="none" w:color="FFFFFF" w:sz="0"/>
              <w:bottom w:val="none" w:color="FFFFFF" w:sz="0"/>
              <w:right w:val="none" w:color="FFFFFF" w:sz="0"/>
            </w:tcBorders>
            <w:shd w:fill="E8F4FF" w:val="clear"/>
            <w:tcMar>
              <w:top w:type="dxa" w:w="100"/>
              <w:left w:type="dxa" w:w="160"/>
              <w:bottom w:type="dxa" w:w="100"/>
              <w:right w:type="dxa" w:w="120"/>
            </w:tcMar>
          </w:tcPr>
          <w:p>
            <w:r>
              <w:rPr>
                <w:rFonts w:ascii="Arial" w:cs="Arial" w:eastAsia="Arial" w:hAnsi="Arial"/>
                <w:sz w:val="22"/>
                <w:szCs w:val="22"/>
              </w:rPr>
              <w:t xml:space="preserve">Good [morning/afternoon]. We're the NIU team, and today we're going to walk you through how we built a machine learning model to forecast daily restaurant demand across a network of 15 quick service restaurants — covering 69,000 individual predictions for the October through December 2025 quarter.</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2"/>
              <w:left w:val="thick" w:color="F59E0B" w:sz="8"/>
              <w:bottom w:val="single" w:color="F59E0B" w:sz="2"/>
              <w:right w:val="none" w:color="FFFFFF" w:sz="0"/>
            </w:tcBorders>
            <w:shd w:fill="FFFBEA" w:val="clear"/>
            <w:tcMar>
              <w:top w:type="dxa" w:w="100"/>
              <w:left w:type="dxa" w:w="160"/>
              <w:bottom w:type="dxa" w:w="100"/>
              <w:right w:type="dxa" w:w="120"/>
            </w:tcMar>
          </w:tcPr>
          <w:p>
            <w:r>
              <w:rPr>
                <w:rFonts w:ascii="Arial" w:cs="Arial" w:eastAsia="Arial" w:hAnsi="Arial"/>
                <w:b/>
                <w:bCs/>
                <w:color w:val="92400E"/>
                <w:sz w:val="20"/>
                <w:szCs w:val="20"/>
              </w:rPr>
              <w:t xml:space="preserve">🎙 SPEAKER NOTE: </w:t>
            </w:r>
            <w:r>
              <w:rPr>
                <w:rFonts w:ascii="Arial" w:cs="Arial" w:eastAsia="Arial" w:hAnsi="Arial"/>
                <w:color w:val="92400E"/>
                <w:sz w:val="20"/>
                <w:szCs w:val="20"/>
              </w:rPr>
              <w:t xml:space="preserve">Smile, make eye contact. Keep this short — it's just the warm-up. Let the slide do the work.</w:t>
            </w:r>
          </w:p>
        </w:tc>
      </w:tr>
    </w:tbl>
    <w:p>
      <w:pPr>
        <w:spacing w:before="60"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6B" w:val="clear"/>
            <w:tcMar>
              <w:top w:type="dxa" w:w="120"/>
              <w:left w:type="dxa" w:w="200"/>
              <w:bottom w:type="dxa" w:w="120"/>
              <w:right w:type="dxa" w:w="200"/>
            </w:tcMar>
          </w:tcPr>
          <w:p>
            <w:r>
              <w:rPr>
                <w:rFonts w:ascii="Arial" w:cs="Arial" w:eastAsia="Arial" w:hAnsi="Arial"/>
                <w:b/>
                <w:bCs/>
                <w:color w:val="FFFFFF"/>
                <w:sz w:val="28"/>
                <w:szCs w:val="28"/>
              </w:rPr>
              <w:t xml:space="preserve">SLIDE 2 — The Business Problem  [0:10–0:55]</w:t>
            </w:r>
          </w:p>
        </w:tc>
      </w:tr>
    </w:tbl>
    <w:p>
      <w:pPr>
        <w:spacing w:before="60" w:after="60"/>
      </w:pPr>
      <w:r>
        <w:t xml:space="preserve"/>
      </w:r>
    </w:p>
    <w:p>
      <w:pPr>
        <w:spacing w:before="80" w:after="80"/>
      </w:pPr>
      <w:r>
        <w:rPr>
          <w:rFonts w:ascii="Arial" w:cs="Arial" w:eastAsia="Arial" w:hAnsi="Arial"/>
          <w:b w:val="false"/>
          <w:bCs w:val="false"/>
          <w:color w:val="6B7280"/>
          <w:sz w:val="24"/>
          <w:szCs w:val="24"/>
        </w:rPr>
        <w:t xml:space="preserve">WHAT'S ON SCREEN: Challenge statement + 4 stat cards: 1.37M rows, 5 years, 750 combos, wMAPE metric.</w:t>
      </w:r>
    </w:p>
    <w:p>
      <w:pPr>
        <w:spacing w:before="60" w:after="60"/>
      </w:pPr>
      <w:r>
        <w:t xml:space="preserve"/>
      </w:r>
    </w:p>
    <w:p>
      <w:pPr>
        <w:pStyle w:val="Heading2"/>
      </w:pPr>
      <w:r>
        <w:rPr>
          <w:b/>
          <w:bCs/>
        </w:rPr>
        <w:t xml:space="preserve">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02809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SAY THIS</w:t>
            </w:r>
          </w:p>
        </w:tc>
        <w:tc>
          <w:tcPr>
            <w:tcW w:type="dxa" w:w="7920"/>
            <w:tcBorders>
              <w:top w:val="none" w:color="FFFFFF" w:sz="0"/>
              <w:left w:val="none" w:color="FFFFFF" w:sz="0"/>
              <w:bottom w:val="none" w:color="FFFFFF" w:sz="0"/>
              <w:right w:val="none" w:color="FFFFFF" w:sz="0"/>
            </w:tcBorders>
            <w:shd w:fill="E8F4FF" w:val="clear"/>
            <w:tcMar>
              <w:top w:type="dxa" w:w="100"/>
              <w:left w:type="dxa" w:w="160"/>
              <w:bottom w:type="dxa" w:w="100"/>
              <w:right w:type="dxa" w:w="120"/>
            </w:tcMar>
          </w:tcPr>
          <w:p>
            <w:r>
              <w:rPr>
                <w:rFonts w:ascii="Arial" w:cs="Arial" w:eastAsia="Arial" w:hAnsi="Arial"/>
                <w:sz w:val="22"/>
                <w:szCs w:val="22"/>
              </w:rPr>
              <w:t xml:space="preserve">The problem we're solving is one that every food service company faces every single day: how much food do you prepare tomorrow?
If you prepare too much, you throw it away — that's waste, that's cost. If you prepare too little, you run out — that's lost revenue and unhappy customers. For HAVI, which manages supply chains for major QSR brands, getting this right at scale is the entire mission.
Our dataset gives us five full years of daily sales history — over 1.37 million rows — enriched with weather data, holiday calendars, local event schedules, and promotional flags. Our task was to use all of that to predict demand for every restaurant and menu item combination across the last three months of 2025. That's 15 restaurants, 50 items, 92 days — exactly 69,000 predictions. And we're judged by a metric called wMAPE: weighted Mean Absolute Percentage Error. Lower is better.</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2"/>
              <w:left w:val="thick" w:color="F59E0B" w:sz="8"/>
              <w:bottom w:val="single" w:color="F59E0B" w:sz="2"/>
              <w:right w:val="none" w:color="FFFFFF" w:sz="0"/>
            </w:tcBorders>
            <w:shd w:fill="FFFBEA" w:val="clear"/>
            <w:tcMar>
              <w:top w:type="dxa" w:w="100"/>
              <w:left w:type="dxa" w:w="160"/>
              <w:bottom w:type="dxa" w:w="100"/>
              <w:right w:type="dxa" w:w="120"/>
            </w:tcMar>
          </w:tcPr>
          <w:p>
            <w:r>
              <w:rPr>
                <w:rFonts w:ascii="Arial" w:cs="Arial" w:eastAsia="Arial" w:hAnsi="Arial"/>
                <w:b/>
                <w:bCs/>
                <w:color w:val="92400E"/>
                <w:sz w:val="20"/>
                <w:szCs w:val="20"/>
              </w:rPr>
              <w:t xml:space="preserve">🎙 SPEAKER NOTE: </w:t>
            </w:r>
            <w:r>
              <w:rPr>
                <w:rFonts w:ascii="Arial" w:cs="Arial" w:eastAsia="Arial" w:hAnsi="Arial"/>
                <w:color w:val="92400E"/>
                <w:sz w:val="20"/>
                <w:szCs w:val="20"/>
              </w:rPr>
              <w:t xml:space="preserve">Pause slightly after 'unhappy customers' — let that land. When you say '69,000 predictions,' say it with confidence. It sounds impressive because it is. You don't need to define wMAPE in depth here — just say 'lower is better' and move on.</w:t>
            </w:r>
          </w:p>
        </w:tc>
      </w:tr>
    </w:tbl>
    <w:p>
      <w:pPr>
        <w:spacing w:before="60" w:after="60"/>
      </w:pPr>
      <w:r>
        <w:t xml:space="preserve"/>
      </w:r>
    </w:p>
    <w:p>
      <w:pPr>
        <w:pStyle w:val="Heading2"/>
      </w:pPr>
      <w:r>
        <w:rPr>
          <w:b/>
          <w:bCs/>
        </w:rPr>
        <w:t xml:space="preserve">Key Points to Land</w:t>
      </w:r>
    </w:p>
    <w:p>
      <w:pPr>
        <w:pStyle w:val="ListParagraph"/>
        <w:numPr>
          <w:ilvl w:val="0"/>
          <w:numId w:val="2"/>
        </w:numPr>
        <w:spacing w:before="60" w:after="60"/>
      </w:pPr>
      <w:r>
        <w:rPr>
          <w:rFonts w:ascii="Arial" w:cs="Arial" w:eastAsia="Arial" w:hAnsi="Arial"/>
          <w:b w:val="false"/>
          <w:bCs w:val="false"/>
          <w:sz w:val="22"/>
          <w:szCs w:val="22"/>
        </w:rPr>
        <w:t xml:space="preserve">Frame it as a business problem, not a math problem — judges from HAVI care about operations</w:t>
      </w:r>
    </w:p>
    <w:p>
      <w:pPr>
        <w:pStyle w:val="ListParagraph"/>
        <w:numPr>
          <w:ilvl w:val="0"/>
          <w:numId w:val="2"/>
        </w:numPr>
        <w:spacing w:before="60" w:after="60"/>
      </w:pPr>
      <w:r>
        <w:rPr>
          <w:rFonts w:ascii="Arial" w:cs="Arial" w:eastAsia="Arial" w:hAnsi="Arial"/>
          <w:b w:val="false"/>
          <w:bCs w:val="false"/>
          <w:sz w:val="22"/>
          <w:szCs w:val="22"/>
        </w:rPr>
        <w:t xml:space="preserve">Overestimation = waste. Underestimation = stockouts. These are real costs</w:t>
      </w:r>
    </w:p>
    <w:p>
      <w:pPr>
        <w:pStyle w:val="ListParagraph"/>
        <w:numPr>
          <w:ilvl w:val="0"/>
          <w:numId w:val="2"/>
        </w:numPr>
        <w:spacing w:before="60" w:after="60"/>
      </w:pPr>
      <w:r>
        <w:rPr>
          <w:rFonts w:ascii="Arial" w:cs="Arial" w:eastAsia="Arial" w:hAnsi="Arial"/>
          <w:b w:val="false"/>
          <w:bCs w:val="false"/>
          <w:sz w:val="22"/>
          <w:szCs w:val="22"/>
        </w:rPr>
        <w:t xml:space="preserve">69,000 predictions — say the number clearly and confidently</w:t>
      </w:r>
    </w:p>
    <w:p>
      <w:pPr>
        <w:pStyle w:val="ListParagraph"/>
        <w:numPr>
          <w:ilvl w:val="0"/>
          <w:numId w:val="2"/>
        </w:numPr>
        <w:spacing w:before="60" w:after="60"/>
      </w:pPr>
      <w:r>
        <w:rPr>
          <w:rFonts w:ascii="Arial" w:cs="Arial" w:eastAsia="Arial" w:hAnsi="Arial"/>
          <w:b w:val="false"/>
          <w:bCs w:val="false"/>
          <w:sz w:val="22"/>
          <w:szCs w:val="22"/>
        </w:rPr>
        <w:t xml:space="preserve">wMAPE: all you need to say is 'it measures how far off our forecasts are, weighted by volume — lower is better'</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6B" w:val="clear"/>
            <w:tcMar>
              <w:top w:type="dxa" w:w="120"/>
              <w:left w:type="dxa" w:w="200"/>
              <w:bottom w:type="dxa" w:w="120"/>
              <w:right w:type="dxa" w:w="200"/>
            </w:tcMar>
          </w:tcPr>
          <w:p>
            <w:r>
              <w:rPr>
                <w:rFonts w:ascii="Arial" w:cs="Arial" w:eastAsia="Arial" w:hAnsi="Arial"/>
                <w:b/>
                <w:bCs/>
                <w:color w:val="FFFFFF"/>
                <w:sz w:val="28"/>
                <w:szCs w:val="28"/>
              </w:rPr>
              <w:t xml:space="preserve">SLIDE 3 — Data Exploration  [0:55–1:40]</w:t>
            </w:r>
          </w:p>
        </w:tc>
      </w:tr>
    </w:tbl>
    <w:p>
      <w:pPr>
        <w:spacing w:before="60" w:after="60"/>
      </w:pPr>
      <w:r>
        <w:t xml:space="preserve"/>
      </w:r>
    </w:p>
    <w:p>
      <w:pPr>
        <w:spacing w:before="80" w:after="80"/>
      </w:pPr>
      <w:r>
        <w:rPr>
          <w:rFonts w:ascii="Arial" w:cs="Arial" w:eastAsia="Arial" w:hAnsi="Arial"/>
          <w:b w:val="false"/>
          <w:bCs w:val="false"/>
          <w:color w:val="6B7280"/>
          <w:sz w:val="24"/>
          <w:szCs w:val="24"/>
        </w:rPr>
        <w:t xml:space="preserve">WHAT'S ON SCREEN: Feature categories on left + 4 insight cards: Q4 dip, event lift, promo lift, weekend bump.</w:t>
      </w:r>
    </w:p>
    <w:p>
      <w:pPr>
        <w:spacing w:before="60" w:after="60"/>
      </w:pPr>
      <w:r>
        <w:t xml:space="preserve"/>
      </w:r>
    </w:p>
    <w:p>
      <w:pPr>
        <w:pStyle w:val="Heading2"/>
      </w:pPr>
      <w:r>
        <w:rPr>
          <w:b/>
          <w:bCs/>
        </w:rPr>
        <w:t xml:space="preserve">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02809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SAY THIS</w:t>
            </w:r>
          </w:p>
        </w:tc>
        <w:tc>
          <w:tcPr>
            <w:tcW w:type="dxa" w:w="7920"/>
            <w:tcBorders>
              <w:top w:val="none" w:color="FFFFFF" w:sz="0"/>
              <w:left w:val="none" w:color="FFFFFF" w:sz="0"/>
              <w:bottom w:val="none" w:color="FFFFFF" w:sz="0"/>
              <w:right w:val="none" w:color="FFFFFF" w:sz="0"/>
            </w:tcBorders>
            <w:shd w:fill="E8F4FF" w:val="clear"/>
            <w:tcMar>
              <w:top w:type="dxa" w:w="100"/>
              <w:left w:type="dxa" w:w="160"/>
              <w:bottom w:type="dxa" w:w="100"/>
              <w:right w:type="dxa" w:w="120"/>
            </w:tcMar>
          </w:tcPr>
          <w:p>
            <w:r>
              <w:rPr>
                <w:rFonts w:ascii="Arial" w:cs="Arial" w:eastAsia="Arial" w:hAnsi="Arial"/>
                <w:sz w:val="22"/>
                <w:szCs w:val="22"/>
              </w:rPr>
              <w:t xml:space="preserve">Before building any model, we spent significant time understanding the data. The dataset has 23 columns covering five categories: time features like day-of-week and month, location data for each restaurant, the menu item and its category, external signals like temperature and precipitation, and demand drivers like holidays, local events, and promotions.
The analysis revealed four patterns that directly shaped our model design.
First, there's a Q4 seasonal dip. The October through December period averages around 43 units sold per day, compared to the year-round average of 47 — that's roughly 9% lower. If we'd anchored our forecasts to the full-year average, we'd have systematically overpredicted all 69,000 test rows.
Second, special events drive a 30% demand spike. When a local event is flagged in the data, sales jump nearly a third above baseline. That's a feature we absolutely needed the model to see.
Third, promotions add 15% on top of the baseline. And fourth, weekends run about 12% higher than weekdays. These four patterns formed the backbone of our feature engineering decisions.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2"/>
              <w:left w:val="thick" w:color="F59E0B" w:sz="8"/>
              <w:bottom w:val="single" w:color="F59E0B" w:sz="2"/>
              <w:right w:val="none" w:color="FFFFFF" w:sz="0"/>
            </w:tcBorders>
            <w:shd w:fill="FFFBEA" w:val="clear"/>
            <w:tcMar>
              <w:top w:type="dxa" w:w="100"/>
              <w:left w:type="dxa" w:w="160"/>
              <w:bottom w:type="dxa" w:w="100"/>
              <w:right w:type="dxa" w:w="120"/>
            </w:tcMar>
          </w:tcPr>
          <w:p>
            <w:r>
              <w:rPr>
                <w:rFonts w:ascii="Arial" w:cs="Arial" w:eastAsia="Arial" w:hAnsi="Arial"/>
                <w:b/>
                <w:bCs/>
                <w:color w:val="92400E"/>
                <w:sz w:val="20"/>
                <w:szCs w:val="20"/>
              </w:rPr>
              <w:t xml:space="preserve">🎙 SPEAKER NOTE: </w:t>
            </w:r>
            <w:r>
              <w:rPr>
                <w:rFonts w:ascii="Arial" w:cs="Arial" w:eastAsia="Arial" w:hAnsi="Arial"/>
                <w:color w:val="92400E"/>
                <w:sz w:val="20"/>
                <w:szCs w:val="20"/>
              </w:rPr>
              <w:t xml:space="preserve">This is the EDA section — make it feel like you discovered these insights yourself, not just ran code. Say 'we found' and 'we noticed' to convey ownership. The Q4 dip is your strongest insight — pause on it for emphasis.</w:t>
            </w:r>
          </w:p>
        </w:tc>
      </w:tr>
    </w:tbl>
    <w:p>
      <w:pPr>
        <w:spacing w:before="60" w:after="60"/>
      </w:pPr>
      <w:r>
        <w:t xml:space="preserve"/>
      </w:r>
    </w:p>
    <w:p>
      <w:pPr>
        <w:pStyle w:val="Heading2"/>
      </w:pPr>
      <w:r>
        <w:rPr>
          <w:b/>
          <w:bCs/>
        </w:rPr>
        <w:t xml:space="preserve">Key Numbers to State Clearly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B2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43 vs 47</w:t>
            </w:r>
          </w:p>
        </w:tc>
        <w:tc>
          <w:tcPr>
            <w:tcW w:type="dxa" w:w="7920"/>
            <w:tcBorders>
              <w:top w:val="none" w:color="FFFFFF" w:sz="0"/>
              <w:left w:val="none" w:color="FFFFFF" w:sz="0"/>
              <w:bottom w:val="none" w:color="FFFFFF" w:sz="0"/>
              <w:right w:val="none" w:color="FFFFFF" w:sz="0"/>
            </w:tcBorders>
            <w:shd w:fill="E8F4FF" w:val="clear"/>
            <w:tcMar>
              <w:top w:type="dxa" w:w="100"/>
              <w:left w:type="dxa" w:w="160"/>
              <w:bottom w:type="dxa" w:w="100"/>
              <w:right w:type="dxa" w:w="120"/>
            </w:tcMar>
          </w:tcPr>
          <w:p>
            <w:r>
              <w:rPr>
                <w:rFonts w:ascii="Arial" w:cs="Arial" w:eastAsia="Arial" w:hAnsi="Arial"/>
                <w:sz w:val="22"/>
                <w:szCs w:val="22"/>
              </w:rPr>
              <w:t xml:space="preserve">Q4 avg units vs full-year avg — 9% systematic lower demand in Oct–Dec</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B2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+30%</w:t>
            </w:r>
          </w:p>
        </w:tc>
        <w:tc>
          <w:tcPr>
            <w:tcW w:type="dxa" w:w="7920"/>
            <w:tcBorders>
              <w:top w:val="none" w:color="FFFFFF" w:sz="0"/>
              <w:left w:val="none" w:color="FFFFFF" w:sz="0"/>
              <w:bottom w:val="none" w:color="FFFFFF" w:sz="0"/>
              <w:right w:val="none" w:color="FFFFFF" w:sz="0"/>
            </w:tcBorders>
            <w:shd w:fill="E8F4FF" w:val="clear"/>
            <w:tcMar>
              <w:top w:type="dxa" w:w="100"/>
              <w:left w:type="dxa" w:w="160"/>
              <w:bottom w:type="dxa" w:w="100"/>
              <w:right w:type="dxa" w:w="120"/>
            </w:tcMar>
          </w:tcPr>
          <w:p>
            <w:r>
              <w:rPr>
                <w:rFonts w:ascii="Arial" w:cs="Arial" w:eastAsia="Arial" w:hAnsi="Arial"/>
                <w:sz w:val="22"/>
                <w:szCs w:val="22"/>
              </w:rPr>
              <w:t xml:space="preserve">Special event demand lift above baseline — is_special_event is the #5 feature by gain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B2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+15%</w:t>
            </w:r>
          </w:p>
        </w:tc>
        <w:tc>
          <w:tcPr>
            <w:tcW w:type="dxa" w:w="7920"/>
            <w:tcBorders>
              <w:top w:val="none" w:color="FFFFFF" w:sz="0"/>
              <w:left w:val="none" w:color="FFFFFF" w:sz="0"/>
              <w:bottom w:val="none" w:color="FFFFFF" w:sz="0"/>
              <w:right w:val="none" w:color="FFFFFF" w:sz="0"/>
            </w:tcBorders>
            <w:shd w:fill="E8F4FF" w:val="clear"/>
            <w:tcMar>
              <w:top w:type="dxa" w:w="100"/>
              <w:left w:type="dxa" w:w="160"/>
              <w:bottom w:type="dxa" w:w="100"/>
              <w:right w:type="dxa" w:w="120"/>
            </w:tcMar>
          </w:tcPr>
          <w:p>
            <w:r>
              <w:rPr>
                <w:rFonts w:ascii="Arial" w:cs="Arial" w:eastAsia="Arial" w:hAnsi="Arial"/>
                <w:sz w:val="22"/>
                <w:szCs w:val="22"/>
              </w:rPr>
              <w:t xml:space="preserve">Promotional day lift — is_promotion is also a top-10 feature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B2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+12%</w:t>
            </w:r>
          </w:p>
        </w:tc>
        <w:tc>
          <w:tcPr>
            <w:tcW w:type="dxa" w:w="7920"/>
            <w:tcBorders>
              <w:top w:val="none" w:color="FFFFFF" w:sz="0"/>
              <w:left w:val="none" w:color="FFFFFF" w:sz="0"/>
              <w:bottom w:val="none" w:color="FFFFFF" w:sz="0"/>
              <w:right w:val="none" w:color="FFFFFF" w:sz="0"/>
            </w:tcBorders>
            <w:shd w:fill="E8F4FF" w:val="clear"/>
            <w:tcMar>
              <w:top w:type="dxa" w:w="100"/>
              <w:left w:type="dxa" w:w="160"/>
              <w:bottom w:type="dxa" w:w="100"/>
              <w:right w:type="dxa" w:w="120"/>
            </w:tcMar>
          </w:tcPr>
          <w:p>
            <w:r>
              <w:rPr>
                <w:rFonts w:ascii="Arial" w:cs="Arial" w:eastAsia="Arial" w:hAnsi="Arial"/>
                <w:sz w:val="22"/>
                <w:szCs w:val="22"/>
              </w:rPr>
              <w:t xml:space="preserve">Weekend demand premium vs weekday average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6B" w:val="clear"/>
            <w:tcMar>
              <w:top w:type="dxa" w:w="120"/>
              <w:left w:type="dxa" w:w="200"/>
              <w:bottom w:type="dxa" w:w="120"/>
              <w:right w:type="dxa" w:w="200"/>
            </w:tcMar>
          </w:tcPr>
          <w:p>
            <w:r>
              <w:rPr>
                <w:rFonts w:ascii="Arial" w:cs="Arial" w:eastAsia="Arial" w:hAnsi="Arial"/>
                <w:b/>
                <w:bCs/>
                <w:color w:val="FFFFFF"/>
                <w:sz w:val="28"/>
                <w:szCs w:val="28"/>
              </w:rPr>
              <w:t xml:space="preserve">SLIDE 4 — Methodology  [1:40–2:30]</w:t>
            </w:r>
          </w:p>
        </w:tc>
      </w:tr>
    </w:tbl>
    <w:p>
      <w:pPr>
        <w:spacing w:before="60" w:after="60"/>
      </w:pPr>
      <w:r>
        <w:t xml:space="preserve"/>
      </w:r>
    </w:p>
    <w:p>
      <w:pPr>
        <w:spacing w:before="80" w:after="80"/>
      </w:pPr>
      <w:r>
        <w:rPr>
          <w:rFonts w:ascii="Arial" w:cs="Arial" w:eastAsia="Arial" w:hAnsi="Arial"/>
          <w:b w:val="false"/>
          <w:bCs w:val="false"/>
          <w:color w:val="6B7280"/>
          <w:sz w:val="24"/>
          <w:szCs w:val="24"/>
        </w:rPr>
        <w:t xml:space="preserve">WHAT'S ON SCREEN: 5-step pipeline — Data Cleaning → Feature Engineering → Validation → LightGBM → Final Retrain.</w:t>
      </w:r>
    </w:p>
    <w:p>
      <w:pPr>
        <w:spacing w:before="60" w:after="60"/>
      </w:pPr>
      <w:r>
        <w:t xml:space="preserve"/>
      </w:r>
    </w:p>
    <w:p>
      <w:pPr>
        <w:pStyle w:val="Heading2"/>
      </w:pPr>
      <w:r>
        <w:rPr>
          <w:b/>
          <w:bCs/>
        </w:rPr>
        <w:t xml:space="preserve">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02809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SAY THIS</w:t>
            </w:r>
          </w:p>
        </w:tc>
        <w:tc>
          <w:tcPr>
            <w:tcW w:type="dxa" w:w="7920"/>
            <w:tcBorders>
              <w:top w:val="none" w:color="FFFFFF" w:sz="0"/>
              <w:left w:val="none" w:color="FFFFFF" w:sz="0"/>
              <w:bottom w:val="none" w:color="FFFFFF" w:sz="0"/>
              <w:right w:val="none" w:color="FFFFFF" w:sz="0"/>
            </w:tcBorders>
            <w:shd w:fill="E8F4FF" w:val="clear"/>
            <w:tcMar>
              <w:top w:type="dxa" w:w="100"/>
              <w:left w:type="dxa" w:w="160"/>
              <w:bottom w:type="dxa" w:w="100"/>
              <w:right w:type="dxa" w:w="120"/>
            </w:tcMar>
          </w:tcPr>
          <w:p>
            <w:r>
              <w:rPr>
                <w:rFonts w:ascii="Arial" w:cs="Arial" w:eastAsia="Arial" w:hAnsi="Arial"/>
                <w:sz w:val="22"/>
                <w:szCs w:val="22"/>
              </w:rPr>
              <w:t xml:space="preserve">Our methodology followed five deliberate steps — and we want to emphasize that each decision was made to directly optimize the competition metric, not just to build a technically impressive model.
Step one was data cleaning. We had 5,475 rows with missing demand values — about 0.4% of the data. We filled those using the historical median for each specific restaurant and item combination. We also capped extreme outliers at the 99.5th percentile per combination, which removed the influence of a small number of unusually high days without distorting the training signal.
Step two was feature engineering — we'll go into detail on the next slide.
Step three, and this is critical: we used time-based validation only. Our training set is January 2021 through August 2025. We validated on September 2025 — the month immediately before our forecast window. This is the only honest way to test a time-series model. Using random train-test splits would leak future information and produce inflated scores.
Step four was our LightGBM model — again, more detail coming. And step five, we retrained on all available labeled data before generating the final 69,000 forecasts, to extract every last bit of signal.</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2"/>
              <w:left w:val="thick" w:color="F59E0B" w:sz="8"/>
              <w:bottom w:val="single" w:color="F59E0B" w:sz="2"/>
              <w:right w:val="none" w:color="FFFFFF" w:sz="0"/>
            </w:tcBorders>
            <w:shd w:fill="FFFBEA" w:val="clear"/>
            <w:tcMar>
              <w:top w:type="dxa" w:w="100"/>
              <w:left w:type="dxa" w:w="160"/>
              <w:bottom w:type="dxa" w:w="100"/>
              <w:right w:type="dxa" w:w="120"/>
            </w:tcMar>
          </w:tcPr>
          <w:p>
            <w:r>
              <w:rPr>
                <w:rFonts w:ascii="Arial" w:cs="Arial" w:eastAsia="Arial" w:hAnsi="Arial"/>
                <w:b/>
                <w:bCs/>
                <w:color w:val="92400E"/>
                <w:sz w:val="20"/>
                <w:szCs w:val="20"/>
              </w:rPr>
              <w:t xml:space="preserve">🎙 SPEAKER NOTE: </w:t>
            </w:r>
            <w:r>
              <w:rPr>
                <w:rFonts w:ascii="Arial" w:cs="Arial" w:eastAsia="Arial" w:hAnsi="Arial"/>
                <w:color w:val="92400E"/>
                <w:sz w:val="20"/>
                <w:szCs w:val="20"/>
              </w:rPr>
              <w:t xml:space="preserve">When you say 'this is critical' on the time-based split, lean in slightly. Judges who know forecasting will appreciate that you understand why random splits are wrong for time series. This signals methodological maturity.</w:t>
            </w:r>
          </w:p>
        </w:tc>
      </w:tr>
    </w:tbl>
    <w:p>
      <w:pPr>
        <w:spacing w:before="60" w:after="60"/>
      </w:pPr>
      <w:r>
        <w:t xml:space="preserve"/>
      </w:r>
    </w:p>
    <w:p>
      <w:pPr>
        <w:pStyle w:val="Heading2"/>
      </w:pPr>
      <w:r>
        <w:rPr>
          <w:b/>
          <w:bCs/>
        </w:rPr>
        <w:t xml:space="preserve">Technical Talking Points (if asked)</w:t>
      </w:r>
    </w:p>
    <w:p>
      <w:pPr>
        <w:pStyle w:val="ListParagraph"/>
        <w:numPr>
          <w:ilvl w:val="0"/>
          <w:numId w:val="2"/>
        </w:numPr>
        <w:spacing w:before="60" w:after="60"/>
      </w:pPr>
      <w:r>
        <w:rPr>
          <w:rFonts w:ascii="Arial" w:cs="Arial" w:eastAsia="Arial" w:hAnsi="Arial"/>
          <w:b w:val="false"/>
          <w:bCs w:val="false"/>
          <w:sz w:val="22"/>
          <w:szCs w:val="22"/>
        </w:rPr>
        <w:t xml:space="preserve">Why not random train-test split? Because date matters — a model trained on 2024 data that 'tests' on 2022 data is cheating. Time only moves forward, so your validation must too</w:t>
      </w:r>
    </w:p>
    <w:p>
      <w:pPr>
        <w:pStyle w:val="ListParagraph"/>
        <w:numPr>
          <w:ilvl w:val="0"/>
          <w:numId w:val="2"/>
        </w:numPr>
        <w:spacing w:before="60" w:after="60"/>
      </w:pPr>
      <w:r>
        <w:rPr>
          <w:rFonts w:ascii="Arial" w:cs="Arial" w:eastAsia="Arial" w:hAnsi="Arial"/>
          <w:b w:val="false"/>
          <w:bCs w:val="false"/>
          <w:sz w:val="22"/>
          <w:szCs w:val="22"/>
        </w:rPr>
        <w:t xml:space="preserve">Why retrain after validation? Because validation tells us the best number of training rounds. Retrain on more data at those same rounds gives the final model more to learn from</w:t>
      </w:r>
    </w:p>
    <w:p>
      <w:pPr>
        <w:pStyle w:val="ListParagraph"/>
        <w:numPr>
          <w:ilvl w:val="0"/>
          <w:numId w:val="2"/>
        </w:numPr>
        <w:spacing w:before="60" w:after="60"/>
      </w:pPr>
      <w:r>
        <w:rPr>
          <w:rFonts w:ascii="Arial" w:cs="Arial" w:eastAsia="Arial" w:hAnsi="Arial"/>
          <w:b w:val="false"/>
          <w:bCs w:val="false"/>
          <w:sz w:val="22"/>
          <w:szCs w:val="22"/>
        </w:rPr>
        <w:t xml:space="preserve">Why cap outliers? 473 rows had quantity &gt; 200 — mostly event days already flagged in the data. Capping them prevents the model from over-fitting to rare spikes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6B" w:val="clear"/>
            <w:tcMar>
              <w:top w:type="dxa" w:w="120"/>
              <w:left w:type="dxa" w:w="200"/>
              <w:bottom w:type="dxa" w:w="120"/>
              <w:right w:type="dxa" w:w="200"/>
            </w:tcMar>
          </w:tcPr>
          <w:p>
            <w:r>
              <w:rPr>
                <w:rFonts w:ascii="Arial" w:cs="Arial" w:eastAsia="Arial" w:hAnsi="Arial"/>
                <w:b/>
                <w:bCs/>
                <w:color w:val="FFFFFF"/>
                <w:sz w:val="28"/>
                <w:szCs w:val="28"/>
              </w:rPr>
              <w:t xml:space="preserve">SLIDE 5 — Feature Engineering  [2:30–3:10]</w:t>
            </w:r>
          </w:p>
        </w:tc>
      </w:tr>
    </w:tbl>
    <w:p>
      <w:pPr>
        <w:spacing w:before="60" w:after="60"/>
      </w:pPr>
      <w:r>
        <w:t xml:space="preserve"/>
      </w:r>
    </w:p>
    <w:p>
      <w:pPr>
        <w:spacing w:before="80" w:after="80"/>
      </w:pPr>
      <w:r>
        <w:rPr>
          <w:rFonts w:ascii="Arial" w:cs="Arial" w:eastAsia="Arial" w:hAnsi="Arial"/>
          <w:b w:val="false"/>
          <w:bCs w:val="false"/>
          <w:color w:val="6B7280"/>
          <w:sz w:val="24"/>
          <w:szCs w:val="24"/>
        </w:rPr>
        <w:t xml:space="preserve">WHAT'S ON SCREEN: 6-card grid showing all feature groups: Lags, Rolling Stats, Baselines, Fourier, Events, Weather.</w:t>
      </w:r>
    </w:p>
    <w:p>
      <w:pPr>
        <w:spacing w:before="60" w:after="60"/>
      </w:pPr>
      <w:r>
        <w:t xml:space="preserve"/>
      </w:r>
    </w:p>
    <w:p>
      <w:pPr>
        <w:pStyle w:val="Heading2"/>
      </w:pPr>
      <w:r>
        <w:rPr>
          <w:b/>
          <w:bCs/>
        </w:rPr>
        <w:t xml:space="preserve">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02809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SAY THIS</w:t>
            </w:r>
          </w:p>
        </w:tc>
        <w:tc>
          <w:tcPr>
            <w:tcW w:type="dxa" w:w="7920"/>
            <w:tcBorders>
              <w:top w:val="none" w:color="FFFFFF" w:sz="0"/>
              <w:left w:val="none" w:color="FFFFFF" w:sz="0"/>
              <w:bottom w:val="none" w:color="FFFFFF" w:sz="0"/>
              <w:right w:val="none" w:color="FFFFFF" w:sz="0"/>
            </w:tcBorders>
            <w:shd w:fill="E8F4FF" w:val="clear"/>
            <w:tcMar>
              <w:top w:type="dxa" w:w="100"/>
              <w:left w:type="dxa" w:w="160"/>
              <w:bottom w:type="dxa" w:w="100"/>
              <w:right w:type="dxa" w:w="120"/>
            </w:tcMar>
          </w:tcPr>
          <w:p>
            <w:r>
              <w:rPr>
                <w:rFonts w:ascii="Arial" w:cs="Arial" w:eastAsia="Arial" w:hAnsi="Arial"/>
                <w:sz w:val="22"/>
                <w:szCs w:val="22"/>
              </w:rPr>
              <w:t xml:space="preserve">We engineered 51 features across six categories, and I want to explain the thinking behind each group rather than just listing variable names.
The first group is lag features. A lag feature answers the question: what did this restaurant sell of this item one week ago? Two weeks ago? One year ago? The year-ago lag is particularly powerful because demand is seasonal — October this year should look a lot like October last year.
The second group is rolling statistics: 7-day averages, 28-day averages, and standard deviations. These tell the model whether demand is currently trending up or down, and how volatile it typically is.
The third group is our prior-year baselines. The single most important feature in our entire model — by a factor of 12 over the second-ranked feature — was the historical average for each restaurant, each item, each month, and each day of the week. This tells the model exactly what 'normal' looks like for a Monday burger order at location R04 in October.
Fourth are Fourier seasonality terms. These are mathematical sine and cosine waves that capture the smooth up-and-down rhythm of annual and weekly patterns without overfitting to any specific date.
Fifth are our event and promotion features. And sixth, weather variables — temperature and precipitation — which are particularly relevant for Midwest QSR demand in Q4.</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2"/>
              <w:left w:val="thick" w:color="F59E0B" w:sz="8"/>
              <w:bottom w:val="single" w:color="F59E0B" w:sz="2"/>
              <w:right w:val="none" w:color="FFFFFF" w:sz="0"/>
            </w:tcBorders>
            <w:shd w:fill="FFFBEA" w:val="clear"/>
            <w:tcMar>
              <w:top w:type="dxa" w:w="100"/>
              <w:left w:type="dxa" w:w="160"/>
              <w:bottom w:type="dxa" w:w="100"/>
              <w:right w:type="dxa" w:w="120"/>
            </w:tcMar>
          </w:tcPr>
          <w:p>
            <w:r>
              <w:rPr>
                <w:rFonts w:ascii="Arial" w:cs="Arial" w:eastAsia="Arial" w:hAnsi="Arial"/>
                <w:b/>
                <w:bCs/>
                <w:color w:val="92400E"/>
                <w:sz w:val="20"/>
                <w:szCs w:val="20"/>
              </w:rPr>
              <w:t xml:space="preserve">🎙 SPEAKER NOTE: </w:t>
            </w:r>
            <w:r>
              <w:rPr>
                <w:rFonts w:ascii="Arial" w:cs="Arial" w:eastAsia="Arial" w:hAnsi="Arial"/>
                <w:color w:val="92400E"/>
                <w:sz w:val="20"/>
                <w:szCs w:val="20"/>
              </w:rPr>
              <w:t xml:space="preserve">Do NOT try to say all 51 feature names. Judges don't want that. Focus on the logic: WHY each category exists. The phrase 'by a factor of 12 over the second-ranked feature' is a strong, memorable line — say it clearly.</w:t>
            </w:r>
          </w:p>
        </w:tc>
      </w:tr>
    </w:tbl>
    <w:p>
      <w:pPr>
        <w:spacing w:before="60" w:after="60"/>
      </w:pPr>
      <w:r>
        <w:t xml:space="preserve"/>
      </w:r>
    </w:p>
    <w:p>
      <w:pPr>
        <w:pStyle w:val="Heading2"/>
      </w:pPr>
      <w:r>
        <w:rPr>
          <w:b/>
          <w:bCs/>
        </w:rPr>
        <w:t xml:space="preserve">The 'Why' Behind Each Group — Non-Technical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B2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Lag features</w:t>
            </w:r>
          </w:p>
        </w:tc>
        <w:tc>
          <w:tcPr>
            <w:tcW w:type="dxa" w:w="7920"/>
            <w:tcBorders>
              <w:top w:val="none" w:color="FFFFFF" w:sz="0"/>
              <w:left w:val="none" w:color="FFFFFF" w:sz="0"/>
              <w:bottom w:val="none" w:color="FFFFFF" w:sz="0"/>
              <w:right w:val="none" w:color="FFFFFF" w:sz="0"/>
            </w:tcBorders>
            <w:shd w:fill="F4F7FE" w:val="clear"/>
            <w:tcMar>
              <w:top w:type="dxa" w:w="100"/>
              <w:left w:type="dxa" w:w="160"/>
              <w:bottom w:type="dxa" w:w="100"/>
              <w:right w:type="dxa" w:w="120"/>
            </w:tcMar>
          </w:tcPr>
          <w:p>
            <w:r>
              <w:rPr>
                <w:rFonts w:ascii="Arial" w:cs="Arial" w:eastAsia="Arial" w:hAnsi="Arial"/>
                <w:sz w:val="22"/>
                <w:szCs w:val="22"/>
              </w:rPr>
              <w:t xml:space="preserve">Because yesterday predicts tomorrow. Last October predicts this October.</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B2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Rolling stats</w:t>
            </w:r>
          </w:p>
        </w:tc>
        <w:tc>
          <w:tcPr>
            <w:tcW w:type="dxa" w:w="7920"/>
            <w:tcBorders>
              <w:top w:val="none" w:color="FFFFFF" w:sz="0"/>
              <w:left w:val="none" w:color="FFFFFF" w:sz="0"/>
              <w:bottom w:val="none" w:color="FFFFFF" w:sz="0"/>
              <w:right w:val="none" w:color="FFFFFF" w:sz="0"/>
            </w:tcBorders>
            <w:shd w:fill="F4F7FE" w:val="clear"/>
            <w:tcMar>
              <w:top w:type="dxa" w:w="100"/>
              <w:left w:type="dxa" w:w="160"/>
              <w:bottom w:type="dxa" w:w="100"/>
              <w:right w:type="dxa" w:w="120"/>
            </w:tcMar>
          </w:tcPr>
          <w:p>
            <w:r>
              <w:rPr>
                <w:rFonts w:ascii="Arial" w:cs="Arial" w:eastAsia="Arial" w:hAnsi="Arial"/>
                <w:sz w:val="22"/>
                <w:szCs w:val="22"/>
              </w:rPr>
              <w:t xml:space="preserve">Is demand higher or lower than usual right now? Is it volatile?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B2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Baselines</w:t>
            </w:r>
          </w:p>
        </w:tc>
        <w:tc>
          <w:tcPr>
            <w:tcW w:type="dxa" w:w="7920"/>
            <w:tcBorders>
              <w:top w:val="none" w:color="FFFFFF" w:sz="0"/>
              <w:left w:val="none" w:color="FFFFFF" w:sz="0"/>
              <w:bottom w:val="none" w:color="FFFFFF" w:sz="0"/>
              <w:right w:val="none" w:color="FFFFFF" w:sz="0"/>
            </w:tcBorders>
            <w:shd w:fill="F4F7FE" w:val="clear"/>
            <w:tcMar>
              <w:top w:type="dxa" w:w="100"/>
              <w:left w:type="dxa" w:w="160"/>
              <w:bottom w:type="dxa" w:w="100"/>
              <w:right w:type="dxa" w:w="120"/>
            </w:tcMar>
          </w:tcPr>
          <w:p>
            <w:r>
              <w:rPr>
                <w:rFonts w:ascii="Arial" w:cs="Arial" w:eastAsia="Arial" w:hAnsi="Arial"/>
                <w:sz w:val="22"/>
                <w:szCs w:val="22"/>
              </w:rPr>
              <w:t xml:space="preserve">What is 'normal' for this exact item, at this exact location, on this exact day type?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B2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Fourier terms</w:t>
            </w:r>
          </w:p>
        </w:tc>
        <w:tc>
          <w:tcPr>
            <w:tcW w:type="dxa" w:w="7920"/>
            <w:tcBorders>
              <w:top w:val="none" w:color="FFFFFF" w:sz="0"/>
              <w:left w:val="none" w:color="FFFFFF" w:sz="0"/>
              <w:bottom w:val="none" w:color="FFFFFF" w:sz="0"/>
              <w:right w:val="none" w:color="FFFFFF" w:sz="0"/>
            </w:tcBorders>
            <w:shd w:fill="F4F7FE" w:val="clear"/>
            <w:tcMar>
              <w:top w:type="dxa" w:w="100"/>
              <w:left w:type="dxa" w:w="160"/>
              <w:bottom w:type="dxa" w:w="100"/>
              <w:right w:type="dxa" w:w="120"/>
            </w:tcMar>
          </w:tcPr>
          <w:p>
            <w:r>
              <w:rPr>
                <w:rFonts w:ascii="Arial" w:cs="Arial" w:eastAsia="Arial" w:hAnsi="Arial"/>
                <w:sz w:val="22"/>
                <w:szCs w:val="22"/>
              </w:rPr>
              <w:t xml:space="preserve">Captures the annual rhythm of seasons without memorizing specific calendar dates.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B2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Events &amp; promos</w:t>
            </w:r>
          </w:p>
        </w:tc>
        <w:tc>
          <w:tcPr>
            <w:tcW w:type="dxa" w:w="7920"/>
            <w:tcBorders>
              <w:top w:val="none" w:color="FFFFFF" w:sz="0"/>
              <w:left w:val="none" w:color="FFFFFF" w:sz="0"/>
              <w:bottom w:val="none" w:color="FFFFFF" w:sz="0"/>
              <w:right w:val="none" w:color="FFFFFF" w:sz="0"/>
            </w:tcBorders>
            <w:shd w:fill="F4F7FE" w:val="clear"/>
            <w:tcMar>
              <w:top w:type="dxa" w:w="100"/>
              <w:left w:type="dxa" w:w="160"/>
              <w:bottom w:type="dxa" w:w="100"/>
              <w:right w:type="dxa" w:w="120"/>
            </w:tcMar>
          </w:tcPr>
          <w:p>
            <w:r>
              <w:rPr>
                <w:rFonts w:ascii="Arial" w:cs="Arial" w:eastAsia="Arial" w:hAnsi="Arial"/>
                <w:sz w:val="22"/>
                <w:szCs w:val="22"/>
              </w:rPr>
              <w:t xml:space="preserve">The model needs to know when unusual demand is expected and why.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B2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Weather</w:t>
            </w:r>
          </w:p>
        </w:tc>
        <w:tc>
          <w:tcPr>
            <w:tcW w:type="dxa" w:w="7920"/>
            <w:tcBorders>
              <w:top w:val="none" w:color="FFFFFF" w:sz="0"/>
              <w:left w:val="none" w:color="FFFFFF" w:sz="0"/>
              <w:bottom w:val="none" w:color="FFFFFF" w:sz="0"/>
              <w:right w:val="none" w:color="FFFFFF" w:sz="0"/>
            </w:tcBorders>
            <w:shd w:fill="F4F7FE" w:val="clear"/>
            <w:tcMar>
              <w:top w:type="dxa" w:w="100"/>
              <w:left w:type="dxa" w:w="160"/>
              <w:bottom w:type="dxa" w:w="100"/>
              <w:right w:type="dxa" w:w="120"/>
            </w:tcMar>
          </w:tcPr>
          <w:p>
            <w:r>
              <w:rPr>
                <w:rFonts w:ascii="Arial" w:cs="Arial" w:eastAsia="Arial" w:hAnsi="Arial"/>
                <w:sz w:val="22"/>
                <w:szCs w:val="22"/>
              </w:rPr>
              <w:t xml:space="preserve">Cold, snowy days in November affect how many people visit a QSR in the Midwest.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6B" w:val="clear"/>
            <w:tcMar>
              <w:top w:type="dxa" w:w="120"/>
              <w:left w:type="dxa" w:w="200"/>
              <w:bottom w:type="dxa" w:w="120"/>
              <w:right w:type="dxa" w:w="200"/>
            </w:tcMar>
          </w:tcPr>
          <w:p>
            <w:r>
              <w:rPr>
                <w:rFonts w:ascii="Arial" w:cs="Arial" w:eastAsia="Arial" w:hAnsi="Arial"/>
                <w:b/>
                <w:bCs/>
                <w:color w:val="FFFFFF"/>
                <w:sz w:val="28"/>
                <w:szCs w:val="28"/>
              </w:rPr>
              <w:t xml:space="preserve">SLIDE 6 — Model Results  [3:10–3:50]</w:t>
            </w:r>
          </w:p>
        </w:tc>
      </w:tr>
    </w:tbl>
    <w:p>
      <w:pPr>
        <w:spacing w:before="60" w:after="60"/>
      </w:pPr>
      <w:r>
        <w:t xml:space="preserve"/>
      </w:r>
    </w:p>
    <w:p>
      <w:pPr>
        <w:spacing w:before="80" w:after="80"/>
      </w:pPr>
      <w:r>
        <w:rPr>
          <w:rFonts w:ascii="Arial" w:cs="Arial" w:eastAsia="Arial" w:hAnsi="Arial"/>
          <w:b w:val="false"/>
          <w:bCs w:val="false"/>
          <w:color w:val="6B7280"/>
          <w:sz w:val="24"/>
          <w:szCs w:val="24"/>
        </w:rPr>
        <w:t xml:space="preserve">WHAT'S ON SCREEN: Bar chart (15.18% → 12.22% → 13.12%) + stat cards.</w:t>
      </w:r>
    </w:p>
    <w:p>
      <w:pPr>
        <w:spacing w:before="60" w:after="60"/>
      </w:pPr>
      <w:r>
        <w:t xml:space="preserve"/>
      </w:r>
    </w:p>
    <w:p>
      <w:pPr>
        <w:pStyle w:val="Heading2"/>
      </w:pPr>
      <w:r>
        <w:rPr>
          <w:b/>
          <w:bCs/>
        </w:rPr>
        <w:t xml:space="preserve">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02809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SAY THIS</w:t>
            </w:r>
          </w:p>
        </w:tc>
        <w:tc>
          <w:tcPr>
            <w:tcW w:type="dxa" w:w="7920"/>
            <w:tcBorders>
              <w:top w:val="none" w:color="FFFFFF" w:sz="0"/>
              <w:left w:val="none" w:color="FFFFFF" w:sz="0"/>
              <w:bottom w:val="none" w:color="FFFFFF" w:sz="0"/>
              <w:right w:val="none" w:color="FFFFFF" w:sz="0"/>
            </w:tcBorders>
            <w:shd w:fill="E8F4FF" w:val="clear"/>
            <w:tcMar>
              <w:top w:type="dxa" w:w="100"/>
              <w:left w:type="dxa" w:w="160"/>
              <w:bottom w:type="dxa" w:w="100"/>
              <w:right w:type="dxa" w:w="120"/>
            </w:tcMar>
          </w:tcPr>
          <w:p>
            <w:r>
              <w:rPr>
                <w:rFonts w:ascii="Arial" w:cs="Arial" w:eastAsia="Arial" w:hAnsi="Arial"/>
                <w:sz w:val="22"/>
                <w:szCs w:val="22"/>
              </w:rPr>
              <w:t xml:space="preserve">Now for the results. The bar chart shows three numbers: our naïve baseline at 15.18%, our LightGBM model on the validation set at 12.22%, and our model on the actual test period — October through December 2025 — at 13.12%.
Let's talk about what these numbers mean in plain terms. A wMAPE of 13.12% means that on average, across all 69,000 predictions, our forecast is about 13 cents off for every dollar of actual demand. That's a meaningful improvement over the 15% baseline — we reduced forecast error by almost 3 percentage points.
Two things worth calling out. First, R04 is our best-performing restaurant at 11.1% wMAPE. Second, R09 is our most challenging at 15.1% — and we'll come back to that in the recommendations.
The median absolute error at the individual prediction level is 10.4%. That means more than half of our 69,000 forecasts were within 10% of the actual value — without any knowledge of what October through December actually looked like when we built the model.</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2"/>
              <w:left w:val="thick" w:color="F59E0B" w:sz="8"/>
              <w:bottom w:val="single" w:color="F59E0B" w:sz="2"/>
              <w:right w:val="none" w:color="FFFFFF" w:sz="0"/>
            </w:tcBorders>
            <w:shd w:fill="FFFBEA" w:val="clear"/>
            <w:tcMar>
              <w:top w:type="dxa" w:w="100"/>
              <w:left w:type="dxa" w:w="160"/>
              <w:bottom w:type="dxa" w:w="100"/>
              <w:right w:type="dxa" w:w="120"/>
            </w:tcMar>
          </w:tcPr>
          <w:p>
            <w:r>
              <w:rPr>
                <w:rFonts w:ascii="Arial" w:cs="Arial" w:eastAsia="Arial" w:hAnsi="Arial"/>
                <w:b/>
                <w:bCs/>
                <w:color w:val="92400E"/>
                <w:sz w:val="20"/>
                <w:szCs w:val="20"/>
              </w:rPr>
              <w:t xml:space="preserve">🎙 SPEAKER NOTE: </w:t>
            </w:r>
            <w:r>
              <w:rPr>
                <w:rFonts w:ascii="Arial" w:cs="Arial" w:eastAsia="Arial" w:hAnsi="Arial"/>
                <w:color w:val="92400E"/>
                <w:sz w:val="20"/>
                <w:szCs w:val="20"/>
              </w:rPr>
              <w:t xml:space="preserve">Do NOT say 'our model is really good' — let the numbers speak. The comparison to baseline is what makes 13.12% meaningful. If a judge asks why test wMAPE (13.12%) is slightly higher than val wMAPE (12.22%), the honest answer is: the test period includes Christmas week which has unusually low demand that is inherently harder to forecast.</w:t>
            </w:r>
          </w:p>
        </w:tc>
      </w:tr>
    </w:tbl>
    <w:p>
      <w:pPr>
        <w:spacing w:before="60" w:after="60"/>
      </w:pPr>
      <w:r>
        <w:t xml:space="preserve"/>
      </w:r>
    </w:p>
    <w:p>
      <w:pPr>
        <w:pStyle w:val="Heading2"/>
      </w:pPr>
      <w:r>
        <w:rPr>
          <w:b/>
          <w:bCs/>
        </w:rPr>
        <w:t xml:space="preserve">Numbers to State Confidently</w:t>
      </w:r>
    </w:p>
    <w:p>
      <w:pPr>
        <w:pStyle w:val="ListParagraph"/>
        <w:numPr>
          <w:ilvl w:val="0"/>
          <w:numId w:val="2"/>
        </w:numPr>
        <w:spacing w:before="60" w:after="60"/>
      </w:pPr>
      <w:r>
        <w:rPr>
          <w:rFonts w:ascii="Arial" w:cs="Arial" w:eastAsia="Arial" w:hAnsi="Arial"/>
          <w:b w:val="false"/>
          <w:bCs w:val="false"/>
          <w:sz w:val="22"/>
          <w:szCs w:val="22"/>
        </w:rPr>
        <w:t xml:space="preserve">15.18% → naïve baseline (just using last year's average)</w:t>
      </w:r>
    </w:p>
    <w:p>
      <w:pPr>
        <w:pStyle w:val="ListParagraph"/>
        <w:numPr>
          <w:ilvl w:val="0"/>
          <w:numId w:val="2"/>
        </w:numPr>
        <w:spacing w:before="60" w:after="60"/>
      </w:pPr>
      <w:r>
        <w:rPr>
          <w:rFonts w:ascii="Arial" w:cs="Arial" w:eastAsia="Arial" w:hAnsi="Arial"/>
          <w:b w:val="false"/>
          <w:bCs w:val="false"/>
          <w:sz w:val="22"/>
          <w:szCs w:val="22"/>
        </w:rPr>
        <w:t xml:space="preserve">12.22% → our model on Sep 2025 validation</w:t>
      </w:r>
    </w:p>
    <w:p>
      <w:pPr>
        <w:pStyle w:val="ListParagraph"/>
        <w:numPr>
          <w:ilvl w:val="0"/>
          <w:numId w:val="2"/>
        </w:numPr>
        <w:spacing w:before="60" w:after="60"/>
      </w:pPr>
      <w:r>
        <w:rPr>
          <w:rFonts w:ascii="Arial" w:cs="Arial" w:eastAsia="Arial" w:hAnsi="Arial"/>
          <w:b w:val="false"/>
          <w:bCs w:val="false"/>
          <w:sz w:val="22"/>
          <w:szCs w:val="22"/>
        </w:rPr>
        <w:t xml:space="preserve">13.12% → our model on the actual Oct–Dec 2025 test period</w:t>
      </w:r>
    </w:p>
    <w:p>
      <w:pPr>
        <w:pStyle w:val="ListParagraph"/>
        <w:numPr>
          <w:ilvl w:val="0"/>
          <w:numId w:val="2"/>
        </w:numPr>
        <w:spacing w:before="60" w:after="60"/>
      </w:pPr>
      <w:r>
        <w:rPr>
          <w:rFonts w:ascii="Arial" w:cs="Arial" w:eastAsia="Arial" w:hAnsi="Arial"/>
          <w:b w:val="false"/>
          <w:bCs w:val="false"/>
          <w:sz w:val="22"/>
          <w:szCs w:val="22"/>
        </w:rPr>
        <w:t xml:space="preserve">10.4% → median error per prediction</w:t>
      </w:r>
    </w:p>
    <w:p>
      <w:pPr>
        <w:pStyle w:val="ListParagraph"/>
        <w:numPr>
          <w:ilvl w:val="0"/>
          <w:numId w:val="2"/>
        </w:numPr>
        <w:spacing w:before="60" w:after="60"/>
      </w:pPr>
      <w:r>
        <w:rPr>
          <w:rFonts w:ascii="Arial" w:cs="Arial" w:eastAsia="Arial" w:hAnsi="Arial"/>
          <w:b w:val="false"/>
          <w:bCs w:val="false"/>
          <w:sz w:val="22"/>
          <w:szCs w:val="22"/>
        </w:rPr>
        <w:t xml:space="preserve">R04 best at 11.1%, R09 worst at 15.1%</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6B" w:val="clear"/>
            <w:tcMar>
              <w:top w:type="dxa" w:w="120"/>
              <w:left w:type="dxa" w:w="200"/>
              <w:bottom w:type="dxa" w:w="120"/>
              <w:right w:type="dxa" w:w="200"/>
            </w:tcMar>
          </w:tcPr>
          <w:p>
            <w:r>
              <w:rPr>
                <w:rFonts w:ascii="Arial" w:cs="Arial" w:eastAsia="Arial" w:hAnsi="Arial"/>
                <w:b/>
                <w:bCs/>
                <w:color w:val="FFFFFF"/>
                <w:sz w:val="28"/>
                <w:szCs w:val="28"/>
              </w:rPr>
              <w:t xml:space="preserve">SLIDE 7 — Innovation &amp; Differentiators  [3:50–4:25]</w:t>
            </w:r>
          </w:p>
        </w:tc>
      </w:tr>
    </w:tbl>
    <w:p>
      <w:pPr>
        <w:spacing w:before="60" w:after="60"/>
      </w:pPr>
      <w:r>
        <w:t xml:space="preserve"/>
      </w:r>
    </w:p>
    <w:p>
      <w:pPr>
        <w:spacing w:before="80" w:after="80"/>
      </w:pPr>
      <w:r>
        <w:rPr>
          <w:rFonts w:ascii="Arial" w:cs="Arial" w:eastAsia="Arial" w:hAnsi="Arial"/>
          <w:b w:val="false"/>
          <w:bCs w:val="false"/>
          <w:color w:val="6B7280"/>
          <w:sz w:val="24"/>
          <w:szCs w:val="24"/>
        </w:rPr>
        <w:t xml:space="preserve">WHAT'S ON SCREEN: 4 cards — Prior-year avg, Same-DOW average, Log-transform + MAE, wMAPE early stopping.</w:t>
      </w:r>
    </w:p>
    <w:p>
      <w:pPr>
        <w:spacing w:before="60" w:after="60"/>
      </w:pPr>
      <w:r>
        <w:t xml:space="preserve"/>
      </w:r>
    </w:p>
    <w:p>
      <w:pPr>
        <w:pStyle w:val="Heading2"/>
      </w:pPr>
      <w:r>
        <w:rPr>
          <w:b/>
          <w:bCs/>
        </w:rPr>
        <w:t xml:space="preserve">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02809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SAY THIS</w:t>
            </w:r>
          </w:p>
        </w:tc>
        <w:tc>
          <w:tcPr>
            <w:tcW w:type="dxa" w:w="7920"/>
            <w:tcBorders>
              <w:top w:val="none" w:color="FFFFFF" w:sz="0"/>
              <w:left w:val="none" w:color="FFFFFF" w:sz="0"/>
              <w:bottom w:val="none" w:color="FFFFFF" w:sz="0"/>
              <w:right w:val="none" w:color="FFFFFF" w:sz="0"/>
            </w:tcBorders>
            <w:shd w:fill="E8F4FF" w:val="clear"/>
            <w:tcMar>
              <w:top w:type="dxa" w:w="100"/>
              <w:left w:type="dxa" w:w="160"/>
              <w:bottom w:type="dxa" w:w="100"/>
              <w:right w:type="dxa" w:w="120"/>
            </w:tcMar>
          </w:tcPr>
          <w:p>
            <w:r>
              <w:rPr>
                <w:rFonts w:ascii="Arial" w:cs="Arial" w:eastAsia="Arial" w:hAnsi="Arial"/>
                <w:sz w:val="22"/>
                <w:szCs w:val="22"/>
              </w:rPr>
              <w:t xml:space="preserve">What made our approach different? Four specific decisions that other teams may not have made.
First: the prior-year average feature. This is the most important predictor in our entire model — it has 12 times higher predictive gain than the second-ranked feature. By computing the historical average for each unique combination of restaurant, item, month, and day of week, we gave the model a personalized baseline for every single forecast. It's not asking 'what is the average burger sale?' — it's asking 'what does R04 specifically sell of item M12 on a Thursday in October?'
Second: same-day-of-week rolling average. Instead of averaging the last 7 days, we averaged the last three Mondays together, the last three Tuesdays together, and so on. This is more precise because Monday demand looks different from Tuesday demand — mixing them loses signal.
Third: we train on the logarithm of quantity rather than the raw number. This is a standard technique that makes the model treat a 10% error on a high-volume item the same as a 10% error on a low-volume item — which is exactly what wMAPE measures.
Fourth: we configured LightGBM to use wMAPE itself as the early-stopping criterion. Most models stop based on general error metrics. We stopped at the round — round 360 specifically — where actual wMAPE was minimized.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2"/>
              <w:left w:val="thick" w:color="F59E0B" w:sz="8"/>
              <w:bottom w:val="single" w:color="F59E0B" w:sz="2"/>
              <w:right w:val="none" w:color="FFFFFF" w:sz="0"/>
            </w:tcBorders>
            <w:shd w:fill="FFFBEA" w:val="clear"/>
            <w:tcMar>
              <w:top w:type="dxa" w:w="100"/>
              <w:left w:type="dxa" w:w="160"/>
              <w:bottom w:type="dxa" w:w="100"/>
              <w:right w:type="dxa" w:w="120"/>
            </w:tcMar>
          </w:tcPr>
          <w:p>
            <w:r>
              <w:rPr>
                <w:rFonts w:ascii="Arial" w:cs="Arial" w:eastAsia="Arial" w:hAnsi="Arial"/>
                <w:b/>
                <w:bCs/>
                <w:color w:val="92400E"/>
                <w:sz w:val="20"/>
                <w:szCs w:val="20"/>
              </w:rPr>
              <w:t xml:space="preserve">🎙 SPEAKER NOTE: </w:t>
            </w:r>
            <w:r>
              <w:rPr>
                <w:rFonts w:ascii="Arial" w:cs="Arial" w:eastAsia="Arial" w:hAnsi="Arial"/>
                <w:color w:val="92400E"/>
                <w:sz w:val="20"/>
                <w:szCs w:val="20"/>
              </w:rPr>
              <w:t xml:space="preserve">This is your 'wow' slide — the one that shows technical depth without losing non-technical judges. The 12x gain difference is your strongest line. Say it slowly. The same-DOW explanation is very intuitive and makes people nod along.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6B" w:val="clear"/>
            <w:tcMar>
              <w:top w:type="dxa" w:w="120"/>
              <w:left w:type="dxa" w:w="200"/>
              <w:bottom w:type="dxa" w:w="120"/>
              <w:right w:type="dxa" w:w="200"/>
            </w:tcMar>
          </w:tcPr>
          <w:p>
            <w:r>
              <w:rPr>
                <w:rFonts w:ascii="Arial" w:cs="Arial" w:eastAsia="Arial" w:hAnsi="Arial"/>
                <w:b/>
                <w:bCs/>
                <w:color w:val="FFFFFF"/>
                <w:sz w:val="28"/>
                <w:szCs w:val="28"/>
              </w:rPr>
              <w:t xml:space="preserve">SLIDE 8 — Business Recommendations  [4:25–4:50]</w:t>
            </w:r>
          </w:p>
        </w:tc>
      </w:tr>
    </w:tbl>
    <w:p>
      <w:pPr>
        <w:spacing w:before="60" w:after="60"/>
      </w:pPr>
      <w:r>
        <w:t xml:space="preserve"/>
      </w:r>
    </w:p>
    <w:p>
      <w:pPr>
        <w:spacing w:before="80" w:after="80"/>
      </w:pPr>
      <w:r>
        <w:rPr>
          <w:rFonts w:ascii="Arial" w:cs="Arial" w:eastAsia="Arial" w:hAnsi="Arial"/>
          <w:b w:val="false"/>
          <w:bCs w:val="false"/>
          <w:color w:val="6B7280"/>
          <w:sz w:val="24"/>
          <w:szCs w:val="24"/>
        </w:rPr>
        <w:t xml:space="preserve">WHAT'S ON SCREEN: 4 recommendation cards for HAVI.</w:t>
      </w:r>
    </w:p>
    <w:p>
      <w:pPr>
        <w:spacing w:before="60" w:after="60"/>
      </w:pPr>
      <w:r>
        <w:t xml:space="preserve"/>
      </w:r>
    </w:p>
    <w:p>
      <w:pPr>
        <w:pStyle w:val="Heading2"/>
      </w:pPr>
      <w:r>
        <w:rPr>
          <w:b/>
          <w:bCs/>
        </w:rPr>
        <w:t xml:space="preserve">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02809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SAY THIS</w:t>
            </w:r>
          </w:p>
        </w:tc>
        <w:tc>
          <w:tcPr>
            <w:tcW w:type="dxa" w:w="7920"/>
            <w:tcBorders>
              <w:top w:val="none" w:color="FFFFFF" w:sz="0"/>
              <w:left w:val="none" w:color="FFFFFF" w:sz="0"/>
              <w:bottom w:val="none" w:color="FFFFFF" w:sz="0"/>
              <w:right w:val="none" w:color="FFFFFF" w:sz="0"/>
            </w:tcBorders>
            <w:shd w:fill="E8F4FF" w:val="clear"/>
            <w:tcMar>
              <w:top w:type="dxa" w:w="100"/>
              <w:left w:type="dxa" w:w="160"/>
              <w:bottom w:type="dxa" w:w="100"/>
              <w:right w:type="dxa" w:w="120"/>
            </w:tcMar>
          </w:tcPr>
          <w:p>
            <w:r>
              <w:rPr>
                <w:rFonts w:ascii="Arial" w:cs="Arial" w:eastAsia="Arial" w:hAnsi="Arial"/>
                <w:sz w:val="22"/>
                <w:szCs w:val="22"/>
              </w:rPr>
              <w:t xml:space="preserve">Finally, four business recommendations for HAVI based on what we found.
One: deploy this model for Q4 supply chain planning. At 13% wMAPE it outperforms a naïve benchmark and is well within operational tolerance for daily prep quantities and staffing.
Two: prioritize the Drinks and Specials categories for further work. Drinks has the highest sales volume but also the highest forecast error at 13.2%. A small accuracy improvement there has the biggest business impact.
Three: invest in your events calendar. The is_special_event flag is the fifth most important feature in our model and drives a 30% demand spike. An accurate, forward-looking calendar of local events is one of the highest-ROI data investments you can make.
Four: investigate Restaurant R09. It's 3 percentage points above the fleet average in forecast error. That could indicate data quality issues, unusual demand patterns, or recent operational changes — and it deserves a closer look before this model is deployed in production.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2"/>
              <w:left w:val="thick" w:color="F59E0B" w:sz="8"/>
              <w:bottom w:val="single" w:color="F59E0B" w:sz="2"/>
              <w:right w:val="none" w:color="FFFFFF" w:sz="0"/>
            </w:tcBorders>
            <w:shd w:fill="FFFBEA" w:val="clear"/>
            <w:tcMar>
              <w:top w:type="dxa" w:w="100"/>
              <w:left w:type="dxa" w:w="160"/>
              <w:bottom w:type="dxa" w:w="100"/>
              <w:right w:type="dxa" w:w="120"/>
            </w:tcMar>
          </w:tcPr>
          <w:p>
            <w:r>
              <w:rPr>
                <w:rFonts w:ascii="Arial" w:cs="Arial" w:eastAsia="Arial" w:hAnsi="Arial"/>
                <w:b/>
                <w:bCs/>
                <w:color w:val="92400E"/>
                <w:sz w:val="20"/>
                <w:szCs w:val="20"/>
              </w:rPr>
              <w:t xml:space="preserve">🎙 SPEAKER NOTE: </w:t>
            </w:r>
            <w:r>
              <w:rPr>
                <w:rFonts w:ascii="Arial" w:cs="Arial" w:eastAsia="Arial" w:hAnsi="Arial"/>
                <w:color w:val="92400E"/>
                <w:sz w:val="20"/>
                <w:szCs w:val="20"/>
              </w:rPr>
              <w:t xml:space="preserve">This is where you pivot from 'data scientist' to 'business advisor.' Speak slowly and make eye contact with the HAVI judges on each recommendation. R09 is a specific, actionable callout that shows you didn't just optimize a loss function — you actually interpreted the results.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6B" w:val="clear"/>
            <w:tcMar>
              <w:top w:type="dxa" w:w="120"/>
              <w:left w:type="dxa" w:w="200"/>
              <w:bottom w:type="dxa" w:w="120"/>
              <w:right w:type="dxa" w:w="200"/>
            </w:tcMar>
          </w:tcPr>
          <w:p>
            <w:r>
              <w:rPr>
                <w:rFonts w:ascii="Arial" w:cs="Arial" w:eastAsia="Arial" w:hAnsi="Arial"/>
                <w:b/>
                <w:bCs/>
                <w:color w:val="FFFFFF"/>
                <w:sz w:val="28"/>
                <w:szCs w:val="28"/>
              </w:rPr>
              <w:t xml:space="preserve">SLIDE 9 — Thank You / Closing  [4:50–5:00]</w:t>
            </w:r>
          </w:p>
        </w:tc>
      </w:tr>
    </w:tbl>
    <w:p>
      <w:pPr>
        <w:spacing w:before="60" w:after="60"/>
      </w:pPr>
      <w:r>
        <w:t xml:space="preserve"/>
      </w:r>
    </w:p>
    <w:p>
      <w:pPr>
        <w:spacing w:before="80" w:after="80"/>
      </w:pPr>
      <w:r>
        <w:rPr>
          <w:rFonts w:ascii="Arial" w:cs="Arial" w:eastAsia="Arial" w:hAnsi="Arial"/>
          <w:b w:val="false"/>
          <w:bCs w:val="false"/>
          <w:color w:val="6B7280"/>
          <w:sz w:val="24"/>
          <w:szCs w:val="24"/>
        </w:rPr>
        <w:t xml:space="preserve">WHAT'S ON SCREEN: Thank you slide with 4 headline numbers: 15.18%, 12.22%, 13.12%, 69,000.</w:t>
      </w:r>
    </w:p>
    <w:p>
      <w:pPr>
        <w:spacing w:before="60" w:after="60"/>
      </w:pPr>
      <w:r>
        <w:t xml:space="preserve"/>
      </w:r>
    </w:p>
    <w:p>
      <w:pPr>
        <w:pStyle w:val="Heading2"/>
      </w:pPr>
      <w:r>
        <w:rPr>
          <w:b/>
          <w:bCs/>
        </w:rPr>
        <w:t xml:space="preserve">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02809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SAY THIS</w:t>
            </w:r>
          </w:p>
        </w:tc>
        <w:tc>
          <w:tcPr>
            <w:tcW w:type="dxa" w:w="7920"/>
            <w:tcBorders>
              <w:top w:val="none" w:color="FFFFFF" w:sz="0"/>
              <w:left w:val="none" w:color="FFFFFF" w:sz="0"/>
              <w:bottom w:val="none" w:color="FFFFFF" w:sz="0"/>
              <w:right w:val="none" w:color="FFFFFF" w:sz="0"/>
            </w:tcBorders>
            <w:shd w:fill="E8F4FF" w:val="clear"/>
            <w:tcMar>
              <w:top w:type="dxa" w:w="100"/>
              <w:left w:type="dxa" w:w="160"/>
              <w:bottom w:type="dxa" w:w="100"/>
              <w:right w:type="dxa" w:w="120"/>
            </w:tcMar>
          </w:tcPr>
          <w:p>
            <w:r>
              <w:rPr>
                <w:rFonts w:ascii="Arial" w:cs="Arial" w:eastAsia="Arial" w:hAnsi="Arial"/>
                <w:sz w:val="22"/>
                <w:szCs w:val="22"/>
              </w:rPr>
              <w:t xml:space="preserve">In summary: we took 1.37 million rows of historical QSR data, built 51 carefully engineered features, trained a LightGBM model optimized specifically for wMAPE, and produced 69,000 daily demand forecasts — improving on the baseline by nearly 3 percentage points.
Thank you for your time, and we're happy to take any questions.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2"/>
              <w:left w:val="thick" w:color="F59E0B" w:sz="8"/>
              <w:bottom w:val="single" w:color="F59E0B" w:sz="2"/>
              <w:right w:val="none" w:color="FFFFFF" w:sz="0"/>
            </w:tcBorders>
            <w:shd w:fill="FFFBEA" w:val="clear"/>
            <w:tcMar>
              <w:top w:type="dxa" w:w="100"/>
              <w:left w:type="dxa" w:w="160"/>
              <w:bottom w:type="dxa" w:w="100"/>
              <w:right w:type="dxa" w:w="120"/>
            </w:tcMar>
          </w:tcPr>
          <w:p>
            <w:r>
              <w:rPr>
                <w:rFonts w:ascii="Arial" w:cs="Arial" w:eastAsia="Arial" w:hAnsi="Arial"/>
                <w:b/>
                <w:bCs/>
                <w:color w:val="92400E"/>
                <w:sz w:val="20"/>
                <w:szCs w:val="20"/>
              </w:rPr>
              <w:t xml:space="preserve">🎙 SPEAKER NOTE: </w:t>
            </w:r>
            <w:r>
              <w:rPr>
                <w:rFonts w:ascii="Arial" w:cs="Arial" w:eastAsia="Arial" w:hAnsi="Arial"/>
                <w:color w:val="92400E"/>
                <w:sz w:val="20"/>
                <w:szCs w:val="20"/>
              </w:rPr>
              <w:t xml:space="preserve">End on a strong, steady tone. Don't rush the last sentence. After 'thank you,' pause for one full second before offering questions — it signals confidence.</w:t>
            </w:r>
          </w:p>
        </w:tc>
      </w:tr>
    </w:tbl>
    <w:p>
      <w:pPr>
        <w:spacing w:before="60" w:after="60"/>
      </w:pPr>
      <w:r>
        <w:t xml:space="preserve"/>
      </w:r>
    </w:p>
    <w:p>
      <w:pPr>
        <w:pStyle w:val="Heading2"/>
      </w:pPr>
      <w:r>
        <w:rPr>
          <w:b/>
          <w:bCs/>
        </w:rPr>
        <w:t xml:space="preserve">Common Q&amp;A Prep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B2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Q: Why LightGBM?</w:t>
            </w:r>
          </w:p>
        </w:tc>
        <w:tc>
          <w:tcPr>
            <w:tcW w:type="dxa" w:w="7920"/>
            <w:tcBorders>
              <w:top w:val="none" w:color="FFFFFF" w:sz="0"/>
              <w:left w:val="none" w:color="FFFFFF" w:sz="0"/>
              <w:bottom w:val="none" w:color="FFFFFF" w:sz="0"/>
              <w:right w:val="none" w:color="FFFFFF" w:sz="0"/>
            </w:tcBorders>
            <w:shd w:fill="E8F4FF" w:val="clear"/>
            <w:tcMar>
              <w:top w:type="dxa" w:w="100"/>
              <w:left w:type="dxa" w:w="160"/>
              <w:bottom w:type="dxa" w:w="100"/>
              <w:right w:type="dxa" w:w="120"/>
            </w:tcMar>
          </w:tcPr>
          <w:p>
            <w:r>
              <w:rPr>
                <w:rFonts w:ascii="Arial" w:cs="Arial" w:eastAsia="Arial" w:hAnsi="Arial"/>
                <w:sz w:val="22"/>
                <w:szCs w:val="22"/>
              </w:rPr>
              <w:t xml:space="preserve">Fast, handles tabular data extremely well, supports custom evaluation metrics, and outperforms neural nets on structured time-series forecasting in benchmarks. No need to overengineer.</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B2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Q: Why is test wMAPE higher than val wMAPE?</w:t>
            </w:r>
          </w:p>
        </w:tc>
        <w:tc>
          <w:tcPr>
            <w:tcW w:type="dxa" w:w="7920"/>
            <w:tcBorders>
              <w:top w:val="none" w:color="FFFFFF" w:sz="0"/>
              <w:left w:val="none" w:color="FFFFFF" w:sz="0"/>
              <w:bottom w:val="none" w:color="FFFFFF" w:sz="0"/>
              <w:right w:val="none" w:color="FFFFFF" w:sz="0"/>
            </w:tcBorders>
            <w:shd w:fill="E8F4FF" w:val="clear"/>
            <w:tcMar>
              <w:top w:type="dxa" w:w="100"/>
              <w:left w:type="dxa" w:w="160"/>
              <w:bottom w:type="dxa" w:w="100"/>
              <w:right w:type="dxa" w:w="120"/>
            </w:tcMar>
          </w:tcPr>
          <w:p>
            <w:r>
              <w:rPr>
                <w:rFonts w:ascii="Arial" w:cs="Arial" w:eastAsia="Arial" w:hAnsi="Arial"/>
                <w:sz w:val="22"/>
                <w:szCs w:val="22"/>
              </w:rPr>
              <w:t xml:space="preserve">Validation is September; test is Oct–Dec. Q4 includes Thanksgiving and Christmas — inherently harder to forecast. A small gap between val and test is expected and healthy.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B2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Q: Did you consider Prophet or ARIMA?</w:t>
            </w:r>
          </w:p>
        </w:tc>
        <w:tc>
          <w:tcPr>
            <w:tcW w:type="dxa" w:w="7920"/>
            <w:tcBorders>
              <w:top w:val="none" w:color="FFFFFF" w:sz="0"/>
              <w:left w:val="none" w:color="FFFFFF" w:sz="0"/>
              <w:bottom w:val="none" w:color="FFFFFF" w:sz="0"/>
              <w:right w:val="none" w:color="FFFFFF" w:sz="0"/>
            </w:tcBorders>
            <w:shd w:fill="E8F4FF" w:val="clear"/>
            <w:tcMar>
              <w:top w:type="dxa" w:w="100"/>
              <w:left w:type="dxa" w:w="160"/>
              <w:bottom w:type="dxa" w:w="100"/>
              <w:right w:type="dxa" w:w="120"/>
            </w:tcMar>
          </w:tcPr>
          <w:p>
            <w:r>
              <w:rPr>
                <w:rFonts w:ascii="Arial" w:cs="Arial" w:eastAsia="Arial" w:hAnsi="Arial"/>
                <w:sz w:val="22"/>
                <w:szCs w:val="22"/>
              </w:rPr>
              <w:t xml:space="preserve">Yes. Prophet requires fitting 750 separate models (one per restaurant-item combo) and doesn't capture cross-series patterns like weather effects. Our global LightGBM does this in one model and is faster and more accurate.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B2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Q: How would you improve this?</w:t>
            </w:r>
          </w:p>
        </w:tc>
        <w:tc>
          <w:tcPr>
            <w:tcW w:type="dxa" w:w="7920"/>
            <w:tcBorders>
              <w:top w:val="none" w:color="FFFFFF" w:sz="0"/>
              <w:left w:val="none" w:color="FFFFFF" w:sz="0"/>
              <w:bottom w:val="none" w:color="FFFFFF" w:sz="0"/>
              <w:right w:val="none" w:color="FFFFFF" w:sz="0"/>
            </w:tcBorders>
            <w:shd w:fill="E8F4FF" w:val="clear"/>
            <w:tcMar>
              <w:top w:type="dxa" w:w="100"/>
              <w:left w:type="dxa" w:w="160"/>
              <w:bottom w:type="dxa" w:w="100"/>
              <w:right w:type="dxa" w:w="120"/>
            </w:tcMar>
          </w:tcPr>
          <w:p>
            <w:r>
              <w:rPr>
                <w:rFonts w:ascii="Arial" w:cs="Arial" w:eastAsia="Arial" w:hAnsi="Arial"/>
                <w:sz w:val="22"/>
                <w:szCs w:val="22"/>
              </w:rPr>
              <w:t xml:space="preserve">Short lags (lag_1) anchored to the full dataset, EWMA features, and a Q4-specific prior average. We have a v2 model ready that achieves 9.65% test wMAPE — a 3.47pp improvement.</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028090" w:sz="4" w:space="4"/>
      </w:pBdr>
      <w:spacing w:before="320" w:after="160"/>
      <w:outlineLvl w:val="0"/>
    </w:pPr>
    <w:rPr>
      <w:rFonts w:ascii="Arial" w:cs="Arial" w:eastAsia="Arial" w:hAnsi="Arial"/>
      <w:b/>
      <w:bCs/>
      <w:color w:val="1B2A6B"/>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028090"/>
      <w:sz w:val="28"/>
      <w:szCs w:val="28"/>
    </w:rPr>
  </w:style>
  <w:style w:type="paragraph" w:styleId="Heading3">
    <w:name w:val="Heading 3"/>
    <w:basedOn w:val="Normal"/>
    <w:next w:val="Normal"/>
    <w:qFormat/>
    <w:pPr>
      <w:spacing w:before="180" w:after="80"/>
      <w:outlineLvl w:val="2"/>
    </w:pPr>
    <w:rPr>
      <w:rFonts w:ascii="Arial" w:cs="Arial" w:eastAsia="Arial" w:hAnsi="Arial"/>
      <w:b/>
      <w:bCs/>
      <w:color w:val="1B2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2026-03-28T21:23:13.203Z</dcterms:created>
  <dcterms:modified xsi:type="dcterms:W3CDTF">2026-03-28T21:23:13.204Z</dcterms:modified>
</cp:coreProperties>
</file>

<file path=docProps/custom.xml><?xml version="1.0" encoding="utf-8"?>
<Properties xmlns="http://schemas.openxmlformats.org/officeDocument/2006/custom-properties" xmlns:vt="http://schemas.openxmlformats.org/officeDocument/2006/docPropsVTypes"/>
</file>