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200" w:before="0"/>
        <w:jc w:val="center"/>
      </w:pPr>
      <w:r>
        <w:rPr>
          <w:rFonts w:ascii="Arial" w:cs="Arial" w:eastAsia="Arial" w:hAnsi="Arial"/>
          <w:b/>
          <w:bCs/>
          <w:color w:val="1F3864"/>
          <w:sz w:val="56"/>
          <w:szCs w:val="56"/>
        </w:rPr>
        <w:t xml:space="preserve">NBA Modern Data Platform</w:t>
      </w:r>
    </w:p>
    <w:p>
      <w:pPr>
        <w:spacing w:after="600" w:before="0"/>
        <w:jc w:val="center"/>
      </w:pPr>
      <w:r>
        <w:rPr>
          <w:rFonts w:ascii="Arial" w:cs="Arial" w:eastAsia="Arial" w:hAnsi="Arial"/>
          <w:color w:val="2E75B6"/>
          <w:sz w:val="30"/>
          <w:szCs w:val="30"/>
        </w:rPr>
        <w:t xml:space="preserve">End-to-End Engineering &amp; Build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none" w:color="FFFFFF" w:sz="0"/>
              <w:bottom w:val="single" w:color="2E75B6" w:sz="12"/>
              <w:right w:val="none" w:color="FFFFFF" w:sz="0"/>
            </w:tcBorders>
            <w:shd w:fill="D6E4F0" w:val="clear"/>
            <w:tcMar>
              <w:top w:type="dxa" w:w="200"/>
              <w:left w:type="dxa" w:w="300"/>
              <w:bottom w:type="dxa" w:w="200"/>
              <w:right w:type="dxa" w:w="300"/>
            </w:tcMar>
          </w:tcPr>
          <w:p>
            <w:pPr>
              <w:spacing w:after="80" w:before="0"/>
              <w:jc w:val="center"/>
            </w:pPr>
            <w:r>
              <w:rPr>
                <w:rFonts w:ascii="Arial" w:cs="Arial" w:eastAsia="Arial" w:hAnsi="Arial"/>
                <w:i/>
                <w:iCs/>
                <w:color w:val="404040"/>
                <w:sz w:val="24"/>
                <w:szCs w:val="24"/>
              </w:rPr>
              <w:t xml:space="preserve">From raw CSV to Power BI dashboard</w:t>
            </w:r>
          </w:p>
          <w:p>
            <w:pPr>
              <w:spacing w:after="0" w:before="0"/>
              <w:jc w:val="center"/>
            </w:pPr>
            <w:r>
              <w:rPr>
                <w:rFonts w:ascii="Arial" w:cs="Arial" w:eastAsia="Arial" w:hAnsi="Arial"/>
                <w:color w:val="666666"/>
                <w:sz w:val="22"/>
                <w:szCs w:val="22"/>
              </w:rPr>
              <w:t xml:space="preserve">A practitioner's guide to building a production-grade analytics platform</w:t>
            </w:r>
          </w:p>
        </w:tc>
      </w:tr>
    </w:tbl>
    <w:p>
      <w:pPr>
        <w:spacing w:after="0" w:before="400"/>
      </w:pPr>
      <w:r>
        <w:t xml:space="preserve"/>
      </w:r>
    </w:p>
    <w:p>
      <w:pPr>
        <w:jc w:val="center"/>
      </w:pPr>
      <w:r>
        <w:rPr>
          <w:rFonts w:ascii="Arial" w:cs="Arial" w:eastAsia="Arial" w:hAnsi="Arial"/>
          <w:color w:val="666666"/>
          <w:sz w:val="22"/>
          <w:szCs w:val="22"/>
        </w:rPr>
        <w:t xml:space="preserve">Stack: Python  •  GCS  •  BigQuery  •  dbt  •  Prefect  •  Power BI</w:t>
      </w:r>
    </w:p>
    <w:p>
      <w:pPr>
        <w:spacing w:after="0" w:before="200"/>
      </w:pPr>
      <w:r>
        <w:t xml:space="preserve"/>
      </w:r>
    </w:p>
    <w:p>
      <w:pPr>
        <w:jc w:val="center"/>
      </w:pPr>
      <w:r>
        <w:rPr>
          <w:rFonts w:ascii="Arial" w:cs="Arial" w:eastAsia="Arial" w:hAnsi="Arial"/>
          <w:color w:val="666666"/>
          <w:sz w:val="20"/>
          <w:szCs w:val="20"/>
        </w:rPr>
        <w:t xml:space="preserve">Season dataset: 2015–16  •  26,078 player-game rows  •  476 players  •  30 teams</w:t>
      </w:r>
    </w:p>
    <w:p>
      <w:pPr>
        <w:sectPr>
          <w:pgSz w:w="12240" w:h="15840" w:orient="portrait"/>
          <w:pgMar w:top="1440" w:right="1440" w:bottom="1440" w:left="1440" w:header="708" w:footer="708" w:gutter="0"/>
          <w:pgNumType/>
          <w:docGrid w:linePitch="360"/>
        </w:sectPr>
      </w:pPr>
    </w:p>
    <w:p>
      <w:pPr>
        <w:pStyle w:val="Heading1"/>
        <w:pBdr>
          <w:bottom w:val="single" w:color="2E75B6" w:sz="8" w:space="6"/>
        </w:pBdr>
        <w:spacing w:after="200" w:before="400"/>
      </w:pPr>
      <w:r>
        <w:rPr>
          <w:rFonts w:ascii="Arial" w:cs="Arial" w:eastAsia="Arial" w:hAnsi="Arial"/>
          <w:b/>
          <w:bCs/>
          <w:color w:val="1F3864"/>
          <w:sz w:val="36"/>
          <w:szCs w:val="36"/>
        </w:rPr>
        <w:t xml:space="preserve">Table of Contents</w:t>
      </w:r>
    </w:p>
    <w:sdt>
      <w:sdtPr>
        <w:alias w:val="Table of Contents"/>
      </w:sdtPr>
      <w:sdtContent>
        <w:p>
          <w:r>
            <w:fldChar w:fldCharType="begin" w:dirty="true"/>
            <w:instrText xml:space="preserve">TOC \h \o "1-3" \t "Heading 1,1,Heading 2,2,Heading 3,3"</w:instrText>
            <w:fldChar w:fldCharType="separate"/>
          </w:r>
        </w:p>
        <w:p>
          <w:r>
            <w:fldChar w:fldCharType="end"/>
          </w:r>
        </w:p>
      </w:sdtContent>
    </w:sdt>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1. How to Read This Guide</w:t>
      </w:r>
    </w:p>
    <w:p>
      <w:pPr>
        <w:spacing w:after="80" w:before="80"/>
        <w:jc w:val="both"/>
      </w:pPr>
      <w:r>
        <w:rPr>
          <w:rFonts w:ascii="Arial" w:cs="Arial" w:eastAsia="Arial" w:hAnsi="Arial"/>
          <w:color w:val="404040"/>
          <w:sz w:val="22"/>
          <w:szCs w:val="22"/>
        </w:rPr>
        <w:t xml:space="preserve">This document is a practitioner's guide, not a code reference. It tells you what to build, in what order, and why each decision matters. Code is intentionally excluded — the goal is for you to write it yourself, developing the muscle memory that comes from solving each step hands-on.</w:t>
      </w:r>
    </w:p>
    <w:p>
      <w:pPr>
        <w:spacing w:after="0" w:before="80"/>
      </w:pPr>
      <w:r>
        <w:t xml:space="preserve"/>
      </w:r>
    </w:p>
    <w:p>
      <w:pPr>
        <w:spacing w:after="80" w:before="80"/>
        <w:jc w:val="both"/>
      </w:pPr>
      <w:r>
        <w:rPr>
          <w:rFonts w:ascii="Arial" w:cs="Arial" w:eastAsia="Arial" w:hAnsi="Arial"/>
          <w:color w:val="404040"/>
          <w:sz w:val="22"/>
          <w:szCs w:val="22"/>
        </w:rPr>
        <w:t xml:space="preserve">Each phase builds directly on the previous one. Do not skip ahead. The platform only makes sense as an assembled whole, and shortcuts taken early compound into architectural debt later.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How to use this document</w:t>
            </w:r>
          </w:p>
          <w:p>
            <w:pPr>
              <w:spacing w:after="0" w:before="0"/>
              <w:jc w:val="both"/>
            </w:pPr>
            <w:r>
              <w:rPr>
                <w:rFonts w:ascii="Arial" w:cs="Arial" w:eastAsia="Arial" w:hAnsi="Arial"/>
                <w:color w:val="404040"/>
                <w:sz w:val="20"/>
                <w:szCs w:val="20"/>
              </w:rPr>
              <w:t xml:space="preserve">Read each phase in full before you start it. Understand the goal and the acceptance criteria before writing a single line. Then build. Come back to re-read if you get stuck — the answer is usually in the 'Why this matters' sections.</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1.1  The two environments question</w:t>
      </w:r>
    </w:p>
    <w:p>
      <w:pPr>
        <w:spacing w:after="80" w:before="80"/>
        <w:jc w:val="both"/>
      </w:pPr>
      <w:r>
        <w:rPr>
          <w:rFonts w:ascii="Arial" w:cs="Arial" w:eastAsia="Arial" w:hAnsi="Arial"/>
          <w:color w:val="404040"/>
          <w:sz w:val="22"/>
          <w:szCs w:val="22"/>
        </w:rPr>
        <w:t xml:space="preserve">One of the first decisions you will face is whether to test locally using PostgreSQL or to work entirely in the cloud from day one. Both are valid approaches, and the right choice depends on where you are in your learning journey.</w:t>
      </w:r>
    </w:p>
    <w:p>
      <w:pPr>
        <w:spacing w:after="0" w:before="80"/>
      </w:pPr>
      <w:r>
        <w:t xml:space="preserve"/>
      </w:r>
    </w:p>
    <w:p>
      <w:pPr>
        <w:spacing w:after="80" w:before="80"/>
        <w:jc w:val="both"/>
      </w:pPr>
      <w:r>
        <w:rPr>
          <w:rFonts w:ascii="Arial" w:cs="Arial" w:eastAsia="Arial" w:hAnsi="Arial"/>
          <w:color w:val="404040"/>
          <w:sz w:val="22"/>
          <w:szCs w:val="22"/>
        </w:rPr>
        <w:t xml:space="preserve">The short answer is: yes, use PostgreSQL locally — but use it deliberately and transition to the cloud at the right moment.</w:t>
      </w:r>
    </w:p>
    <w:p>
      <w:pPr>
        <w:spacing w:after="0" w:before="120"/>
      </w:pPr>
      <w:r>
        <w:t xml:space="preserve"/>
      </w:r>
    </w:p>
    <w:p>
      <w:pPr>
        <w:pStyle w:val="Heading3"/>
        <w:spacing w:after="100" w:before="240"/>
      </w:pPr>
      <w:r>
        <w:rPr>
          <w:rFonts w:ascii="Arial" w:cs="Arial" w:eastAsia="Arial" w:hAnsi="Arial"/>
          <w:b/>
          <w:bCs/>
          <w:color w:val="404040"/>
          <w:sz w:val="24"/>
          <w:szCs w:val="24"/>
        </w:rPr>
        <w:t xml:space="preserve">Why local Postgres is genuinely useful</w:t>
      </w:r>
    </w:p>
    <w:p>
      <w:pPr>
        <w:spacing w:after="80" w:before="80"/>
        <w:jc w:val="both"/>
      </w:pPr>
      <w:r>
        <w:rPr>
          <w:rFonts w:ascii="Arial" w:cs="Arial" w:eastAsia="Arial" w:hAnsi="Arial"/>
          <w:color w:val="404040"/>
          <w:sz w:val="22"/>
          <w:szCs w:val="22"/>
        </w:rPr>
        <w:t xml:space="preserve">PostgreSQL gives you a fast, free, and forgiving environment to make your early mistakes. Cloud services cost money when you run bad queries repeatedly, have latency that slows down tight iteration loops, and require networking and permissions to be configured correctly before you can do anything at all. When you are still figuring out your data model, Postgres removes all of that friction.</w:t>
      </w:r>
    </w:p>
    <w:p>
      <w:pPr>
        <w:spacing w:after="0" w:before="80"/>
      </w:pPr>
      <w:r>
        <w:t xml:space="preserve"/>
      </w:r>
    </w:p>
    <w:p>
      <w:pPr>
        <w:spacing w:after="80" w:before="80"/>
        <w:jc w:val="both"/>
      </w:pPr>
      <w:r>
        <w:rPr>
          <w:rFonts w:ascii="Arial" w:cs="Arial" w:eastAsia="Arial" w:hAnsi="Arial"/>
          <w:color w:val="404040"/>
          <w:sz w:val="22"/>
          <w:szCs w:val="22"/>
        </w:rPr>
        <w:t xml:space="preserve">More importantly, dbt — the transformation layer at the heart of this platform — runs identically against Postgres and BigQuery. The SQL dialect differences are small and well-documented. This means you can develop and test every single model locally, run dbt test, iterate quickly, and then point the same project at BigQuery when you are ready for production.</w:t>
      </w:r>
    </w:p>
    <w:p>
      <w:pPr>
        <w:spacing w:after="0" w:before="120"/>
      </w:pPr>
      <w:r>
        <w:t xml:space="preserve"/>
      </w:r>
    </w:p>
    <w:p>
      <w:pPr>
        <w:pStyle w:val="Heading3"/>
        <w:spacing w:after="100" w:before="240"/>
      </w:pPr>
      <w:r>
        <w:rPr>
          <w:rFonts w:ascii="Arial" w:cs="Arial" w:eastAsia="Arial" w:hAnsi="Arial"/>
          <w:b/>
          <w:bCs/>
          <w:color w:val="404040"/>
          <w:sz w:val="24"/>
          <w:szCs w:val="24"/>
        </w:rPr>
        <w:t xml:space="preserve">Why you cannot stay on Postgres forever</w:t>
      </w:r>
    </w:p>
    <w:p>
      <w:pPr>
        <w:spacing w:after="80" w:before="80"/>
        <w:jc w:val="both"/>
      </w:pPr>
      <w:r>
        <w:rPr>
          <w:rFonts w:ascii="Arial" w:cs="Arial" w:eastAsia="Arial" w:hAnsi="Arial"/>
          <w:color w:val="404040"/>
          <w:sz w:val="22"/>
          <w:szCs w:val="22"/>
        </w:rPr>
        <w:t xml:space="preserve">PostgreSQL cannot simulate GCS, it cannot simulate BigQuery's external tables or partitioning behaviour, and it has no equivalent to BigQuery's query execution model. The moment your pipeline involves moving data between GCS and BigQuery, running scheduled loads, or using Prefect to orchestrate cloud resources, Postgres is no longer the right test bed. It also cannot replicate BigQuery's column-level access controls, which matter if you ever take this to a real production context.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The recommended split</w:t>
            </w:r>
          </w:p>
          <w:p>
            <w:pPr>
              <w:spacing w:after="0" w:before="0"/>
              <w:jc w:val="both"/>
            </w:pPr>
            <w:r>
              <w:rPr>
                <w:rFonts w:ascii="Arial" w:cs="Arial" w:eastAsia="Arial" w:hAnsi="Arial"/>
                <w:color w:val="404040"/>
                <w:sz w:val="20"/>
                <w:szCs w:val="20"/>
              </w:rPr>
              <w:t xml:space="preserve">Use PostgreSQL for Phases 1 through 3 — project setup, data modelling, and dbt development. Transition to Google Cloud for Phase 4 onwards — GCS ingestion, BigQuery loading, Prefect orchestration, and Power BI. This gives you fast iteration early and real production experience where it counts.</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1.2  Mindset before you begin</w:t>
      </w:r>
    </w:p>
    <w:p>
      <w:pPr>
        <w:spacing w:after="80" w:before="80"/>
        <w:jc w:val="both"/>
      </w:pPr>
      <w:r>
        <w:rPr>
          <w:rFonts w:ascii="Arial" w:cs="Arial" w:eastAsia="Arial" w:hAnsi="Arial"/>
          <w:color w:val="404040"/>
          <w:sz w:val="22"/>
          <w:szCs w:val="22"/>
        </w:rPr>
        <w:t xml:space="preserve">This is not a data analysis project. You are not trying to find the best shooter in the 2015-16 season. You are building the system through which analysis becomes possible — and building it in a way that scales to ten seasons, one hundred tables, and a team of five engineers.</w:t>
      </w:r>
    </w:p>
    <w:p>
      <w:pPr>
        <w:spacing w:after="0" w:before="80"/>
      </w:pPr>
      <w:r>
        <w:t xml:space="preserve"/>
      </w:r>
    </w:p>
    <w:p>
      <w:pPr>
        <w:spacing w:after="80" w:before="80"/>
        <w:jc w:val="both"/>
      </w:pPr>
      <w:r>
        <w:rPr>
          <w:rFonts w:ascii="Arial" w:cs="Arial" w:eastAsia="Arial" w:hAnsi="Arial"/>
          <w:color w:val="404040"/>
          <w:sz w:val="22"/>
          <w:szCs w:val="22"/>
        </w:rPr>
        <w:t xml:space="preserve">Every decision you make should be answerable with 'because that is how it would be done in a real company.' If it would not survive a code review at a mid-size tech company, reconsider it.</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2. Prerequisites and Environment Setup</w:t>
      </w:r>
    </w:p>
    <w:p>
      <w:pPr>
        <w:spacing w:after="80" w:before="80"/>
        <w:jc w:val="both"/>
      </w:pPr>
      <w:r>
        <w:rPr>
          <w:rFonts w:ascii="Arial" w:cs="Arial" w:eastAsia="Arial" w:hAnsi="Arial"/>
          <w:color w:val="404040"/>
          <w:sz w:val="22"/>
          <w:szCs w:val="22"/>
        </w:rPr>
        <w:t xml:space="preserve">Before writing any pipeline code, your local environment must be properly configured. This is unglamorous work, but a misconfigured environment will cost you hours of debugging later.</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2.1  Accounts and access</w:t>
      </w:r>
    </w:p>
    <w:p>
      <w:pPr>
        <w:spacing w:after="80" w:before="80"/>
        <w:jc w:val="both"/>
      </w:pPr>
      <w:r>
        <w:rPr>
          <w:rFonts w:ascii="Arial" w:cs="Arial" w:eastAsia="Arial" w:hAnsi="Arial"/>
          <w:color w:val="404040"/>
          <w:sz w:val="22"/>
          <w:szCs w:val="22"/>
        </w:rPr>
        <w:t xml:space="preserve">You will need the following accounts and credentials in place before Phase 1 begins. Get them set up now so they are not blockers mid-build.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Requirement</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Google Cloud account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Free tier is sufficient for this project. Create a dedicated project for the platform — do not mix it with other GCP work.</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GCS bucket</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Create one bucket with three top-level prefixes: raw/, staging/, and processed/. Enable versioning.</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BigQuery dataset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Create three datasets: nba_raw, nba_staging, and nba_marts. Separate datasets enforce layer separation.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Service account</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Create a service account with roles for Storage Object Admin and BigQuery Data Editor. Download the JSON key. Never commit this file to git.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GitHub repository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Create a private repo for the project. Structure it with ingestion/, dbt/, orchestration/, and docs/ folders from the start.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dbt Cloud or dbt Core</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dbt Core (CLI) is free and sufficient. dbt Cloud adds a UI and scheduling but is optional — Prefect handles scheduling in this stack.</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Prefect Cloud account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The free tier supports this project. Alternatively, run Prefect server locally during development.</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2.2  Local tooling</w:t>
      </w:r>
    </w:p>
    <w:p>
      <w:pPr>
        <w:spacing w:after="80" w:before="80"/>
        <w:jc w:val="both"/>
      </w:pPr>
      <w:r>
        <w:rPr>
          <w:rFonts w:ascii="Arial" w:cs="Arial" w:eastAsia="Arial" w:hAnsi="Arial"/>
          <w:color w:val="404040"/>
          <w:sz w:val="22"/>
          <w:szCs w:val="22"/>
        </w:rPr>
        <w:t xml:space="preserve">Install and verify each of the following before moving forward. A clean, reproducible local environment is the foundation of a maintainable project.</w:t>
      </w:r>
    </w:p>
    <w:p>
      <w:pPr>
        <w:spacing w:after="0" w:before="80"/>
      </w:pPr>
      <w:r>
        <w:t xml:space="preserve"/>
      </w:r>
    </w:p>
    <w:p>
      <w:pPr>
        <w:pStyle w:val="ListParagraph"/>
        <w:numPr>
          <w:ilvl w:val="0"/>
          <w:numId w:val="2"/>
        </w:numPr>
        <w:spacing w:after="60" w:before="60"/>
      </w:pPr>
      <w:r>
        <w:rPr>
          <w:rFonts w:ascii="Arial" w:cs="Arial" w:eastAsia="Arial" w:hAnsi="Arial"/>
          <w:color w:val="404040"/>
          <w:sz w:val="22"/>
          <w:szCs w:val="22"/>
        </w:rPr>
        <w:t xml:space="preserve">Python 3.11 or later with a dedicated virtual environment for this project</w:t>
      </w:r>
    </w:p>
    <w:p>
      <w:pPr>
        <w:pStyle w:val="ListParagraph"/>
        <w:numPr>
          <w:ilvl w:val="0"/>
          <w:numId w:val="2"/>
        </w:numPr>
        <w:spacing w:after="60" w:before="60"/>
      </w:pPr>
      <w:r>
        <w:rPr>
          <w:rFonts w:ascii="Arial" w:cs="Arial" w:eastAsia="Arial" w:hAnsi="Arial"/>
          <w:color w:val="404040"/>
          <w:sz w:val="22"/>
          <w:szCs w:val="22"/>
        </w:rPr>
        <w:t xml:space="preserve">PostgreSQL 15 or later for local dbt development</w:t>
      </w:r>
    </w:p>
    <w:p>
      <w:pPr>
        <w:pStyle w:val="ListParagraph"/>
        <w:numPr>
          <w:ilvl w:val="0"/>
          <w:numId w:val="2"/>
        </w:numPr>
        <w:spacing w:after="60" w:before="60"/>
      </w:pPr>
      <w:r>
        <w:rPr>
          <w:rFonts w:ascii="Arial" w:cs="Arial" w:eastAsia="Arial" w:hAnsi="Arial"/>
          <w:color w:val="404040"/>
          <w:sz w:val="22"/>
          <w:szCs w:val="22"/>
        </w:rPr>
        <w:t xml:space="preserve">dbt Core with the dbt-postgres adapter installed for local work</w:t>
      </w:r>
    </w:p>
    <w:p>
      <w:pPr>
        <w:pStyle w:val="ListParagraph"/>
        <w:numPr>
          <w:ilvl w:val="0"/>
          <w:numId w:val="2"/>
        </w:numPr>
        <w:spacing w:after="60" w:before="60"/>
      </w:pPr>
      <w:r>
        <w:rPr>
          <w:rFonts w:ascii="Arial" w:cs="Arial" w:eastAsia="Arial" w:hAnsi="Arial"/>
          <w:color w:val="404040"/>
          <w:sz w:val="22"/>
          <w:szCs w:val="22"/>
        </w:rPr>
        <w:t xml:space="preserve">dbt-bigquery adapter installed and configured for cloud deployment</w:t>
      </w:r>
    </w:p>
    <w:p>
      <w:pPr>
        <w:pStyle w:val="ListParagraph"/>
        <w:numPr>
          <w:ilvl w:val="0"/>
          <w:numId w:val="2"/>
        </w:numPr>
        <w:spacing w:after="60" w:before="60"/>
      </w:pPr>
      <w:r>
        <w:rPr>
          <w:rFonts w:ascii="Arial" w:cs="Arial" w:eastAsia="Arial" w:hAnsi="Arial"/>
          <w:color w:val="404040"/>
          <w:sz w:val="22"/>
          <w:szCs w:val="22"/>
        </w:rPr>
        <w:t xml:space="preserve">The Google Cloud SDK (gcloud CLI) authenticated with your service account</w:t>
      </w:r>
    </w:p>
    <w:p>
      <w:pPr>
        <w:pStyle w:val="ListParagraph"/>
        <w:numPr>
          <w:ilvl w:val="0"/>
          <w:numId w:val="2"/>
        </w:numPr>
        <w:spacing w:after="60" w:before="60"/>
      </w:pPr>
      <w:r>
        <w:rPr>
          <w:rFonts w:ascii="Arial" w:cs="Arial" w:eastAsia="Arial" w:hAnsi="Arial"/>
          <w:color w:val="404040"/>
          <w:sz w:val="22"/>
          <w:szCs w:val="22"/>
        </w:rPr>
        <w:t xml:space="preserve">Git with a .gitignore that excludes credentials, .env files, and dbt target directories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Important: environment variables</w:t>
            </w:r>
          </w:p>
          <w:p>
            <w:pPr>
              <w:spacing w:after="0" w:before="0"/>
              <w:jc w:val="both"/>
            </w:pPr>
            <w:r>
              <w:rPr>
                <w:rFonts w:ascii="Arial" w:cs="Arial" w:eastAsia="Arial" w:hAnsi="Arial"/>
                <w:color w:val="404040"/>
                <w:sz w:val="20"/>
                <w:szCs w:val="20"/>
              </w:rPr>
              <w:t xml:space="preserve">Never hardcode credentials, project IDs, or bucket names in your code. Use environment variables loaded from a .env file that is listed in .gitignore. This is non-negotiable in production engineering and should be your habit from day one.</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2.3  Project folder structure</w:t>
      </w:r>
    </w:p>
    <w:p>
      <w:pPr>
        <w:spacing w:after="80" w:before="80"/>
        <w:jc w:val="both"/>
      </w:pPr>
      <w:r>
        <w:rPr>
          <w:rFonts w:ascii="Arial" w:cs="Arial" w:eastAsia="Arial" w:hAnsi="Arial"/>
          <w:color w:val="404040"/>
          <w:sz w:val="22"/>
          <w:szCs w:val="22"/>
        </w:rPr>
        <w:t xml:space="preserve">Establish this folder structure before writing any code. Changing a project structure mid-build is painful and creates broken imports. The structure below maps directly to the architectural layers of the platform.</w:t>
      </w:r>
    </w:p>
    <w:p>
      <w:pPr>
        <w:spacing w:after="0" w:before="80"/>
      </w:pPr>
      <w:r>
        <w:t xml:space="preserve"/>
      </w:r>
    </w:p>
    <w:p>
      <w:pPr>
        <w:spacing w:after="80" w:before="80"/>
        <w:jc w:val="both"/>
      </w:pPr>
      <w:r>
        <w:rPr>
          <w:rFonts w:ascii="Arial" w:cs="Arial" w:eastAsia="Arial" w:hAnsi="Arial"/>
          <w:color w:val="404040"/>
          <w:sz w:val="22"/>
          <w:szCs w:val="22"/>
        </w:rPr>
        <w:t xml:space="preserve">At the root level you should have: ingestion/ for Python extraction and upload scripts, dbt/ containing your entire dbt project, orchestration/ for Prefect flow definitions, data/ for local copies of raw files (gitignored), docs/ for architecture diagrams and decision logs, and a requirements.txt with pinned dependency versions.</w:t>
      </w:r>
    </w:p>
    <w:p>
      <w:pPr>
        <w:spacing w:after="0" w:before="80"/>
      </w:pPr>
      <w:r>
        <w:t xml:space="preserve"/>
      </w:r>
    </w:p>
    <w:p>
      <w:pPr>
        <w:spacing w:after="80" w:before="80"/>
        <w:jc w:val="both"/>
      </w:pPr>
      <w:r>
        <w:rPr>
          <w:rFonts w:ascii="Arial" w:cs="Arial" w:eastAsia="Arial" w:hAnsi="Arial"/>
          <w:color w:val="404040"/>
          <w:sz w:val="22"/>
          <w:szCs w:val="22"/>
        </w:rPr>
        <w:t xml:space="preserve">Inside the dbt/ directory, follow dbt's standard layout: models/staging/, models/intermediate/, models/marts/, tests/, macros/, and seeds/ for small reference tables. This structure is not arbitrary — it communicates the data flow to anyone reading the project.</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3. Phase 1 — Data Profiling and Modelling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1</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Understand your data before you build anything</w:t>
            </w:r>
          </w:p>
        </w:tc>
      </w:tr>
    </w:tbl>
    <w:p>
      <w:pPr>
        <w:spacing w:after="0" w:before="120"/>
      </w:pPr>
      <w:r>
        <w:t xml:space="preserve"/>
      </w:r>
    </w:p>
    <w:p>
      <w:pPr>
        <w:spacing w:after="80" w:before="80"/>
        <w:jc w:val="both"/>
      </w:pPr>
      <w:r>
        <w:rPr>
          <w:rFonts w:ascii="Arial" w:cs="Arial" w:eastAsia="Arial" w:hAnsi="Arial"/>
          <w:color w:val="404040"/>
          <w:sz w:val="22"/>
          <w:szCs w:val="22"/>
        </w:rPr>
        <w:t xml:space="preserve">The most common mistake in data engineering projects is jumping straight to building pipelines before fully understanding the source data. Every hour spent profiling now saves three hours of pipeline debugging later.</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3.1  Profile the source dataset</w:t>
      </w:r>
    </w:p>
    <w:p>
      <w:pPr>
        <w:spacing w:after="80" w:before="80"/>
        <w:jc w:val="both"/>
      </w:pPr>
      <w:r>
        <w:rPr>
          <w:rFonts w:ascii="Arial" w:cs="Arial" w:eastAsia="Arial" w:hAnsi="Arial"/>
          <w:color w:val="404040"/>
          <w:sz w:val="22"/>
          <w:szCs w:val="22"/>
        </w:rPr>
        <w:t xml:space="preserve">Load the player_logs_2015-16.csv file into your local Postgres database and spend meaningful time understanding it before designing any models. The questions you are trying to answer at this stage are structural, not analytical.</w:t>
      </w:r>
    </w:p>
    <w:p>
      <w:pPr>
        <w:spacing w:after="0" w:before="80"/>
      </w:pPr>
      <w:r>
        <w:t xml:space="preserve"/>
      </w:r>
    </w:p>
    <w:p>
      <w:pPr>
        <w:spacing w:after="80" w:before="80"/>
        <w:jc w:val="both"/>
      </w:pPr>
      <w:r>
        <w:rPr>
          <w:rFonts w:ascii="Arial" w:cs="Arial" w:eastAsia="Arial" w:hAnsi="Arial"/>
          <w:color w:val="404040"/>
          <w:sz w:val="22"/>
          <w:szCs w:val="22"/>
        </w:rPr>
        <w:t xml:space="preserve">You should be able to answer all of the following before moving on to model design. Work through them manually — do not look up the answers.</w:t>
      </w:r>
    </w:p>
    <w:p>
      <w:pPr>
        <w:spacing w:after="0" w:before="80"/>
      </w:pPr>
      <w:r>
        <w:t xml:space="preserve"/>
      </w:r>
    </w:p>
    <w:p>
      <w:pPr>
        <w:pStyle w:val="ListParagraph"/>
        <w:numPr>
          <w:ilvl w:val="0"/>
          <w:numId w:val="3"/>
        </w:numPr>
        <w:spacing w:after="60" w:before="60"/>
      </w:pPr>
      <w:r>
        <w:rPr>
          <w:rFonts w:ascii="Arial" w:cs="Arial" w:eastAsia="Arial" w:hAnsi="Arial"/>
          <w:color w:val="404040"/>
          <w:sz w:val="22"/>
          <w:szCs w:val="22"/>
        </w:rPr>
        <w:t xml:space="preserve">What is the grain of this table? Can you prove it with a query?</w:t>
      </w:r>
    </w:p>
    <w:p>
      <w:pPr>
        <w:pStyle w:val="ListParagraph"/>
        <w:numPr>
          <w:ilvl w:val="0"/>
          <w:numId w:val="3"/>
        </w:numPr>
        <w:spacing w:after="60" w:before="60"/>
      </w:pPr>
      <w:r>
        <w:rPr>
          <w:rFonts w:ascii="Arial" w:cs="Arial" w:eastAsia="Arial" w:hAnsi="Arial"/>
          <w:color w:val="404040"/>
          <w:sz w:val="22"/>
          <w:szCs w:val="22"/>
        </w:rPr>
        <w:t xml:space="preserve">Which columns have null values and why? Are those nulls expected or data quality issues?</w:t>
      </w:r>
    </w:p>
    <w:p>
      <w:pPr>
        <w:pStyle w:val="ListParagraph"/>
        <w:numPr>
          <w:ilvl w:val="0"/>
          <w:numId w:val="3"/>
        </w:numPr>
        <w:spacing w:after="60" w:before="60"/>
      </w:pPr>
      <w:r>
        <w:rPr>
          <w:rFonts w:ascii="Arial" w:cs="Arial" w:eastAsia="Arial" w:hAnsi="Arial"/>
          <w:color w:val="404040"/>
          <w:sz w:val="22"/>
          <w:szCs w:val="22"/>
        </w:rPr>
        <w:t xml:space="preserve">What does the MATCHUP column encode and how would you parse home vs. away from it?</w:t>
      </w:r>
    </w:p>
    <w:p>
      <w:pPr>
        <w:pStyle w:val="ListParagraph"/>
        <w:numPr>
          <w:ilvl w:val="0"/>
          <w:numId w:val="3"/>
        </w:numPr>
        <w:spacing w:after="60" w:before="60"/>
      </w:pPr>
      <w:r>
        <w:rPr>
          <w:rFonts w:ascii="Arial" w:cs="Arial" w:eastAsia="Arial" w:hAnsi="Arial"/>
          <w:color w:val="404040"/>
          <w:sz w:val="22"/>
          <w:szCs w:val="22"/>
        </w:rPr>
        <w:t xml:space="preserve">Is the WL column a player-level or game-level attribute? What are the implications for your fact table design?</w:t>
      </w:r>
    </w:p>
    <w:p>
      <w:pPr>
        <w:pStyle w:val="ListParagraph"/>
        <w:numPr>
          <w:ilvl w:val="0"/>
          <w:numId w:val="3"/>
        </w:numPr>
        <w:spacing w:after="60" w:before="60"/>
      </w:pPr>
      <w:r>
        <w:rPr>
          <w:rFonts w:ascii="Arial" w:cs="Arial" w:eastAsia="Arial" w:hAnsi="Arial"/>
          <w:color w:val="404040"/>
          <w:sz w:val="22"/>
          <w:szCs w:val="22"/>
        </w:rPr>
        <w:t xml:space="preserve">Are SEASON_ID and SEASON_LABEL redundant? Which one should you keep in the warehouse?</w:t>
      </w:r>
    </w:p>
    <w:p>
      <w:pPr>
        <w:pStyle w:val="ListParagraph"/>
        <w:numPr>
          <w:ilvl w:val="0"/>
          <w:numId w:val="3"/>
        </w:numPr>
        <w:spacing w:after="60" w:before="60"/>
      </w:pPr>
      <w:r>
        <w:rPr>
          <w:rFonts w:ascii="Arial" w:cs="Arial" w:eastAsia="Arial" w:hAnsi="Arial"/>
          <w:color w:val="404040"/>
          <w:sz w:val="22"/>
          <w:szCs w:val="22"/>
        </w:rPr>
        <w:t xml:space="preserve">What derived columns would be useful that are not in the raw data — for example, effective field goal percentage or true shooting percentage?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Key insight on grain</w:t>
            </w:r>
          </w:p>
          <w:p>
            <w:pPr>
              <w:spacing w:after="0" w:before="0"/>
              <w:jc w:val="both"/>
            </w:pPr>
            <w:r>
              <w:rPr>
                <w:rFonts w:ascii="Arial" w:cs="Arial" w:eastAsia="Arial" w:hAnsi="Arial"/>
                <w:color w:val="404040"/>
                <w:sz w:val="20"/>
                <w:szCs w:val="20"/>
              </w:rPr>
              <w:t xml:space="preserve">The grain of this dataset is one row per player per game. This is the grain of fact_player_game_stats in your mart layer. A separate fact_games table should be derived from this by aggregating to the game level — it is not a separate source file.</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3.2  Design your star schema on paper</w:t>
      </w:r>
    </w:p>
    <w:p>
      <w:pPr>
        <w:spacing w:after="80" w:before="80"/>
        <w:jc w:val="both"/>
      </w:pPr>
      <w:r>
        <w:rPr>
          <w:rFonts w:ascii="Arial" w:cs="Arial" w:eastAsia="Arial" w:hAnsi="Arial"/>
          <w:color w:val="404040"/>
          <w:sz w:val="22"/>
          <w:szCs w:val="22"/>
        </w:rPr>
        <w:t xml:space="preserve">Before writing any dbt SQL, draw your star schema. This can be done on paper, in a whiteboard tool, or in any diagramming application. The act of drawing forces clarity.</w:t>
      </w:r>
    </w:p>
    <w:p>
      <w:pPr>
        <w:spacing w:after="0" w:before="80"/>
      </w:pPr>
      <w:r>
        <w:t xml:space="preserve"/>
      </w:r>
    </w:p>
    <w:p>
      <w:pPr>
        <w:spacing w:after="80" w:before="80"/>
        <w:jc w:val="both"/>
      </w:pPr>
      <w:r>
        <w:rPr>
          <w:rFonts w:ascii="Arial" w:cs="Arial" w:eastAsia="Arial" w:hAnsi="Arial"/>
          <w:color w:val="404040"/>
          <w:sz w:val="22"/>
          <w:szCs w:val="22"/>
        </w:rPr>
        <w:t xml:space="preserve">Your schema should contain the following tables. For each one, define the grain precisely, list every column, and note the primary key and any foreign keys.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Table</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Grain and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fact_player_game_stats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One row per player per game. The central fact table. Contains all counting stats, shooting percentages, and performance metrics. Foreign keys to dim_players, dim_teams, and dim_seasons.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fact_games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One row per game. Derived by aggregating fact_player_game_stats. Contains team-level totals, game outcome, home and away team identifiers. Foreign keys to dim_teams and dim_seasons.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dim_players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One row per player. Contains player_id and player_name. Simple in this dataset — can be extended with biographical data later.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dim_teams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One row per team. Contains team_id, team_abbreviation, and team_name. Thirty rows for the 2015-16 season.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dim_seasons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One row per season. Contains season_id, season_label, season start date, and season end date. Enables multi-season analysis when you add future years.</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3.3  Define your surrogate keys</w:t>
      </w:r>
    </w:p>
    <w:p>
      <w:pPr>
        <w:spacing w:after="80" w:before="80"/>
        <w:jc w:val="both"/>
      </w:pPr>
      <w:r>
        <w:rPr>
          <w:rFonts w:ascii="Arial" w:cs="Arial" w:eastAsia="Arial" w:hAnsi="Arial"/>
          <w:color w:val="404040"/>
          <w:sz w:val="22"/>
          <w:szCs w:val="22"/>
        </w:rPr>
        <w:t xml:space="preserve">Every fact table row needs a surrogate key — a single-column unique identifier generated by hashing the natural key columns. This is a standard data warehousing pattern that decouples your warehouse from source system key changes.</w:t>
      </w:r>
    </w:p>
    <w:p>
      <w:pPr>
        <w:spacing w:after="0" w:before="80"/>
      </w:pPr>
      <w:r>
        <w:t xml:space="preserve"/>
      </w:r>
    </w:p>
    <w:p>
      <w:pPr>
        <w:spacing w:after="80" w:before="80"/>
        <w:jc w:val="both"/>
      </w:pPr>
      <w:r>
        <w:rPr>
          <w:rFonts w:ascii="Arial" w:cs="Arial" w:eastAsia="Arial" w:hAnsi="Arial"/>
          <w:color w:val="404040"/>
          <w:sz w:val="22"/>
          <w:szCs w:val="22"/>
        </w:rPr>
        <w:t xml:space="preserve">For fact_player_game_stats, the surrogate key is derived from game_id and player_id. For fact_games, it is derived from game_id alone. Use dbt's generate_surrogate_key macro rather than creating your own hashing logic — this ensures consistency across all models and future engineers will recognise the pattern immediately.</w:t>
      </w:r>
    </w:p>
    <w:p>
      <w:pPr>
        <w:spacing w:after="0" w:before="80"/>
      </w:pPr>
      <w:r>
        <w:t xml:space="preserve"/>
      </w:r>
    </w:p>
    <w:p>
      <w:pPr>
        <w:spacing w:after="80" w:before="80"/>
        <w:jc w:val="both"/>
      </w:pPr>
      <w:r>
        <w:rPr>
          <w:rFonts w:ascii="Arial" w:cs="Arial" w:eastAsia="Arial" w:hAnsi="Arial"/>
          <w:color w:val="404040"/>
          <w:sz w:val="22"/>
          <w:szCs w:val="22"/>
        </w:rPr>
        <w:t xml:space="preserve">Dimension tables use their natural keys as primary keys in this project. player_id, team_id, and season_id are stable identifiers from the NBA data source and do not require surrogate key treatment unless you later implement Slowly Changing Dimension logic.</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4. Phase 2 — Local dbt Development on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2</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Build and test all transformations locally before touching the cloud</w:t>
            </w:r>
          </w:p>
        </w:tc>
      </w:tr>
    </w:tbl>
    <w:p>
      <w:pPr>
        <w:spacing w:after="0" w:before="120"/>
      </w:pPr>
      <w:r>
        <w:t xml:space="preserve"/>
      </w:r>
    </w:p>
    <w:p>
      <w:pPr>
        <w:spacing w:after="80" w:before="80"/>
        <w:jc w:val="both"/>
      </w:pPr>
      <w:r>
        <w:rPr>
          <w:rFonts w:ascii="Arial" w:cs="Arial" w:eastAsia="Arial" w:hAnsi="Arial"/>
          <w:color w:val="404040"/>
          <w:sz w:val="22"/>
          <w:szCs w:val="22"/>
        </w:rPr>
        <w:t xml:space="preserve">With your schema designed and your source data understood, you are ready to build the transformation layer. This entire phase takes place locally against PostgreSQL. You will not touch Google Cloud until Phase 4.</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4.1  Configure your dbt project</w:t>
      </w:r>
    </w:p>
    <w:p>
      <w:pPr>
        <w:spacing w:after="80" w:before="80"/>
        <w:jc w:val="both"/>
      </w:pPr>
      <w:r>
        <w:rPr>
          <w:rFonts w:ascii="Arial" w:cs="Arial" w:eastAsia="Arial" w:hAnsi="Arial"/>
          <w:color w:val="404040"/>
          <w:sz w:val="22"/>
          <w:szCs w:val="22"/>
        </w:rPr>
        <w:t xml:space="preserve">Initialise a new dbt project inside the dbt/ directory of your repository. Configure your profiles.yml to point at your local Postgres database for the dev target. You will add a prod target pointing to BigQuery later.</w:t>
      </w:r>
    </w:p>
    <w:p>
      <w:pPr>
        <w:spacing w:after="0" w:before="80"/>
      </w:pPr>
      <w:r>
        <w:t xml:space="preserve"/>
      </w:r>
    </w:p>
    <w:p>
      <w:pPr>
        <w:spacing w:after="80" w:before="80"/>
        <w:jc w:val="both"/>
      </w:pPr>
      <w:r>
        <w:rPr>
          <w:rFonts w:ascii="Arial" w:cs="Arial" w:eastAsia="Arial" w:hAnsi="Arial"/>
          <w:color w:val="404040"/>
          <w:sz w:val="22"/>
          <w:szCs w:val="22"/>
        </w:rPr>
        <w:t xml:space="preserve">Set up your dbt_project.yml to define materialisation defaults for each layer. As a starting point: staging models should be views (they are just cleaning wrappers over raw data and do not need to be materialised as tables), intermediate models can be views or ephemeral, and mart models should be tables. This can be overridden at the model level when needed.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Materialisation principle</w:t>
            </w:r>
          </w:p>
          <w:p>
            <w:pPr>
              <w:spacing w:after="0" w:before="0"/>
              <w:jc w:val="both"/>
            </w:pPr>
            <w:r>
              <w:rPr>
                <w:rFonts w:ascii="Arial" w:cs="Arial" w:eastAsia="Arial" w:hAnsi="Arial"/>
                <w:color w:val="404040"/>
                <w:sz w:val="20"/>
                <w:szCs w:val="20"/>
              </w:rPr>
              <w:t xml:space="preserve">Views in the staging layer mean every query against a mart table re-runs the staging logic. This is fine for moderate data volumes. For large datasets you would materialise staging as tables and use incremental materialisation strategies. For this project, views are appropriate — but understand why you are making that choice.</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4.2  Build staging models</w:t>
      </w:r>
    </w:p>
    <w:p>
      <w:pPr>
        <w:spacing w:after="80" w:before="80"/>
        <w:jc w:val="both"/>
      </w:pPr>
      <w:r>
        <w:rPr>
          <w:rFonts w:ascii="Arial" w:cs="Arial" w:eastAsia="Arial" w:hAnsi="Arial"/>
          <w:color w:val="404040"/>
          <w:sz w:val="22"/>
          <w:szCs w:val="22"/>
        </w:rPr>
        <w:t xml:space="preserve">Staging models are the first transformation layer. Their job is narrow and specific: rename columns to snake_case, cast data types correctly, handle null values with appropriate logic, and add simple derived columns. Staging models should never join to other tables.</w:t>
      </w:r>
    </w:p>
    <w:p>
      <w:pPr>
        <w:spacing w:after="0" w:before="80"/>
      </w:pPr>
      <w:r>
        <w:t xml:space="preserve"/>
      </w:r>
    </w:p>
    <w:p>
      <w:pPr>
        <w:spacing w:after="80" w:before="80"/>
        <w:jc w:val="both"/>
      </w:pPr>
      <w:r>
        <w:rPr>
          <w:rFonts w:ascii="Arial" w:cs="Arial" w:eastAsia="Arial" w:hAnsi="Arial"/>
          <w:color w:val="404040"/>
          <w:sz w:val="22"/>
          <w:szCs w:val="22"/>
        </w:rPr>
        <w:t xml:space="preserve">Write one staging model for the player game logs source. As you build it, work through each column methodically.</w:t>
      </w:r>
    </w:p>
    <w:p>
      <w:pPr>
        <w:spacing w:after="0" w:before="80"/>
      </w:pPr>
      <w:r>
        <w:t xml:space="preserve"/>
      </w:r>
    </w:p>
    <w:p>
      <w:pPr>
        <w:pStyle w:val="ListParagraph"/>
        <w:numPr>
          <w:ilvl w:val="0"/>
          <w:numId w:val="2"/>
        </w:numPr>
        <w:spacing w:after="60" w:before="60"/>
      </w:pPr>
      <w:r>
        <w:rPr>
          <w:rFonts w:ascii="Arial" w:cs="Arial" w:eastAsia="Arial" w:hAnsi="Arial"/>
          <w:color w:val="404040"/>
          <w:sz w:val="22"/>
          <w:szCs w:val="22"/>
        </w:rPr>
        <w:t xml:space="preserve">Rename all columns from UPPER_CASE to snake_case</w:t>
      </w:r>
    </w:p>
    <w:p>
      <w:pPr>
        <w:pStyle w:val="ListParagraph"/>
        <w:numPr>
          <w:ilvl w:val="0"/>
          <w:numId w:val="2"/>
        </w:numPr>
        <w:spacing w:after="60" w:before="60"/>
      </w:pPr>
      <w:r>
        <w:rPr>
          <w:rFonts w:ascii="Arial" w:cs="Arial" w:eastAsia="Arial" w:hAnsi="Arial"/>
          <w:color w:val="404040"/>
          <w:sz w:val="22"/>
          <w:szCs w:val="22"/>
        </w:rPr>
        <w:t xml:space="preserve">Cast GAME_DATE from a string to a proper date type</w:t>
      </w:r>
    </w:p>
    <w:p>
      <w:pPr>
        <w:pStyle w:val="ListParagraph"/>
        <w:numPr>
          <w:ilvl w:val="0"/>
          <w:numId w:val="2"/>
        </w:numPr>
        <w:spacing w:after="60" w:before="60"/>
      </w:pPr>
      <w:r>
        <w:rPr>
          <w:rFonts w:ascii="Arial" w:cs="Arial" w:eastAsia="Arial" w:hAnsi="Arial"/>
          <w:color w:val="404040"/>
          <w:sz w:val="22"/>
          <w:szCs w:val="22"/>
        </w:rPr>
        <w:t xml:space="preserve">Parse the MATCHUP column to derive an is_home boolean</w:t>
      </w:r>
    </w:p>
    <w:p>
      <w:pPr>
        <w:pStyle w:val="ListParagraph"/>
        <w:numPr>
          <w:ilvl w:val="0"/>
          <w:numId w:val="2"/>
        </w:numPr>
        <w:spacing w:after="60" w:before="60"/>
      </w:pPr>
      <w:r>
        <w:rPr>
          <w:rFonts w:ascii="Arial" w:cs="Arial" w:eastAsia="Arial" w:hAnsi="Arial"/>
          <w:color w:val="404040"/>
          <w:sz w:val="22"/>
          <w:szCs w:val="22"/>
        </w:rPr>
        <w:t xml:space="preserve">Replace raw percentage columns with SAFE_DIVIDE equivalents to handle zero-attempt rows without throwing errors</w:t>
      </w:r>
    </w:p>
    <w:p>
      <w:pPr>
        <w:pStyle w:val="ListParagraph"/>
        <w:numPr>
          <w:ilvl w:val="0"/>
          <w:numId w:val="2"/>
        </w:numPr>
        <w:spacing w:after="60" w:before="60"/>
      </w:pPr>
      <w:r>
        <w:rPr>
          <w:rFonts w:ascii="Arial" w:cs="Arial" w:eastAsia="Arial" w:hAnsi="Arial"/>
          <w:color w:val="404040"/>
          <w:sz w:val="22"/>
          <w:szCs w:val="22"/>
        </w:rPr>
        <w:t xml:space="preserve">Drop SEASON_LABEL as it is redundant with SEASON_ID</w:t>
      </w:r>
    </w:p>
    <w:p>
      <w:pPr>
        <w:pStyle w:val="ListParagraph"/>
        <w:numPr>
          <w:ilvl w:val="0"/>
          <w:numId w:val="2"/>
        </w:numPr>
        <w:spacing w:after="60" w:before="60"/>
      </w:pPr>
      <w:r>
        <w:rPr>
          <w:rFonts w:ascii="Arial" w:cs="Arial" w:eastAsia="Arial" w:hAnsi="Arial"/>
          <w:color w:val="404040"/>
          <w:sz w:val="22"/>
          <w:szCs w:val="22"/>
        </w:rPr>
        <w:t xml:space="preserve">Rename WL to win_loss_flag and keep it, but note in a comment that it will only be forwarded to fact_games, not fact_player_game_stats</w:t>
      </w:r>
    </w:p>
    <w:p>
      <w:pPr>
        <w:spacing w:after="0" w:before="80"/>
      </w:pPr>
      <w:r>
        <w:t xml:space="preserve"/>
      </w:r>
    </w:p>
    <w:p>
      <w:pPr>
        <w:spacing w:after="80" w:before="80"/>
        <w:jc w:val="both"/>
      </w:pPr>
      <w:r>
        <w:rPr>
          <w:rFonts w:ascii="Arial" w:cs="Arial" w:eastAsia="Arial" w:hAnsi="Arial"/>
          <w:color w:val="404040"/>
          <w:sz w:val="22"/>
          <w:szCs w:val="22"/>
        </w:rPr>
        <w:t xml:space="preserve">Once the staging model runs successfully, write a sources.yml file that formally declares the raw table as a dbt source. Add not_null tests on game_id and player_id at minimum. Run dbt test to verify.</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4.3  Build dimension models</w:t>
      </w:r>
    </w:p>
    <w:p>
      <w:pPr>
        <w:spacing w:after="80" w:before="80"/>
        <w:jc w:val="both"/>
      </w:pPr>
      <w:r>
        <w:rPr>
          <w:rFonts w:ascii="Arial" w:cs="Arial" w:eastAsia="Arial" w:hAnsi="Arial"/>
          <w:color w:val="404040"/>
          <w:sz w:val="22"/>
          <w:szCs w:val="22"/>
        </w:rPr>
        <w:t xml:space="preserve">Dimension models are built by selecting distinct values from the staging model. They should be simple at this stage — no complex logic, no joins. Complexity in dimensions usually means the staging layer did not clean the data properly.</w:t>
      </w:r>
    </w:p>
    <w:p>
      <w:pPr>
        <w:spacing w:after="0" w:before="80"/>
      </w:pPr>
      <w:r>
        <w:t xml:space="preserve"/>
      </w:r>
    </w:p>
    <w:p>
      <w:pPr>
        <w:spacing w:after="80" w:before="80"/>
        <w:jc w:val="both"/>
      </w:pPr>
      <w:r>
        <w:rPr>
          <w:rFonts w:ascii="Arial" w:cs="Arial" w:eastAsia="Arial" w:hAnsi="Arial"/>
          <w:color w:val="404040"/>
          <w:sz w:val="22"/>
          <w:szCs w:val="22"/>
        </w:rPr>
        <w:t xml:space="preserve">Build dim_players, dim_teams, and dim_seasons in that order. For dim_seasons, derive season_start_date and season_end_date using window functions over the staging model — MIN and MAX of game_date partitioned by season_id. This avoids hardcoding dates.</w:t>
      </w:r>
    </w:p>
    <w:p>
      <w:pPr>
        <w:spacing w:after="0" w:before="80"/>
      </w:pPr>
      <w:r>
        <w:t xml:space="preserve"/>
      </w:r>
    </w:p>
    <w:p>
      <w:pPr>
        <w:spacing w:after="80" w:before="80"/>
        <w:jc w:val="both"/>
      </w:pPr>
      <w:r>
        <w:rPr>
          <w:rFonts w:ascii="Arial" w:cs="Arial" w:eastAsia="Arial" w:hAnsi="Arial"/>
          <w:color w:val="404040"/>
          <w:sz w:val="22"/>
          <w:szCs w:val="22"/>
        </w:rPr>
        <w:t xml:space="preserve">Add a schema.yml file for your marts layer. Document each model with a description and add column-level tests. At minimum: unique and not_null on every primary key, and not_null on foreign key columns in fact tables.</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4.4  Build fact models</w:t>
      </w:r>
    </w:p>
    <w:p>
      <w:pPr>
        <w:spacing w:after="80" w:before="80"/>
        <w:jc w:val="both"/>
      </w:pPr>
      <w:r>
        <w:rPr>
          <w:rFonts w:ascii="Arial" w:cs="Arial" w:eastAsia="Arial" w:hAnsi="Arial"/>
          <w:color w:val="404040"/>
          <w:sz w:val="22"/>
          <w:szCs w:val="22"/>
        </w:rPr>
        <w:t xml:space="preserve">Fact models join the staging data with dimensions and add surrogate keys. Build fact_player_game_stats first, as it is derived directly from the staging model with joins to the dimension tables. Then build fact_games by aggregating fact_player_game_stats.</w:t>
      </w:r>
    </w:p>
    <w:p>
      <w:pPr>
        <w:spacing w:after="0" w:before="80"/>
      </w:pPr>
      <w:r>
        <w:t xml:space="preserve"/>
      </w:r>
    </w:p>
    <w:p>
      <w:pPr>
        <w:spacing w:after="80" w:before="80"/>
        <w:jc w:val="both"/>
      </w:pPr>
      <w:r>
        <w:rPr>
          <w:rFonts w:ascii="Arial" w:cs="Arial" w:eastAsia="Arial" w:hAnsi="Arial"/>
          <w:color w:val="404040"/>
          <w:sz w:val="22"/>
          <w:szCs w:val="22"/>
        </w:rPr>
        <w:t xml:space="preserve">For fact_games, think carefully about what columns belong at the game level. Points per team, rebounds, assists, and turnovers can be summed from player stats. Win/loss is already at the game level. Home and away team identifiers need to be extracted from the matchup data.</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Testing grain</w:t>
            </w:r>
          </w:p>
          <w:p>
            <w:pPr>
              <w:spacing w:after="0" w:before="0"/>
              <w:jc w:val="both"/>
            </w:pPr>
            <w:r>
              <w:rPr>
                <w:rFonts w:ascii="Arial" w:cs="Arial" w:eastAsia="Arial" w:hAnsi="Arial"/>
                <w:color w:val="404040"/>
                <w:sz w:val="20"/>
                <w:szCs w:val="20"/>
              </w:rPr>
              <w:t xml:space="preserve">The single most important test in this project is confirming that fact_player_game_stats has no duplicate rows on the combination of game_id and player_id. Use dbt's unique_combination_of_columns test from the dbt_utils package. If this test ever fails, it means something upstream created duplicate records and every downstream analysis will be wrong.</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4.5  Acceptance criteria for Phase 2</w:t>
      </w:r>
    </w:p>
    <w:p>
      <w:pPr>
        <w:spacing w:after="80" w:before="80"/>
        <w:jc w:val="both"/>
      </w:pPr>
      <w:r>
        <w:rPr>
          <w:rFonts w:ascii="Arial" w:cs="Arial" w:eastAsia="Arial" w:hAnsi="Arial"/>
          <w:color w:val="404040"/>
          <w:sz w:val="22"/>
          <w:szCs w:val="22"/>
        </w:rPr>
        <w:t xml:space="preserve">Do not move to Phase 3 until every one of these is true.</w:t>
      </w:r>
    </w:p>
    <w:p>
      <w:pPr>
        <w:spacing w:after="0" w:before="80"/>
      </w:pPr>
      <w:r>
        <w:t xml:space="preserve"/>
      </w:r>
    </w:p>
    <w:p>
      <w:pPr>
        <w:pStyle w:val="ListParagraph"/>
        <w:numPr>
          <w:ilvl w:val="0"/>
          <w:numId w:val="3"/>
        </w:numPr>
        <w:spacing w:after="60" w:before="60"/>
      </w:pPr>
      <w:r>
        <w:rPr>
          <w:rFonts w:ascii="Arial" w:cs="Arial" w:eastAsia="Arial" w:hAnsi="Arial"/>
          <w:color w:val="404040"/>
          <w:sz w:val="22"/>
          <w:szCs w:val="22"/>
        </w:rPr>
        <w:t xml:space="preserve">dbt run completes successfully with zero model errors</w:t>
      </w:r>
    </w:p>
    <w:p>
      <w:pPr>
        <w:pStyle w:val="ListParagraph"/>
        <w:numPr>
          <w:ilvl w:val="0"/>
          <w:numId w:val="3"/>
        </w:numPr>
        <w:spacing w:after="60" w:before="60"/>
      </w:pPr>
      <w:r>
        <w:rPr>
          <w:rFonts w:ascii="Arial" w:cs="Arial" w:eastAsia="Arial" w:hAnsi="Arial"/>
          <w:color w:val="404040"/>
          <w:sz w:val="22"/>
          <w:szCs w:val="22"/>
        </w:rPr>
        <w:t xml:space="preserve">dbt test passes with zero test failures</w:t>
      </w:r>
    </w:p>
    <w:p>
      <w:pPr>
        <w:pStyle w:val="ListParagraph"/>
        <w:numPr>
          <w:ilvl w:val="0"/>
          <w:numId w:val="3"/>
        </w:numPr>
        <w:spacing w:after="60" w:before="60"/>
      </w:pPr>
      <w:r>
        <w:rPr>
          <w:rFonts w:ascii="Arial" w:cs="Arial" w:eastAsia="Arial" w:hAnsi="Arial"/>
          <w:color w:val="404040"/>
          <w:sz w:val="22"/>
          <w:szCs w:val="22"/>
        </w:rPr>
        <w:t xml:space="preserve">fact_player_game_stats has exactly 26,078 rows — equal to the source</w:t>
      </w:r>
    </w:p>
    <w:p>
      <w:pPr>
        <w:pStyle w:val="ListParagraph"/>
        <w:numPr>
          <w:ilvl w:val="0"/>
          <w:numId w:val="3"/>
        </w:numPr>
        <w:spacing w:after="60" w:before="60"/>
      </w:pPr>
      <w:r>
        <w:rPr>
          <w:rFonts w:ascii="Arial" w:cs="Arial" w:eastAsia="Arial" w:hAnsi="Arial"/>
          <w:color w:val="404040"/>
          <w:sz w:val="22"/>
          <w:szCs w:val="22"/>
        </w:rPr>
        <w:t xml:space="preserve">dim_players has exactly 476 rows</w:t>
      </w:r>
    </w:p>
    <w:p>
      <w:pPr>
        <w:pStyle w:val="ListParagraph"/>
        <w:numPr>
          <w:ilvl w:val="0"/>
          <w:numId w:val="3"/>
        </w:numPr>
        <w:spacing w:after="60" w:before="60"/>
      </w:pPr>
      <w:r>
        <w:rPr>
          <w:rFonts w:ascii="Arial" w:cs="Arial" w:eastAsia="Arial" w:hAnsi="Arial"/>
          <w:color w:val="404040"/>
          <w:sz w:val="22"/>
          <w:szCs w:val="22"/>
        </w:rPr>
        <w:t xml:space="preserve">dim_teams has exactly 30 rows</w:t>
      </w:r>
    </w:p>
    <w:p>
      <w:pPr>
        <w:pStyle w:val="ListParagraph"/>
        <w:numPr>
          <w:ilvl w:val="0"/>
          <w:numId w:val="3"/>
        </w:numPr>
        <w:spacing w:after="60" w:before="60"/>
      </w:pPr>
      <w:r>
        <w:rPr>
          <w:rFonts w:ascii="Arial" w:cs="Arial" w:eastAsia="Arial" w:hAnsi="Arial"/>
          <w:color w:val="404040"/>
          <w:sz w:val="22"/>
          <w:szCs w:val="22"/>
        </w:rPr>
        <w:t xml:space="preserve">dim_seasons has exactly 1 row for the 2015-16 season</w:t>
      </w:r>
    </w:p>
    <w:p>
      <w:pPr>
        <w:pStyle w:val="ListParagraph"/>
        <w:numPr>
          <w:ilvl w:val="0"/>
          <w:numId w:val="3"/>
        </w:numPr>
        <w:spacing w:after="60" w:before="60"/>
      </w:pPr>
      <w:r>
        <w:rPr>
          <w:rFonts w:ascii="Arial" w:cs="Arial" w:eastAsia="Arial" w:hAnsi="Arial"/>
          <w:color w:val="404040"/>
          <w:sz w:val="22"/>
          <w:szCs w:val="22"/>
        </w:rPr>
        <w:t xml:space="preserve">Every mart table has a schema.yml with model descriptions and column-level tests</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5. Phase 3 — Cloud Infrastructure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3</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Provision GCS, BigQuery, and IAM before any data moves</w:t>
            </w:r>
          </w:p>
        </w:tc>
      </w:tr>
    </w:tbl>
    <w:p>
      <w:pPr>
        <w:spacing w:after="0" w:before="120"/>
      </w:pPr>
      <w:r>
        <w:t xml:space="preserve"/>
      </w:r>
    </w:p>
    <w:p>
      <w:pPr>
        <w:spacing w:after="80" w:before="80"/>
        <w:jc w:val="both"/>
      </w:pPr>
      <w:r>
        <w:rPr>
          <w:rFonts w:ascii="Arial" w:cs="Arial" w:eastAsia="Arial" w:hAnsi="Arial"/>
          <w:color w:val="404040"/>
          <w:sz w:val="22"/>
          <w:szCs w:val="22"/>
        </w:rPr>
        <w:t xml:space="preserve">Infrastructure setup is not glamorous, but doing it correctly before ingesting data prevents a class of problems that are genuinely painful to fix retroactively — wrong permissions, missing partitions, datasets in the wrong region, and security misconfigurations.</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5.1  Google Cloud Storage structure</w:t>
      </w:r>
    </w:p>
    <w:p>
      <w:pPr>
        <w:spacing w:after="80" w:before="80"/>
        <w:jc w:val="both"/>
      </w:pPr>
      <w:r>
        <w:rPr>
          <w:rFonts w:ascii="Arial" w:cs="Arial" w:eastAsia="Arial" w:hAnsi="Arial"/>
          <w:color w:val="404040"/>
          <w:sz w:val="22"/>
          <w:szCs w:val="22"/>
        </w:rPr>
        <w:t xml:space="preserve">Your GCS bucket is the data lake. Raw data lands here first, is lightly processed, and then loaded into BigQuery. The three-layer prefix structure (raw/, staging/, processed/) mirrors the architectural layers of the platform and makes it immediately clear what state any file is in.</w:t>
      </w:r>
    </w:p>
    <w:p>
      <w:pPr>
        <w:spacing w:after="0" w:before="80"/>
      </w:pPr>
      <w:r>
        <w:t xml:space="preserve"/>
      </w:r>
    </w:p>
    <w:p>
      <w:pPr>
        <w:spacing w:after="80" w:before="80"/>
        <w:jc w:val="both"/>
      </w:pPr>
      <w:r>
        <w:rPr>
          <w:rFonts w:ascii="Arial" w:cs="Arial" w:eastAsia="Arial" w:hAnsi="Arial"/>
          <w:color w:val="404040"/>
          <w:sz w:val="22"/>
          <w:szCs w:val="22"/>
        </w:rPr>
        <w:t xml:space="preserve">Within the raw layer, use Hive-style partitioning from the start even if you only have one season today. A path like raw/player_game_logs/season=2015-16/player_logs.csv makes the data immediately queryable as an external table with partition pruning, and adding new seasons requires only dropping a new file into a new partition prefix.</w:t>
      </w:r>
    </w:p>
    <w:p>
      <w:pPr>
        <w:spacing w:after="0" w:before="80"/>
      </w:pPr>
      <w:r>
        <w:t xml:space="preserve"/>
      </w:r>
    </w:p>
    <w:p>
      <w:pPr>
        <w:spacing w:after="80" w:before="80"/>
        <w:jc w:val="both"/>
      </w:pPr>
      <w:r>
        <w:rPr>
          <w:rFonts w:ascii="Arial" w:cs="Arial" w:eastAsia="Arial" w:hAnsi="Arial"/>
          <w:color w:val="404040"/>
          <w:sz w:val="22"/>
          <w:szCs w:val="22"/>
        </w:rPr>
        <w:t xml:space="preserve">Enable object versioning on the bucket. This is a one-line configuration that has saved many data engineers from accidental overwrites. Storage costs are minimal at this data volume.</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5.2  BigQuery datasets and access</w:t>
      </w:r>
    </w:p>
    <w:p>
      <w:pPr>
        <w:spacing w:after="80" w:before="80"/>
        <w:jc w:val="both"/>
      </w:pPr>
      <w:r>
        <w:rPr>
          <w:rFonts w:ascii="Arial" w:cs="Arial" w:eastAsia="Arial" w:hAnsi="Arial"/>
          <w:color w:val="404040"/>
          <w:sz w:val="22"/>
          <w:szCs w:val="22"/>
        </w:rPr>
        <w:t xml:space="preserve">Create three BigQuery datasets: nba_raw for tables loaded directly from GCS, nba_staging for dbt staging models, and nba_marts for the final fact and dimension tables. Keeping them in separate datasets enforces layer separation and allows different access controls — analysts only need access to nba_marts, for example.</w:t>
      </w:r>
    </w:p>
    <w:p>
      <w:pPr>
        <w:spacing w:after="0" w:before="80"/>
      </w:pPr>
      <w:r>
        <w:t xml:space="preserve"/>
      </w:r>
    </w:p>
    <w:p>
      <w:pPr>
        <w:spacing w:after="80" w:before="80"/>
        <w:jc w:val="both"/>
      </w:pPr>
      <w:r>
        <w:rPr>
          <w:rFonts w:ascii="Arial" w:cs="Arial" w:eastAsia="Arial" w:hAnsi="Arial"/>
          <w:color w:val="404040"/>
          <w:sz w:val="22"/>
          <w:szCs w:val="22"/>
        </w:rPr>
        <w:t xml:space="preserve">Set the dataset location explicitly and consistently. Use the same region for your GCS bucket and your BigQuery datasets — data transfer between regions is slower and incurs egress charges. US-multi-region or a specific US region are both reasonable choices.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IAM principle of least privilege</w:t>
            </w:r>
          </w:p>
          <w:p>
            <w:pPr>
              <w:spacing w:after="0" w:before="0"/>
              <w:jc w:val="both"/>
            </w:pPr>
            <w:r>
              <w:rPr>
                <w:rFonts w:ascii="Arial" w:cs="Arial" w:eastAsia="Arial" w:hAnsi="Arial"/>
                <w:color w:val="404040"/>
                <w:sz w:val="20"/>
                <w:szCs w:val="20"/>
              </w:rPr>
              <w:t xml:space="preserve">Your service account should have only the permissions it needs. For GCS, it needs Storage Object Admin on the specific bucket. For BigQuery, it needs BigQuery Data Editor on the nba_raw dataset and BigQuery Job User on the project. It does not need Owner or Editor on the entire project. Configure this correctly from the start — it is much harder to tighten permissions later.</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5.3  Reconfigure dbt for BigQuery</w:t>
      </w:r>
    </w:p>
    <w:p>
      <w:pPr>
        <w:spacing w:after="80" w:before="80"/>
        <w:jc w:val="both"/>
      </w:pPr>
      <w:r>
        <w:rPr>
          <w:rFonts w:ascii="Arial" w:cs="Arial" w:eastAsia="Arial" w:hAnsi="Arial"/>
          <w:color w:val="404040"/>
          <w:sz w:val="22"/>
          <w:szCs w:val="22"/>
        </w:rPr>
        <w:t xml:space="preserve">Add a prod target to your dbt profiles.yml that points at BigQuery. The prod target should use the nba_staging and nba_marts datasets rather than your local Postgres database. Everything else in your dbt project remains identical — this is one of the core value propositions of dbt.</w:t>
      </w:r>
    </w:p>
    <w:p>
      <w:pPr>
        <w:spacing w:after="0" w:before="80"/>
      </w:pPr>
      <w:r>
        <w:t xml:space="preserve"/>
      </w:r>
    </w:p>
    <w:p>
      <w:pPr>
        <w:spacing w:after="80" w:before="80"/>
        <w:jc w:val="both"/>
      </w:pPr>
      <w:r>
        <w:rPr>
          <w:rFonts w:ascii="Arial" w:cs="Arial" w:eastAsia="Arial" w:hAnsi="Arial"/>
          <w:color w:val="404040"/>
          <w:sz w:val="22"/>
          <w:szCs w:val="22"/>
        </w:rPr>
        <w:t xml:space="preserve">Run dbt run with the --target prod flag against BigQuery as a smoke test. If your staging models run successfully against BigQuery, your SQL is compatible. You may encounter minor dialect differences — BigQuery uses SAFE_DIVIDE natively, handles date functions slightly differently, and has stricter type coercion than Postgres. Fix any issues now before the full pipeline is wired together.</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6. Phase 4 — Python Ingestion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4</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Move raw data from local disk to GCS reliably</w:t>
            </w:r>
          </w:p>
        </w:tc>
      </w:tr>
    </w:tbl>
    <w:p>
      <w:pPr>
        <w:spacing w:after="0" w:before="120"/>
      </w:pPr>
      <w:r>
        <w:t xml:space="preserve"/>
      </w:r>
    </w:p>
    <w:p>
      <w:pPr>
        <w:spacing w:after="80" w:before="80"/>
        <w:jc w:val="both"/>
      </w:pPr>
      <w:r>
        <w:rPr>
          <w:rFonts w:ascii="Arial" w:cs="Arial" w:eastAsia="Arial" w:hAnsi="Arial"/>
          <w:color w:val="404040"/>
          <w:sz w:val="22"/>
          <w:szCs w:val="22"/>
        </w:rPr>
        <w:t xml:space="preserve">The ingestion layer is the entry point of the ELT pipeline. Its responsibility is narrow: take source data and land it in GCS exactly as received. No transformations at this stage. The raw layer in GCS should always be a faithful copy of whatever came out of the source.</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6.1  Design principles for ingestion scripts</w:t>
      </w:r>
    </w:p>
    <w:p>
      <w:pPr>
        <w:spacing w:after="80" w:before="80"/>
        <w:jc w:val="both"/>
      </w:pPr>
      <w:r>
        <w:rPr>
          <w:rFonts w:ascii="Arial" w:cs="Arial" w:eastAsia="Arial" w:hAnsi="Arial"/>
          <w:color w:val="404040"/>
          <w:sz w:val="22"/>
          <w:szCs w:val="22"/>
        </w:rPr>
        <w:t xml:space="preserve">Ingestion scripts should be idempotent. Running the same script twice should not corrupt the data lake. For file uploads to GCS, this is straightforward — uploading the same file to the same path a second time simply overwrites it with the same content. Design every ingestion operation with this property.</w:t>
      </w:r>
    </w:p>
    <w:p>
      <w:pPr>
        <w:spacing w:after="0" w:before="80"/>
      </w:pPr>
      <w:r>
        <w:t xml:space="preserve"/>
      </w:r>
    </w:p>
    <w:p>
      <w:pPr>
        <w:spacing w:after="80" w:before="80"/>
        <w:jc w:val="both"/>
      </w:pPr>
      <w:r>
        <w:rPr>
          <w:rFonts w:ascii="Arial" w:cs="Arial" w:eastAsia="Arial" w:hAnsi="Arial"/>
          <w:color w:val="404040"/>
          <w:sz w:val="22"/>
          <w:szCs w:val="22"/>
        </w:rPr>
        <w:t xml:space="preserve">Scripts should also be parameterised, not hardcoded. The season, bucket name, GCS path prefix, and source file path should all be configurable via environment variables or command-line arguments. A hardcoded file path in an ingestion script is a sign that it was written to work exactly once.</w:t>
      </w:r>
    </w:p>
    <w:p>
      <w:pPr>
        <w:spacing w:after="0" w:before="80"/>
      </w:pPr>
      <w:r>
        <w:t xml:space="preserve"/>
      </w:r>
    </w:p>
    <w:p>
      <w:pPr>
        <w:spacing w:after="80" w:before="80"/>
        <w:jc w:val="both"/>
      </w:pPr>
      <w:r>
        <w:rPr>
          <w:rFonts w:ascii="Arial" w:cs="Arial" w:eastAsia="Arial" w:hAnsi="Arial"/>
          <w:color w:val="404040"/>
          <w:sz w:val="22"/>
          <w:szCs w:val="22"/>
        </w:rPr>
        <w:t xml:space="preserve">Use structured logging throughout. When something goes wrong at 2am in a production pipeline, the logs are all you have. Log the start and end of every significant operation, the size of the file being uploaded, the destination path, and any errors with full stack traces.</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6.2  The ingestion flow</w:t>
      </w:r>
    </w:p>
    <w:p>
      <w:pPr>
        <w:spacing w:after="80" w:before="80"/>
        <w:jc w:val="both"/>
      </w:pPr>
      <w:r>
        <w:rPr>
          <w:rFonts w:ascii="Arial" w:cs="Arial" w:eastAsia="Arial" w:hAnsi="Arial"/>
          <w:color w:val="404040"/>
          <w:sz w:val="22"/>
          <w:szCs w:val="22"/>
        </w:rPr>
        <w:t xml:space="preserve">For the current dataset, the ingestion flow is straightforward. The source is a local CSV file and the destination is GCS. In a real production system, the source would be an API endpoint or a database export, but the pattern is the same.</w:t>
      </w:r>
    </w:p>
    <w:p>
      <w:pPr>
        <w:spacing w:after="0" w:before="80"/>
      </w:pPr>
      <w:r>
        <w:t xml:space="preserve"/>
      </w:r>
    </w:p>
    <w:p>
      <w:pPr>
        <w:spacing w:after="80" w:before="80"/>
        <w:jc w:val="both"/>
      </w:pPr>
      <w:r>
        <w:rPr>
          <w:rFonts w:ascii="Arial" w:cs="Arial" w:eastAsia="Arial" w:hAnsi="Arial"/>
          <w:color w:val="404040"/>
          <w:sz w:val="22"/>
          <w:szCs w:val="22"/>
        </w:rPr>
        <w:t xml:space="preserve">Structure your ingestion script to perform these steps in order. First, validate that the source file exists and is readable. Second, check that the destination GCS path is reachable with your credentials. Third, upload the file. Fourth, verify the upload by checking that the object exists in GCS and that its size matches the local file. Fifth, log success with the file path, size, and timestamp.</w:t>
      </w:r>
    </w:p>
    <w:p>
      <w:pPr>
        <w:spacing w:after="0" w:before="80"/>
      </w:pPr>
      <w:r>
        <w:t xml:space="preserve"/>
      </w:r>
    </w:p>
    <w:p>
      <w:pPr>
        <w:spacing w:after="80" w:before="80"/>
        <w:jc w:val="both"/>
      </w:pPr>
      <w:r>
        <w:rPr>
          <w:rFonts w:ascii="Arial" w:cs="Arial" w:eastAsia="Arial" w:hAnsi="Arial"/>
          <w:color w:val="404040"/>
          <w:sz w:val="22"/>
          <w:szCs w:val="22"/>
        </w:rPr>
        <w:t xml:space="preserve">The validation step before and the verification step after are not optional. Silent data loss — where a file appears to upload but nothing actually arrives — is one of the most pernicious bugs in data pipelines and is invisible without verification.</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6.3  BigQuery load job</w:t>
      </w:r>
    </w:p>
    <w:p>
      <w:pPr>
        <w:spacing w:after="80" w:before="80"/>
        <w:jc w:val="both"/>
      </w:pPr>
      <w:r>
        <w:rPr>
          <w:rFonts w:ascii="Arial" w:cs="Arial" w:eastAsia="Arial" w:hAnsi="Arial"/>
          <w:color w:val="404040"/>
          <w:sz w:val="22"/>
          <w:szCs w:val="22"/>
        </w:rPr>
        <w:t xml:space="preserve">Once the file is in GCS, load it into the nba_raw.player_game_logs BigQuery table using a load job. BigQuery load jobs are atomic — they either succeed completely or fail completely, which is the right behaviour for data loading.</w:t>
      </w:r>
    </w:p>
    <w:p>
      <w:pPr>
        <w:spacing w:after="0" w:before="80"/>
      </w:pPr>
      <w:r>
        <w:t xml:space="preserve"/>
      </w:r>
    </w:p>
    <w:p>
      <w:pPr>
        <w:spacing w:after="80" w:before="80"/>
        <w:jc w:val="both"/>
      </w:pPr>
      <w:r>
        <w:rPr>
          <w:rFonts w:ascii="Arial" w:cs="Arial" w:eastAsia="Arial" w:hAnsi="Arial"/>
          <w:color w:val="404040"/>
          <w:sz w:val="22"/>
          <w:szCs w:val="22"/>
        </w:rPr>
        <w:t xml:space="preserve">Write a separate Python function or script for the load job, distinct from the GCS upload. This separation means you can re-run the load job independently if it fails without re-uploading from the source. Configure the job to write-append or write-truncate depending on whether you want to accumulate seasons or replace the table. Write-truncate with the full dataset is simpler and avoids duplicate row problems.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Schema management</w:t>
            </w:r>
          </w:p>
          <w:p>
            <w:pPr>
              <w:spacing w:after="0" w:before="0"/>
              <w:jc w:val="both"/>
            </w:pPr>
            <w:r>
              <w:rPr>
                <w:rFonts w:ascii="Arial" w:cs="Arial" w:eastAsia="Arial" w:hAnsi="Arial"/>
                <w:color w:val="404040"/>
                <w:sz w:val="20"/>
                <w:szCs w:val="20"/>
              </w:rPr>
              <w:t xml:space="preserve">Define the BigQuery table schema explicitly in your load job configuration. Do not rely on schema auto-detection in production pipelines — auto-detect can infer wrong types (integers as floats, dates as strings) and those type mismatches propagate all the way through to your mart layer.</w:t>
            </w:r>
          </w:p>
        </w:tc>
      </w:tr>
    </w:tbl>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7. Phase 5 — Orchestration with Prefect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5</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Wire the pipeline together with dependency management and scheduling</w:t>
            </w:r>
          </w:p>
        </w:tc>
      </w:tr>
    </w:tbl>
    <w:p>
      <w:pPr>
        <w:spacing w:after="0" w:before="120"/>
      </w:pPr>
      <w:r>
        <w:t xml:space="preserve"/>
      </w:r>
    </w:p>
    <w:p>
      <w:pPr>
        <w:spacing w:after="80" w:before="80"/>
        <w:jc w:val="both"/>
      </w:pPr>
      <w:r>
        <w:rPr>
          <w:rFonts w:ascii="Arial" w:cs="Arial" w:eastAsia="Arial" w:hAnsi="Arial"/>
          <w:color w:val="404040"/>
          <w:sz w:val="22"/>
          <w:szCs w:val="22"/>
        </w:rPr>
        <w:t xml:space="preserve">Individual scripts that run in sequence are not a pipeline — they are a collection of scripts. Orchestration is what transforms a collection of scripts into a system. Prefect manages execution order, handles failures gracefully, provides observability into what ran and when, and enables scheduling.</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7.1  Flow design</w:t>
      </w:r>
    </w:p>
    <w:p>
      <w:pPr>
        <w:spacing w:after="80" w:before="80"/>
        <w:jc w:val="both"/>
      </w:pPr>
      <w:r>
        <w:rPr>
          <w:rFonts w:ascii="Arial" w:cs="Arial" w:eastAsia="Arial" w:hAnsi="Arial"/>
          <w:color w:val="404040"/>
          <w:sz w:val="22"/>
          <w:szCs w:val="22"/>
        </w:rPr>
        <w:t xml:space="preserve">A Prefect flow is a Python function decorated with @flow. Tasks within it are decorated with @task. The structure mirrors the pipeline stages: ingest to GCS, load to BigQuery, run dbt models, run dbt tests.</w:t>
      </w:r>
    </w:p>
    <w:p>
      <w:pPr>
        <w:spacing w:after="0" w:before="80"/>
      </w:pPr>
      <w:r>
        <w:t xml:space="preserve"/>
      </w:r>
    </w:p>
    <w:p>
      <w:pPr>
        <w:spacing w:after="80" w:before="80"/>
        <w:jc w:val="both"/>
      </w:pPr>
      <w:r>
        <w:rPr>
          <w:rFonts w:ascii="Arial" w:cs="Arial" w:eastAsia="Arial" w:hAnsi="Arial"/>
          <w:color w:val="404040"/>
          <w:sz w:val="22"/>
          <w:szCs w:val="22"/>
        </w:rPr>
        <w:t xml:space="preserve">Design your flow as a single top-level function that orchestrates four tasks in sequence. Tasks should be atomic — each task does one thing, can be retried independently if it fails, and has a clear success or failure state. Do not combine the GCS upload and BigQuery load into a single task just because they are both about data movement.</w:t>
      </w:r>
    </w:p>
    <w:p>
      <w:pPr>
        <w:spacing w:after="0" w:before="80"/>
      </w:pPr>
      <w:r>
        <w:t xml:space="preserve"/>
      </w:r>
    </w:p>
    <w:p>
      <w:pPr>
        <w:spacing w:after="80" w:before="80"/>
        <w:jc w:val="both"/>
      </w:pPr>
      <w:r>
        <w:rPr>
          <w:rFonts w:ascii="Arial" w:cs="Arial" w:eastAsia="Arial" w:hAnsi="Arial"/>
          <w:color w:val="404040"/>
          <w:sz w:val="22"/>
          <w:szCs w:val="22"/>
        </w:rPr>
        <w:t xml:space="preserve">Add retry logic to each task. Network operations fail transiently. A task that retries three times with exponential backoff will succeed in the vast majority of cases where a non-retrying task would fail and wake someone up. Configure retries in the task decorator, not with a try/except loop inside the task.</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7.2  Running dbt from Prefect</w:t>
      </w:r>
    </w:p>
    <w:p>
      <w:pPr>
        <w:spacing w:after="80" w:before="80"/>
        <w:jc w:val="both"/>
      </w:pPr>
      <w:r>
        <w:rPr>
          <w:rFonts w:ascii="Arial" w:cs="Arial" w:eastAsia="Arial" w:hAnsi="Arial"/>
          <w:color w:val="404040"/>
          <w:sz w:val="22"/>
          <w:szCs w:val="22"/>
        </w:rPr>
        <w:t xml:space="preserve">Invoke dbt from within a Prefect task using Python's subprocess module. The task should run dbt run, check the return code, capture stdout and stderr, and log both. If dbt exits with a non-zero return code, the task should raise an exception so Prefect marks it as failed.</w:t>
      </w:r>
    </w:p>
    <w:p>
      <w:pPr>
        <w:spacing w:after="0" w:before="80"/>
      </w:pPr>
      <w:r>
        <w:t xml:space="preserve"/>
      </w:r>
    </w:p>
    <w:p>
      <w:pPr>
        <w:spacing w:after="80" w:before="80"/>
        <w:jc w:val="both"/>
      </w:pPr>
      <w:r>
        <w:rPr>
          <w:rFonts w:ascii="Arial" w:cs="Arial" w:eastAsia="Arial" w:hAnsi="Arial"/>
          <w:color w:val="404040"/>
          <w:sz w:val="22"/>
          <w:szCs w:val="22"/>
        </w:rPr>
        <w:t xml:space="preserve">Run dbt test as a separate task after dbt run. This is important — a successful dbt run means all models compiled and executed without SQL errors. A successful dbt test means the data in those models is actually correct. Both are required before a pipeline run can be considered successful.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Separation of concerns</w:t>
            </w:r>
          </w:p>
          <w:p>
            <w:pPr>
              <w:spacing w:after="0" w:before="0"/>
              <w:jc w:val="both"/>
            </w:pPr>
            <w:r>
              <w:rPr>
                <w:rFonts w:ascii="Arial" w:cs="Arial" w:eastAsia="Arial" w:hAnsi="Arial"/>
                <w:color w:val="404040"/>
                <w:sz w:val="20"/>
                <w:szCs w:val="20"/>
              </w:rPr>
              <w:t xml:space="preserve">You may be tempted to put the dbt configuration directly into the Prefect flow. Keep them separate. dbt should be runnable entirely independently of Prefect — from the command line, in dbt Cloud, or in CI. Prefect simply calls dbt; it does not own the dbt configuration.</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7.3  Scheduling and deployment</w:t>
      </w:r>
    </w:p>
    <w:p>
      <w:pPr>
        <w:spacing w:after="80" w:before="80"/>
        <w:jc w:val="both"/>
      </w:pPr>
      <w:r>
        <w:rPr>
          <w:rFonts w:ascii="Arial" w:cs="Arial" w:eastAsia="Arial" w:hAnsi="Arial"/>
          <w:color w:val="404040"/>
          <w:sz w:val="22"/>
          <w:szCs w:val="22"/>
        </w:rPr>
        <w:t xml:space="preserve">Once the flow runs successfully end-to-end manually, create a Prefect deployment with a schedule. For this project, a daily schedule that runs during off-peak hours is appropriate. In a real production system the schedule would be driven by when new source data becomes available.</w:t>
      </w:r>
    </w:p>
    <w:p>
      <w:pPr>
        <w:spacing w:after="0" w:before="80"/>
      </w:pPr>
      <w:r>
        <w:t xml:space="preserve"/>
      </w:r>
    </w:p>
    <w:p>
      <w:pPr>
        <w:spacing w:after="80" w:before="80"/>
        <w:jc w:val="both"/>
      </w:pPr>
      <w:r>
        <w:rPr>
          <w:rFonts w:ascii="Arial" w:cs="Arial" w:eastAsia="Arial" w:hAnsi="Arial"/>
          <w:color w:val="404040"/>
          <w:sz w:val="22"/>
          <w:szCs w:val="22"/>
        </w:rPr>
        <w:t xml:space="preserve">Configure Prefect to send notifications on flow failure. This can be a simple email or a Slack webhook. The most important property of a production pipeline is that failures are noticed promptly, not that failures never happen.</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8. Phase 6 — Power BI Dashboard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6</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Connect to BigQuery and build analysis-ready dashboards</w:t>
            </w:r>
          </w:p>
        </w:tc>
      </w:tr>
    </w:tbl>
    <w:p>
      <w:pPr>
        <w:spacing w:after="0" w:before="120"/>
      </w:pPr>
      <w:r>
        <w:t xml:space="preserve"/>
      </w:r>
    </w:p>
    <w:p>
      <w:pPr>
        <w:spacing w:after="80" w:before="80"/>
        <w:jc w:val="both"/>
      </w:pPr>
      <w:r>
        <w:rPr>
          <w:rFonts w:ascii="Arial" w:cs="Arial" w:eastAsia="Arial" w:hAnsi="Arial"/>
          <w:color w:val="404040"/>
          <w:sz w:val="22"/>
          <w:szCs w:val="22"/>
        </w:rPr>
        <w:t xml:space="preserve">Power BI is the consumption layer of the platform. Everything built in the previous phases exists to make this layer possible. The mart tables in BigQuery are the single source of truth — Power BI should read from marts only, never from raw or staging tables.</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8.1  Connecting Power BI to BigQuery</w:t>
      </w:r>
    </w:p>
    <w:p>
      <w:pPr>
        <w:spacing w:after="80" w:before="80"/>
        <w:jc w:val="both"/>
      </w:pPr>
      <w:r>
        <w:rPr>
          <w:rFonts w:ascii="Arial" w:cs="Arial" w:eastAsia="Arial" w:hAnsi="Arial"/>
          <w:color w:val="404040"/>
          <w:sz w:val="22"/>
          <w:szCs w:val="22"/>
        </w:rPr>
        <w:t xml:space="preserve">Connect Power BI Desktop to BigQuery using the native BigQuery connector under Get Data. Authenticate with your Google account that has access to the nba_marts dataset. Import mode is appropriate for this dataset size — DirectQuery adds significant overhead and is designed for datasets that cannot fit in Power BI's memory.</w:t>
      </w:r>
    </w:p>
    <w:p>
      <w:pPr>
        <w:spacing w:after="0" w:before="80"/>
      </w:pPr>
      <w:r>
        <w:t xml:space="preserve"/>
      </w:r>
    </w:p>
    <w:p>
      <w:pPr>
        <w:spacing w:after="80" w:before="80"/>
        <w:jc w:val="both"/>
      </w:pPr>
      <w:r>
        <w:rPr>
          <w:rFonts w:ascii="Arial" w:cs="Arial" w:eastAsia="Arial" w:hAnsi="Arial"/>
          <w:color w:val="404040"/>
          <w:sz w:val="22"/>
          <w:szCs w:val="22"/>
        </w:rPr>
        <w:t xml:space="preserve">Import only the tables from nba_marts. Do not import raw or staging tables. This enforces the principle that the BI layer only ever sees curated, tested data.</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8.2  Relationships and the data model in Power BI</w:t>
      </w:r>
    </w:p>
    <w:p>
      <w:pPr>
        <w:spacing w:after="80" w:before="80"/>
        <w:jc w:val="both"/>
      </w:pPr>
      <w:r>
        <w:rPr>
          <w:rFonts w:ascii="Arial" w:cs="Arial" w:eastAsia="Arial" w:hAnsi="Arial"/>
          <w:color w:val="404040"/>
          <w:sz w:val="22"/>
          <w:szCs w:val="22"/>
        </w:rPr>
        <w:t xml:space="preserve">Once the tables are imported, configure the relationships in Power BI's model view. The relationships should mirror the star schema you designed in Phase 1 exactly. fact_player_game_stats connects to dim_players on player_id, to dim_teams on team_id, and to dim_seasons on season_id. fact_games connects to dim_teams and dim_seasons similarly.</w:t>
      </w:r>
    </w:p>
    <w:p>
      <w:pPr>
        <w:spacing w:after="0" w:before="80"/>
      </w:pPr>
      <w:r>
        <w:t xml:space="preserve"/>
      </w:r>
    </w:p>
    <w:p>
      <w:pPr>
        <w:spacing w:after="80" w:before="80"/>
        <w:jc w:val="both"/>
      </w:pPr>
      <w:r>
        <w:rPr>
          <w:rFonts w:ascii="Arial" w:cs="Arial" w:eastAsia="Arial" w:hAnsi="Arial"/>
          <w:color w:val="404040"/>
          <w:sz w:val="22"/>
          <w:szCs w:val="22"/>
        </w:rPr>
        <w:t xml:space="preserve">Set all relationship cardinalities to many-to-one from the fact table to the dimension table. This is always the correct direction in a star schema. Power BI will often auto-detect this correctly but verify it manually.</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8.3  Core measures to implement</w:t>
      </w:r>
    </w:p>
    <w:p>
      <w:pPr>
        <w:spacing w:after="80" w:before="80"/>
        <w:jc w:val="both"/>
      </w:pPr>
      <w:r>
        <w:rPr>
          <w:rFonts w:ascii="Arial" w:cs="Arial" w:eastAsia="Arial" w:hAnsi="Arial"/>
          <w:color w:val="404040"/>
          <w:sz w:val="22"/>
          <w:szCs w:val="22"/>
        </w:rPr>
        <w:t xml:space="preserve">Create the following measures as a starting set. All measures should be written in DAX and placed in a dedicated Measures table rather than on the fact tables directly. This keeps the model clean and the measures easily discoverable.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Measure</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Total Points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SUM of the points column from fact_player_game_stats. The most basic measure and useful as a sanity check.</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Points Per Game</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Total Points divided by the count of distinct game_id values. Use DISTINCTCOUNT, not COUNT.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Field Goal %</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SUM of fg_made divided by SUM of fg_attempted. Use DIVIDE with an alternate result of BLANK() to handle zero attempts gracefully.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True Shooting %</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A composite shooting efficiency metric: points divided by 2 times the quantity fg_attempted plus 0.44 times ft_attempted. Widely used by analysts.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Win %</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Count of games where win_loss_flag equals W divided by total games. Useful on the dim_teams filter context.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Plus/Minus per Game</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Average of the plus_minus column. Useful for evaluating lineup impact.</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8.4  Recommended dashboard pages</w:t>
      </w:r>
    </w:p>
    <w:p>
      <w:pPr>
        <w:spacing w:after="80" w:before="80"/>
        <w:jc w:val="both"/>
      </w:pPr>
      <w:r>
        <w:rPr>
          <w:rFonts w:ascii="Arial" w:cs="Arial" w:eastAsia="Arial" w:hAnsi="Arial"/>
          <w:color w:val="404040"/>
          <w:sz w:val="22"/>
          <w:szCs w:val="22"/>
        </w:rPr>
        <w:t xml:space="preserve">Build three dashboard pages as a minimum viable product. Each page should have a clear analytical question it is designed to answer.</w:t>
      </w:r>
    </w:p>
    <w:p>
      <w:pPr>
        <w:spacing w:after="0" w:before="80"/>
      </w:pPr>
      <w:r>
        <w:t xml:space="preserve"/>
      </w:r>
    </w:p>
    <w:p>
      <w:pPr>
        <w:pStyle w:val="ListParagraph"/>
        <w:numPr>
          <w:ilvl w:val="0"/>
          <w:numId w:val="2"/>
        </w:numPr>
        <w:spacing w:after="60" w:before="60"/>
      </w:pPr>
      <w:r>
        <w:rPr>
          <w:rFonts w:ascii="Arial" w:cs="Arial" w:eastAsia="Arial" w:hAnsi="Arial"/>
          <w:color w:val="404040"/>
          <w:sz w:val="22"/>
          <w:szCs w:val="22"/>
        </w:rPr>
        <w:t xml:space="preserve">Player performance overview: a slicer for player name, cards showing season totals for points, rebounds, and assists, a line chart of points per game over the season timeline, and a scatter chart of field goal percentage against points per game to show efficiency.</w:t>
      </w:r>
    </w:p>
    <w:p>
      <w:pPr>
        <w:pStyle w:val="ListParagraph"/>
        <w:numPr>
          <w:ilvl w:val="0"/>
          <w:numId w:val="2"/>
        </w:numPr>
        <w:spacing w:after="60" w:before="60"/>
      </w:pPr>
      <w:r>
        <w:rPr>
          <w:rFonts w:ascii="Arial" w:cs="Arial" w:eastAsia="Arial" w:hAnsi="Arial"/>
          <w:color w:val="404040"/>
          <w:sz w:val="22"/>
          <w:szCs w:val="22"/>
        </w:rPr>
        <w:t xml:space="preserve">Team analytics: a bar chart of team win percentage, a table showing each team's average points per game for and against, and a matrix showing home vs. away performance differentials.</w:t>
      </w:r>
    </w:p>
    <w:p>
      <w:pPr>
        <w:pStyle w:val="ListParagraph"/>
        <w:numPr>
          <w:ilvl w:val="0"/>
          <w:numId w:val="2"/>
        </w:numPr>
        <w:spacing w:after="60" w:before="60"/>
      </w:pPr>
      <w:r>
        <w:rPr>
          <w:rFonts w:ascii="Arial" w:cs="Arial" w:eastAsia="Arial" w:hAnsi="Arial"/>
          <w:color w:val="404040"/>
          <w:sz w:val="22"/>
          <w:szCs w:val="22"/>
        </w:rPr>
        <w:t xml:space="preserve">Game outcomes: a calendar heatmap showing game results over the season, a filter by team to see a specific team's schedule, and a detail table showing individual game stats for selected games.</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9. Phase 7 — Testing, Quality, and CI/CD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PHASE 7</w:t>
            </w:r>
          </w:p>
        </w:tc>
        <w:tc>
          <w:tcPr>
            <w:tcW w:type="dxa" w:w="7960"/>
            <w:tcBorders>
              <w:top w:val="none" w:color="FFFFFF" w:sz="0"/>
              <w:left w:val="none" w:color="FFFFFF" w:sz="0"/>
              <w:bottom w:val="none" w:color="FFFFFF" w:sz="0"/>
              <w:right w:val="none" w:color="FFFFFF" w:sz="0"/>
            </w:tcBorders>
            <w:shd w:fill="2E75B6" w:val="clear"/>
            <w:tcMar>
              <w:top w:type="dxa" w:w="100"/>
              <w:left w:type="dxa" w:w="200"/>
              <w:bottom w:type="dxa" w:w="100"/>
              <w:right w:type="dxa" w:w="140"/>
            </w:tcMar>
            <w:vAlign w:val="center"/>
          </w:tcPr>
          <w:p>
            <w:r>
              <w:rPr>
                <w:rFonts w:ascii="Arial" w:cs="Arial" w:eastAsia="Arial" w:hAnsi="Arial"/>
                <w:b/>
                <w:bCs/>
                <w:color w:val="FFFFFF"/>
                <w:sz w:val="24"/>
                <w:szCs w:val="24"/>
              </w:rPr>
              <w:t xml:space="preserve">Make the platform reliable and maintainable over time</w:t>
            </w:r>
          </w:p>
        </w:tc>
      </w:tr>
    </w:tbl>
    <w:p>
      <w:pPr>
        <w:spacing w:after="0" w:before="120"/>
      </w:pPr>
      <w:r>
        <w:t xml:space="preserve"/>
      </w:r>
    </w:p>
    <w:p>
      <w:pPr>
        <w:spacing w:after="80" w:before="80"/>
        <w:jc w:val="both"/>
      </w:pPr>
      <w:r>
        <w:rPr>
          <w:rFonts w:ascii="Arial" w:cs="Arial" w:eastAsia="Arial" w:hAnsi="Arial"/>
          <w:color w:val="404040"/>
          <w:sz w:val="22"/>
          <w:szCs w:val="22"/>
        </w:rPr>
        <w:t xml:space="preserve">A data platform that runs successfully once is not production-ready. Production-readiness means that the platform continues to run correctly as data changes, as team members make modifications, and as time passes. This phase adds the scaffolding that enables long-term reliability.</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9.1  dbt testing strategy</w:t>
      </w:r>
    </w:p>
    <w:p>
      <w:pPr>
        <w:spacing w:after="80" w:before="80"/>
        <w:jc w:val="both"/>
      </w:pPr>
      <w:r>
        <w:rPr>
          <w:rFonts w:ascii="Arial" w:cs="Arial" w:eastAsia="Arial" w:hAnsi="Arial"/>
          <w:color w:val="404040"/>
          <w:sz w:val="22"/>
          <w:szCs w:val="22"/>
        </w:rPr>
        <w:t xml:space="preserve">Every model in your dbt project should have at minimum the tests listed below. These are not optional — they are the contract your mart layer makes with the BI layer above it. If these tests pass, Power BI can trust the data. If they fail, the pipeline should stop before bad data reaches analysts.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Test type</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Where to apply it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unique + not_null</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Every primary key column in every model. Non-negotiable.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not_null</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Every foreign key column in fact tables. A null FK breaks joins silently.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unique_combination_of_columns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fact_player_game_stats on (game_id, player_id). This is the grain test.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accepted_values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win_loss_flag column — accepted values are W and L only.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relationships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Foreign key columns in fact tables pointing to dimension tables. Ensures referential integrity.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row_count comparison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Optional but powerful: assert that the staging model row count equals the raw table row count. Catches silent filtering bugs.</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9.2  GitHub Actions CI pipeline</w:t>
      </w:r>
    </w:p>
    <w:p>
      <w:pPr>
        <w:spacing w:after="80" w:before="80"/>
        <w:jc w:val="both"/>
      </w:pPr>
      <w:r>
        <w:rPr>
          <w:rFonts w:ascii="Arial" w:cs="Arial" w:eastAsia="Arial" w:hAnsi="Arial"/>
          <w:color w:val="404040"/>
          <w:sz w:val="22"/>
          <w:szCs w:val="22"/>
        </w:rPr>
        <w:t xml:space="preserve">Configure a GitHub Actions workflow that runs on every pull request to the main branch. The workflow should install dependencies, run dbt compile against a test target to catch SQL syntax errors, and run dbt test against a small subset of the data.</w:t>
      </w:r>
    </w:p>
    <w:p>
      <w:pPr>
        <w:spacing w:after="0" w:before="80"/>
      </w:pPr>
      <w:r>
        <w:t xml:space="preserve"/>
      </w:r>
    </w:p>
    <w:p>
      <w:pPr>
        <w:spacing w:after="80" w:before="80"/>
        <w:jc w:val="both"/>
      </w:pPr>
      <w:r>
        <w:rPr>
          <w:rFonts w:ascii="Arial" w:cs="Arial" w:eastAsia="Arial" w:hAnsi="Arial"/>
          <w:color w:val="404040"/>
          <w:sz w:val="22"/>
          <w:szCs w:val="22"/>
        </w:rPr>
        <w:t xml:space="preserve">This means that no broken SQL can ever be merged to main. The cost of this setup is low — a few hours to configure initially — and the benefit is that every change to the transformation layer is automatically validated before it reaches production.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Slim CI pattern</w:t>
            </w:r>
          </w:p>
          <w:p>
            <w:pPr>
              <w:spacing w:after="0" w:before="0"/>
              <w:jc w:val="both"/>
            </w:pPr>
            <w:r>
              <w:rPr>
                <w:rFonts w:ascii="Arial" w:cs="Arial" w:eastAsia="Arial" w:hAnsi="Arial"/>
                <w:color w:val="404040"/>
                <w:sz w:val="20"/>
                <w:szCs w:val="20"/>
              </w:rPr>
              <w:t xml:space="preserve">Running the full dbt test suite on every PR is slow and expensive. Use dbt's state-based selection to run only the models changed in the PR and their downstream dependencies. This is called slim CI and is the standard pattern for mature dbt projects.</w:t>
            </w:r>
          </w:p>
        </w:tc>
      </w:tr>
    </w:tbl>
    <w:p>
      <w:pPr>
        <w:spacing w:after="0" w:before="160"/>
      </w:pPr>
      <w:r>
        <w:t xml:space="preserve"/>
      </w:r>
    </w:p>
    <w:p>
      <w:pPr>
        <w:pStyle w:val="Heading2"/>
        <w:spacing w:after="120" w:before="320"/>
      </w:pPr>
      <w:r>
        <w:rPr>
          <w:rFonts w:ascii="Arial" w:cs="Arial" w:eastAsia="Arial" w:hAnsi="Arial"/>
          <w:b/>
          <w:bCs/>
          <w:color w:val="2E75B6"/>
          <w:sz w:val="28"/>
          <w:szCs w:val="28"/>
        </w:rPr>
        <w:t xml:space="preserve">9.3  Data quality monitoring</w:t>
      </w:r>
    </w:p>
    <w:p>
      <w:pPr>
        <w:spacing w:after="80" w:before="80"/>
        <w:jc w:val="both"/>
      </w:pPr>
      <w:r>
        <w:rPr>
          <w:rFonts w:ascii="Arial" w:cs="Arial" w:eastAsia="Arial" w:hAnsi="Arial"/>
          <w:color w:val="404040"/>
          <w:sz w:val="22"/>
          <w:szCs w:val="22"/>
        </w:rPr>
        <w:t xml:space="preserve">Beyond dbt tests — which run at transformation time — consider adding elementary or dbt-expectations to your project for ongoing data monitoring. These packages can detect statistical anomalies such as a sudden drop in row counts, unexpected distributions in key columns, or schema changes in the source.</w:t>
      </w:r>
    </w:p>
    <w:p>
      <w:pPr>
        <w:spacing w:after="0" w:before="80"/>
      </w:pPr>
      <w:r>
        <w:t xml:space="preserve"/>
      </w:r>
    </w:p>
    <w:p>
      <w:pPr>
        <w:spacing w:after="80" w:before="80"/>
        <w:jc w:val="both"/>
      </w:pPr>
      <w:r>
        <w:rPr>
          <w:rFonts w:ascii="Arial" w:cs="Arial" w:eastAsia="Arial" w:hAnsi="Arial"/>
          <w:color w:val="404040"/>
          <w:sz w:val="22"/>
          <w:szCs w:val="22"/>
        </w:rPr>
        <w:t xml:space="preserve">For this project, a simple custom test that asserts the staging model has more than 20,000 rows is a reasonable minimum. It will catch the most common production failure mode: something going wrong upstream that results in an empty or near-empty table flowing into the warehouse.</w:t>
      </w:r>
    </w:p>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10. Extending the Platform</w:t>
      </w:r>
    </w:p>
    <w:p>
      <w:pPr>
        <w:spacing w:after="80" w:before="80"/>
        <w:jc w:val="both"/>
      </w:pPr>
      <w:r>
        <w:rPr>
          <w:rFonts w:ascii="Arial" w:cs="Arial" w:eastAsia="Arial" w:hAnsi="Arial"/>
          <w:color w:val="404040"/>
          <w:sz w:val="22"/>
          <w:szCs w:val="22"/>
        </w:rPr>
        <w:t xml:space="preserve">The platform described in this guide is designed for a single season of NBA data. It is also designed to be extended. This section describes the most natural extension points and how to approach each one.</w:t>
      </w:r>
    </w:p>
    <w:p>
      <w:pPr>
        <w:spacing w:after="0" w:before="120"/>
      </w:pPr>
      <w:r>
        <w:t xml:space="preserve"/>
      </w:r>
    </w:p>
    <w:p>
      <w:pPr>
        <w:pStyle w:val="Heading2"/>
        <w:spacing w:after="120" w:before="320"/>
      </w:pPr>
      <w:r>
        <w:rPr>
          <w:rFonts w:ascii="Arial" w:cs="Arial" w:eastAsia="Arial" w:hAnsi="Arial"/>
          <w:b/>
          <w:bCs/>
          <w:color w:val="2E75B6"/>
          <w:sz w:val="28"/>
          <w:szCs w:val="28"/>
        </w:rPr>
        <w:t xml:space="preserve">10.1  Adding additional seasons</w:t>
      </w:r>
    </w:p>
    <w:p>
      <w:pPr>
        <w:spacing w:after="80" w:before="80"/>
        <w:jc w:val="both"/>
      </w:pPr>
      <w:r>
        <w:rPr>
          <w:rFonts w:ascii="Arial" w:cs="Arial" w:eastAsia="Arial" w:hAnsi="Arial"/>
          <w:color w:val="404040"/>
          <w:sz w:val="22"/>
          <w:szCs w:val="22"/>
        </w:rPr>
        <w:t xml:space="preserve">Adding the 2016-17 season (or any future season) requires only adding a new file to GCS under the correct partition prefix and re-running the pipeline. The dbt models use no hardcoded season references. The dim_seasons table will automatically gain a new row. fact_player_game_stats will grow by approximately the same number of rows as the 2015-16 dataset. No schema changes are required.</w:t>
      </w:r>
    </w:p>
    <w:p>
      <w:pPr>
        <w:spacing w:after="0" w:before="80"/>
      </w:pPr>
      <w:r>
        <w:t xml:space="preserve"/>
      </w:r>
    </w:p>
    <w:p>
      <w:pPr>
        <w:spacing w:after="80" w:before="80"/>
        <w:jc w:val="both"/>
      </w:pPr>
      <w:r>
        <w:rPr>
          <w:rFonts w:ascii="Arial" w:cs="Arial" w:eastAsia="Arial" w:hAnsi="Arial"/>
          <w:color w:val="404040"/>
          <w:sz w:val="22"/>
          <w:szCs w:val="22"/>
        </w:rPr>
        <w:t xml:space="preserve">The only change needed is making the ingestion script accept a season parameter rather than being hardcoded to 2015-16. This is a small modification that has large leverage — it is the difference between a one-season project and a multi-season platform.</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10.2  Adding new data sources</w:t>
      </w:r>
    </w:p>
    <w:p>
      <w:pPr>
        <w:spacing w:after="80" w:before="80"/>
        <w:jc w:val="both"/>
      </w:pPr>
      <w:r>
        <w:rPr>
          <w:rFonts w:ascii="Arial" w:cs="Arial" w:eastAsia="Arial" w:hAnsi="Arial"/>
          <w:color w:val="404040"/>
          <w:sz w:val="22"/>
          <w:szCs w:val="22"/>
        </w:rPr>
        <w:t xml:space="preserve">The NBA dataset could be enriched with team standings, play-by-play data, or advanced metrics from the NBA API. Each new source follows the same pattern: raw data lands in GCS under a new prefix, a load job moves it to a new raw table in BigQuery, a new staging model cleans it, and new or extended mart models incorporate it.</w:t>
      </w:r>
    </w:p>
    <w:p>
      <w:pPr>
        <w:spacing w:after="0" w:before="80"/>
      </w:pPr>
      <w:r>
        <w:t xml:space="preserve"/>
      </w:r>
    </w:p>
    <w:p>
      <w:pPr>
        <w:spacing w:after="80" w:before="80"/>
        <w:jc w:val="both"/>
      </w:pPr>
      <w:r>
        <w:rPr>
          <w:rFonts w:ascii="Arial" w:cs="Arial" w:eastAsia="Arial" w:hAnsi="Arial"/>
          <w:color w:val="404040"/>
          <w:sz w:val="22"/>
          <w:szCs w:val="22"/>
        </w:rPr>
        <w:t xml:space="preserve">Resist the temptation to merge multiple sources at the staging layer. Staging models should be one-to-one with source tables. Joining happens in intermediate or mart models where the logic is explicit and testable.</w:t>
      </w:r>
    </w:p>
    <w:p>
      <w:pPr>
        <w:spacing w:after="0" w:before="160"/>
      </w:pPr>
      <w:r>
        <w:t xml:space="preserve"/>
      </w:r>
    </w:p>
    <w:p>
      <w:pPr>
        <w:pStyle w:val="Heading2"/>
        <w:spacing w:after="120" w:before="320"/>
      </w:pPr>
      <w:r>
        <w:rPr>
          <w:rFonts w:ascii="Arial" w:cs="Arial" w:eastAsia="Arial" w:hAnsi="Arial"/>
          <w:b/>
          <w:bCs/>
          <w:color w:val="2E75B6"/>
          <w:sz w:val="28"/>
          <w:szCs w:val="28"/>
        </w:rPr>
        <w:t xml:space="preserve">10.3  Incremental loading</w:t>
      </w:r>
    </w:p>
    <w:p>
      <w:pPr>
        <w:spacing w:after="80" w:before="80"/>
        <w:jc w:val="both"/>
      </w:pPr>
      <w:r>
        <w:rPr>
          <w:rFonts w:ascii="Arial" w:cs="Arial" w:eastAsia="Arial" w:hAnsi="Arial"/>
          <w:color w:val="404040"/>
          <w:sz w:val="22"/>
          <w:szCs w:val="22"/>
        </w:rPr>
        <w:t xml:space="preserve">The current pipeline truncates and reloads the full dataset on every run. For small datasets this is fine and has the advantage of simplicity — every run produces the same result regardless of what ran before. As the dataset grows across seasons, you will want to switch to incremental loading.</w:t>
      </w:r>
    </w:p>
    <w:p>
      <w:pPr>
        <w:spacing w:after="0" w:before="80"/>
      </w:pPr>
      <w:r>
        <w:t xml:space="preserve"/>
      </w:r>
    </w:p>
    <w:p>
      <w:pPr>
        <w:spacing w:after="80" w:before="80"/>
        <w:jc w:val="both"/>
      </w:pPr>
      <w:r>
        <w:rPr>
          <w:rFonts w:ascii="Arial" w:cs="Arial" w:eastAsia="Arial" w:hAnsi="Arial"/>
          <w:color w:val="404040"/>
          <w:sz w:val="22"/>
          <w:szCs w:val="22"/>
        </w:rPr>
        <w:t xml:space="preserve">In dbt, this means changing the materialisation of fact_player_game_stats from table to incremental and defining an incremental predicate based on game_date. dbt handles the logic of inserting only new rows on each run. In BigQuery, you would also want to partition the fact table by game_date to make these incremental loads efficient.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18"/>
              <w:bottom w:val="none" w:color="FFFFFF" w:sz="0"/>
              <w:right w:val="none" w:color="FFFFFF" w:sz="0"/>
            </w:tcBorders>
            <w:shd w:fill="D6E4F0" w:val="clear"/>
            <w:tcMar>
              <w:top w:type="dxa" w:w="120"/>
              <w:left w:type="dxa" w:w="200"/>
              <w:bottom w:type="dxa" w:w="120"/>
              <w:right w:type="dxa" w:w="160"/>
            </w:tcMar>
          </w:tcPr>
          <w:p>
            <w:pPr>
              <w:spacing w:after="60" w:before="0"/>
            </w:pPr>
            <w:r>
              <w:rPr>
                <w:rFonts w:ascii="Arial" w:cs="Arial" w:eastAsia="Arial" w:hAnsi="Arial"/>
                <w:b/>
                <w:bCs/>
                <w:color w:val="2E75B6"/>
                <w:sz w:val="20"/>
                <w:szCs w:val="20"/>
              </w:rPr>
              <w:t xml:space="preserve">When to go incremental</w:t>
            </w:r>
          </w:p>
          <w:p>
            <w:pPr>
              <w:spacing w:after="0" w:before="0"/>
              <w:jc w:val="both"/>
            </w:pPr>
            <w:r>
              <w:rPr>
                <w:rFonts w:ascii="Arial" w:cs="Arial" w:eastAsia="Arial" w:hAnsi="Arial"/>
                <w:color w:val="404040"/>
                <w:sz w:val="20"/>
                <w:szCs w:val="20"/>
              </w:rPr>
              <w:t xml:space="preserve">Do not go incremental prematurely. The added complexity of incremental models — late-arriving data, backfill strategies, partition management — is only worth it when full refresh is genuinely too slow or too expensive. For a single season of 26,000 rows, full refresh takes seconds. Stay simple until the data forces you to do otherwise.</w:t>
            </w:r>
          </w:p>
        </w:tc>
      </w:tr>
    </w:tbl>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11. Troubleshooting Common Issues</w:t>
      </w:r>
    </w:p>
    <w:p>
      <w:pPr>
        <w:spacing w:after="80" w:before="80"/>
        <w:jc w:val="both"/>
      </w:pPr>
      <w:r>
        <w:rPr>
          <w:rFonts w:ascii="Arial" w:cs="Arial" w:eastAsia="Arial" w:hAnsi="Arial"/>
          <w:color w:val="404040"/>
          <w:sz w:val="22"/>
          <w:szCs w:val="22"/>
        </w:rPr>
        <w:t xml:space="preserve">This section covers the issues most commonly encountered when building this type of platform for the first time. Work through this list before asking for help.</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Problem</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What to check</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dbt models compile but produce wrong row counts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Check the staging model for unintended WHERE clauses or JOINs that are filtering rows. Run SELECT COUNT(*) on both the source and the staging model and compare.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BigQuery load job fails with schema mismatch</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You likely have a column type mismatch between the CSV and the declared schema. Check that integer columns in the CSV are not being interpreted as strings.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Prefect flow succeeds but dbt test fails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You have configured Prefect to not raise on dbt test failures. Check that your dbt task raises an exception when dbt exits with a non-zero return code.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Power BI shows wrong totals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You likely have an incorrectly configured relationship in the data model. Check that all relationships are many-to-one from fact to dimension and that filter direction is single.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GCS upload succeeds but BigQuery shows old data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The load job is configured with WRITE_APPEND instead of WRITE_TRUNCATE, so old rows are accumulating. Check your load job write disposition setting.</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dbt run is slow locally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Ensure you are connecting to a local Postgres instance, not BigQuery, when developing locally. Check your profiles.yml active target.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Percentage columns are NULL in mart tables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The SAFE_DIVIDE logic in staging is correct but you may be filtering out rows where both numerator and denominator are zero. Verify the SAFE_DIVIDE returns 0.0 (not NULL) for 0/0 if that is the intended behaviour.</w:t>
            </w:r>
          </w:p>
        </w:tc>
      </w:tr>
    </w:tbl>
    <w:p>
      <w:r>
        <w:br w:type="page"/>
      </w:r>
    </w:p>
    <w:p>
      <w:pPr>
        <w:pStyle w:val="Heading1"/>
        <w:pBdr>
          <w:bottom w:val="single" w:color="2E75B6" w:sz="8" w:space="6"/>
        </w:pBdr>
        <w:spacing w:after="200" w:before="400"/>
      </w:pPr>
      <w:r>
        <w:rPr>
          <w:rFonts w:ascii="Arial" w:cs="Arial" w:eastAsia="Arial" w:hAnsi="Arial"/>
          <w:b/>
          <w:bCs/>
          <w:color w:val="1F3864"/>
          <w:sz w:val="36"/>
          <w:szCs w:val="36"/>
        </w:rPr>
        <w:t xml:space="preserve">12. Appendix — Key Terms and Concepts</w:t>
      </w:r>
    </w:p>
    <w:p>
      <w:pPr>
        <w:spacing w:after="80" w:before="80"/>
        <w:jc w:val="both"/>
      </w:pPr>
      <w:r>
        <w:rPr>
          <w:rFonts w:ascii="Arial" w:cs="Arial" w:eastAsia="Arial" w:hAnsi="Arial"/>
          <w:color w:val="404040"/>
          <w:sz w:val="22"/>
          <w:szCs w:val="22"/>
        </w:rPr>
        <w:t xml:space="preserve">This appendix provides brief definitions of the core concepts used throughout this guide for quick reference.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Term</w:t>
            </w:r>
          </w:p>
        </w:tc>
        <w:tc>
          <w:tcPr>
            <w:tcW w:type="dxa" w:w="6240"/>
            <w:tcBorders>
              <w:top w:val="single" w:color="2E75B6" w:sz="1"/>
              <w:left w:val="single" w:color="2E75B6" w:sz="1"/>
              <w:bottom w:val="single" w:color="2E75B6" w:sz="1"/>
              <w:right w:val="single" w:color="2E75B6"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ELT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Extract, Load, Transform. Data is extracted from sources, loaded raw into the warehouse, and transformed in-place using SQL. The modern alternative to ETL, enabled by cheap cloud storage and powerful warehouse compute.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Grain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The level of detail represented by a single row in a table. Defining grain precisely is the most important step in data modelling. A fact table with an ambiguous grain is a source of bugs and incorrect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Star schema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A dimensional modelling pattern with a central fact table surrounded by dimension tables. Optimised for analytical query performance and ease of understanding.</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Surrogate key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A system-generated unique identifier for a fact table row, typically a hash of the natural key columns. Decouples the warehouse from source system key changes.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Materialisation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How dbt persists a model in the database. Views are recomputed on every query. Tables are computed once and stored. Incremental tables add only new rows on each run.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Idempotent</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An operation that produces the same result regardless of how many times it is executed. All pipeline operations should be idempotent so they can be safely retried.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dbt source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A formal declaration in dbt of a raw table that dbt models read from. Allows dbt to test the raw data before it is transformed and to track lineage from source to mart.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Partition pruning</w:t>
            </w:r>
          </w:p>
        </w:tc>
        <w:tc>
          <w:tcPr>
            <w:tcW w:type="dxa" w:w="6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color w:val="404040"/>
                <w:sz w:val="20"/>
                <w:szCs w:val="20"/>
              </w:rPr>
              <w:t xml:space="preserve">BigQuery's ability to skip reading entire partitions of a table when a query's WHERE clause filters on the partition column. Critical for query cost and performance at scale.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Hive partitioning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404040"/>
                <w:sz w:val="20"/>
                <w:szCs w:val="20"/>
              </w:rPr>
              <w:t xml:space="preserve">A folder naming convention (key=value/) that encodes partition information in GCS file paths, enabling BigQuery to treat partitioned GCS files as queryable external tables.</w:t>
            </w:r>
          </w:p>
        </w:tc>
      </w:tr>
    </w:tbl>
    <w:p>
      <w:pPr>
        <w:spacing w:after="0" w:before="200"/>
      </w:pPr>
      <w:r>
        <w:t xml:space="preserve"/>
      </w:r>
    </w:p>
    <w:p>
      <w:pPr>
        <w:spacing w:after="0" w:before="200"/>
        <w:jc w:val="center"/>
      </w:pPr>
      <w:r>
        <w:rPr>
          <w:rFonts w:ascii="Arial" w:cs="Arial" w:eastAsia="Arial" w:hAnsi="Arial"/>
          <w:i/>
          <w:iCs/>
          <w:color w:val="666666"/>
          <w:sz w:val="20"/>
          <w:szCs w:val="20"/>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2026-04-01T02:36:02.828Z</dcterms:created>
  <dcterms:modified xsi:type="dcterms:W3CDTF">2026-04-01T02:36:02.828Z</dcterms:modified>
</cp:coreProperties>
</file>

<file path=docProps/custom.xml><?xml version="1.0" encoding="utf-8"?>
<Properties xmlns="http://schemas.openxmlformats.org/officeDocument/2006/custom-properties" xmlns:vt="http://schemas.openxmlformats.org/officeDocument/2006/docPropsVTypes"/>
</file>