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Safety Analysis Report - item_definition_OBC</w:t>
      </w:r>
    </w:p>
    <w:p>
      <w:r>
        <w:rPr>
          <w:b/>
        </w:rPr>
        <w:t xml:space="preserve">Plugin version: </w:t>
      </w:r>
      <w:r>
        <w:t>2.0.0</w:t>
      </w:r>
    </w:p>
    <w:p>
      <w:r>
        <w:t>Source: item_definition_OBC.txt</w:t>
        <w:br/>
        <w:t>Generated: 2025-09-30T18:00:36.065572</w:t>
      </w:r>
    </w:p>
    <w:p>
      <w:pPr>
        <w:pStyle w:val="Heading2"/>
      </w:pPr>
      <w:r>
        <w:t>Summary</w:t>
      </w:r>
    </w:p>
    <w:p>
      <w:r>
        <w:t>{</w:t>
        <w:br/>
        <w:t xml:space="preserve">  "item": "item_definition_OBC",</w:t>
        <w:br/>
        <w:t xml:space="preserve">  "functions_analyzed": 1,</w:t>
        <w:br/>
        <w:t xml:space="preserve">  "hazardous_events": 1,</w:t>
        <w:br/>
        <w:t xml:space="preserve">  "safety_goals": 1,</w:t>
        <w:br/>
        <w:t xml:space="preserve">  "fsrs_generated": 3,</w:t>
        <w:br/>
        <w:t xml:space="preserve">  "asil_distribution": {</w:t>
        <w:br/>
        <w:t xml:space="preserve">    "A": 3</w:t>
        <w:br/>
        <w:t xml:space="preserve">  },</w:t>
        <w:br/>
        <w:t xml:space="preserve">  "plugin_version": "2.0.0"</w:t>
        <w:br/>
        <w:t>}</w:t>
      </w:r>
    </w:p>
    <w:p>
      <w:pPr>
        <w:pStyle w:val="Heading2"/>
      </w:pPr>
      <w:r>
        <w:t>HARA (Hazard Analysis and Risk Assessment)</w:t>
      </w:r>
    </w:p>
    <w:tbl>
      <w:tblPr>
        <w:tblStyle w:val="Light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Hazardous Event</w:t>
            </w:r>
          </w:p>
        </w:tc>
        <w:tc>
          <w:tcPr>
            <w:tcW w:type="dxa" w:w="1440"/>
          </w:tcPr>
          <w:p>
            <w:r>
              <w:t>Op. Situation</w:t>
            </w:r>
          </w:p>
        </w:tc>
        <w:tc>
          <w:tcPr>
            <w:tcW w:type="dxa" w:w="1440"/>
          </w:tcPr>
          <w:p>
            <w:r>
              <w:t>S/E/C</w:t>
            </w:r>
          </w:p>
        </w:tc>
        <w:tc>
          <w:tcPr>
            <w:tcW w:type="dxa" w:w="1440"/>
          </w:tcPr>
          <w:p>
            <w:r>
              <w:t>ASIL</w:t>
            </w:r>
          </w:p>
        </w:tc>
        <w:tc>
          <w:tcPr>
            <w:tcW w:type="dxa" w:w="1440"/>
          </w:tcPr>
          <w:p>
            <w:r>
              <w:t>Linked SG</w:t>
            </w:r>
          </w:p>
        </w:tc>
      </w:tr>
      <w:tr>
        <w:tc>
          <w:tcPr>
            <w:tcW w:type="dxa" w:w="1440"/>
          </w:tcPr>
          <w:p>
            <w:r>
              <w:t>HARA_001</w:t>
            </w:r>
          </w:p>
        </w:tc>
        <w:tc>
          <w:tcPr>
            <w:tcW w:type="dxa" w:w="1440"/>
          </w:tcPr>
          <w:p>
            <w:r>
              <w:t>Unintended or loss of function 'Primary Function'</w:t>
            </w:r>
          </w:p>
        </w:tc>
        <w:tc>
          <w:tcPr>
            <w:tcW w:type="dxa" w:w="1440"/>
          </w:tcPr>
          <w:p>
            <w:r>
              <w:t>Driving at high speed in traffic</w:t>
            </w:r>
          </w:p>
        </w:tc>
        <w:tc>
          <w:tcPr>
            <w:tcW w:type="dxa" w:w="1440"/>
          </w:tcPr>
          <w:p>
            <w:r>
              <w:t>S2/E3/C2</w:t>
            </w:r>
          </w:p>
        </w:tc>
        <w:tc>
          <w:tcPr>
            <w:tcW w:type="dxa" w:w="1440"/>
          </w:tcPr>
          <w:p>
            <w:r>
              <w:t>A</w:t>
            </w:r>
          </w:p>
        </w:tc>
        <w:tc>
          <w:tcPr>
            <w:tcW w:type="dxa" w:w="1440"/>
          </w:tcPr>
          <w:p>
            <w:r>
              <w:t>SG_001</w:t>
            </w:r>
          </w:p>
        </w:tc>
      </w:tr>
    </w:tbl>
    <w:p>
      <w:pPr>
        <w:pStyle w:val="Heading2"/>
      </w:pPr>
      <w:r>
        <w:t>Safety Goals</w:t>
      </w:r>
    </w:p>
    <w:tbl>
      <w:tblPr>
        <w:tblStyle w:val="Light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Text</w:t>
            </w:r>
          </w:p>
        </w:tc>
        <w:tc>
          <w:tcPr>
            <w:tcW w:type="dxa" w:w="1728"/>
          </w:tcPr>
          <w:p>
            <w:r>
              <w:t>S/E/C</w:t>
            </w:r>
          </w:p>
        </w:tc>
        <w:tc>
          <w:tcPr>
            <w:tcW w:type="dxa" w:w="1728"/>
          </w:tcPr>
          <w:p>
            <w:r>
              <w:t>ASIL</w:t>
            </w:r>
          </w:p>
        </w:tc>
        <w:tc>
          <w:tcPr>
            <w:tcW w:type="dxa" w:w="1728"/>
          </w:tcPr>
          <w:p>
            <w:r>
              <w:t>Rationale</w:t>
            </w:r>
          </w:p>
        </w:tc>
      </w:tr>
      <w:tr>
        <w:tc>
          <w:tcPr>
            <w:tcW w:type="dxa" w:w="1728"/>
          </w:tcPr>
          <w:p>
            <w:r>
              <w:t>SG_001</w:t>
            </w:r>
          </w:p>
        </w:tc>
        <w:tc>
          <w:tcPr>
            <w:tcW w:type="dxa" w:w="1728"/>
          </w:tcPr>
          <w:p>
            <w:r>
              <w:t>Ensure safe operation of the On-Board Charger (OBC) to prevent overheating and electrical hazards.</w:t>
            </w:r>
          </w:p>
        </w:tc>
        <w:tc>
          <w:tcPr>
            <w:tcW w:type="dxa" w:w="1728"/>
          </w:tcPr>
          <w:p>
            <w:r>
              <w:t>S2/E3/C2</w:t>
            </w:r>
          </w:p>
        </w:tc>
        <w:tc>
          <w:tcPr>
            <w:tcW w:type="dxa" w:w="1728"/>
          </w:tcPr>
          <w:p>
            <w:r>
              <w:t>A</w:t>
            </w:r>
          </w:p>
        </w:tc>
        <w:tc>
          <w:tcPr>
            <w:tcW w:type="dxa" w:w="1728"/>
          </w:tcPr>
          <w:p>
            <w:r>
              <w:t>In the event of malfunction, overheating could lead to severe damage or injury (S2), the likelihood of this occurring during normal charging operations is medium (E3), and while cooling systems and alerts can help manage the situation, it may not always be controllable in a timely manner (C2).</w:t>
            </w:r>
          </w:p>
        </w:tc>
      </w:tr>
    </w:tbl>
    <w:p>
      <w:pPr>
        <w:pStyle w:val="Heading2"/>
      </w:pPr>
      <w:r>
        <w:t>Functional Safety Requirements (FSRs)</w:t>
      </w:r>
    </w:p>
    <w:tbl>
      <w:tblPr>
        <w:tblStyle w:val="Light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ASIL</w:t>
            </w:r>
          </w:p>
        </w:tc>
        <w:tc>
          <w:tcPr>
            <w:tcW w:type="dxa" w:w="1440"/>
          </w:tcPr>
          <w:p>
            <w:r>
              <w:t>Requirement</w:t>
            </w:r>
          </w:p>
        </w:tc>
        <w:tc>
          <w:tcPr>
            <w:tcW w:type="dxa" w:w="1440"/>
          </w:tcPr>
          <w:p>
            <w:r>
              <w:t>Timing</w:t>
            </w:r>
          </w:p>
        </w:tc>
        <w:tc>
          <w:tcPr>
            <w:tcW w:type="dxa" w:w="1440"/>
          </w:tcPr>
          <w:p>
            <w:r>
              <w:t>Safe State</w:t>
            </w:r>
          </w:p>
        </w:tc>
        <w:tc>
          <w:tcPr>
            <w:tcW w:type="dxa" w:w="1440"/>
          </w:tcPr>
          <w:p>
            <w:r>
              <w:t>Linked SG</w:t>
            </w:r>
          </w:p>
        </w:tc>
      </w:tr>
      <w:tr>
        <w:tc>
          <w:tcPr>
            <w:tcW w:type="dxa" w:w="1440"/>
          </w:tcPr>
          <w:p>
            <w:r>
              <w:t>FSR_001</w:t>
            </w:r>
          </w:p>
        </w:tc>
        <w:tc>
          <w:tcPr>
            <w:tcW w:type="dxa" w:w="1440"/>
          </w:tcPr>
          <w:p>
            <w:r>
              <w:t>A</w:t>
            </w:r>
          </w:p>
        </w:tc>
        <w:tc>
          <w:tcPr>
            <w:tcW w:type="dxa" w:w="1440"/>
          </w:tcPr>
          <w:p>
            <w:r>
              <w:t>The system shall detect overheating conditions in the On-Board Charger (OBC) when the temperature exceeds 85°C.</w:t>
            </w:r>
          </w:p>
        </w:tc>
        <w:tc>
          <w:tcPr>
            <w:tcW w:type="dxa" w:w="1440"/>
          </w:tcPr>
          <w:p>
            <w:r>
              <w:t>100 ms</w:t>
            </w:r>
          </w:p>
        </w:tc>
        <w:tc>
          <w:tcPr>
            <w:tcW w:type="dxa" w:w="1440"/>
          </w:tcPr>
          <w:p>
            <w:r>
              <w:t>The system shall cease charging operations and switch to a standby state.</w:t>
            </w:r>
          </w:p>
        </w:tc>
        <w:tc>
          <w:tcPr>
            <w:tcW w:type="dxa" w:w="1440"/>
          </w:tcPr>
          <w:p>
            <w:r>
              <w:t>SG_001</w:t>
            </w:r>
          </w:p>
        </w:tc>
      </w:tr>
      <w:tr>
        <w:tc>
          <w:tcPr>
            <w:tcW w:type="dxa" w:w="1440"/>
          </w:tcPr>
          <w:p>
            <w:r>
              <w:t>FSR_002</w:t>
            </w:r>
          </w:p>
        </w:tc>
        <w:tc>
          <w:tcPr>
            <w:tcW w:type="dxa" w:w="1440"/>
          </w:tcPr>
          <w:p>
            <w:r>
              <w:t>A</w:t>
            </w:r>
          </w:p>
        </w:tc>
        <w:tc>
          <w:tcPr>
            <w:tcW w:type="dxa" w:w="1440"/>
          </w:tcPr>
          <w:p>
            <w:r>
              <w:t>The system shall react to electrical hazard conditions by isolating the OBC from the battery.</w:t>
            </w:r>
          </w:p>
        </w:tc>
        <w:tc>
          <w:tcPr>
            <w:tcW w:type="dxa" w:w="1440"/>
          </w:tcPr>
          <w:p>
            <w:r>
              <w:t>50 ms</w:t>
            </w:r>
          </w:p>
        </w:tc>
        <w:tc>
          <w:tcPr>
            <w:tcW w:type="dxa" w:w="1440"/>
          </w:tcPr>
          <w:p>
            <w:r>
              <w:t>The system shall enter a state where no power is supplied to the OBC.</w:t>
            </w:r>
          </w:p>
        </w:tc>
        <w:tc>
          <w:tcPr>
            <w:tcW w:type="dxa" w:w="1440"/>
          </w:tcPr>
          <w:p>
            <w:r>
              <w:t>SG_001</w:t>
            </w:r>
          </w:p>
        </w:tc>
      </w:tr>
      <w:tr>
        <w:tc>
          <w:tcPr>
            <w:tcW w:type="dxa" w:w="1440"/>
          </w:tcPr>
          <w:p>
            <w:r>
              <w:t>FSR_003</w:t>
            </w:r>
          </w:p>
        </w:tc>
        <w:tc>
          <w:tcPr>
            <w:tcW w:type="dxa" w:w="1440"/>
          </w:tcPr>
          <w:p>
            <w:r>
              <w:t>A</w:t>
            </w:r>
          </w:p>
        </w:tc>
        <w:tc>
          <w:tcPr>
            <w:tcW w:type="dxa" w:w="1440"/>
          </w:tcPr>
          <w:p>
            <w:r>
              <w:t>The system shall provide a warning to the driver when an overheating condition is detected.</w:t>
            </w:r>
          </w:p>
        </w:tc>
        <w:tc>
          <w:tcPr>
            <w:tcW w:type="dxa" w:w="1440"/>
          </w:tcPr>
          <w:p>
            <w:r>
              <w:t>200 ms</w:t>
            </w:r>
          </w:p>
        </w:tc>
        <w:tc>
          <w:tcPr>
            <w:tcW w:type="dxa" w:w="1440"/>
          </w:tcPr>
          <w:p>
            <w:r>
              <w:t>The system shall continue to operate but with a warning until the condition is resolved.</w:t>
            </w:r>
          </w:p>
        </w:tc>
        <w:tc>
          <w:tcPr>
            <w:tcW w:type="dxa" w:w="1440"/>
          </w:tcPr>
          <w:p>
            <w:r>
              <w:t>SG_001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