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4C81"/>
          <w:sz w:val="44"/>
        </w:rPr>
        <w:t>PROJECT ORCA</w:t>
      </w:r>
    </w:p>
    <w:p>
      <w:pPr>
        <w:spacing w:before="0" w:after="320"/>
      </w:pPr>
      <w:r>
        <w:rPr>
          <w:rFonts w:ascii="Arial" w:hAnsi="Arial"/>
          <w:i/>
          <w:color w:val="464646"/>
          <w:sz w:val="24"/>
        </w:rPr>
        <w:t>Autonomous Satellite Telemetry &amp; Marine Disaster Sentry System</w:t>
      </w:r>
    </w:p>
    <w:p>
      <w:pPr>
        <w:keepNext/>
        <w:spacing w:before="280" w:after="80"/>
      </w:pPr>
      <w:r>
        <w:rPr>
          <w:rFonts w:ascii="Arial" w:hAnsi="Arial"/>
          <w:b/>
          <w:color w:val="0F4C81"/>
          <w:sz w:val="26"/>
        </w:rPr>
        <w:t>1. Executive Summary</w:t>
      </w:r>
    </w:p>
    <w:p>
      <w:pPr>
        <w:spacing w:before="40" w:after="80" w:line="276" w:lineRule="auto"/>
      </w:pPr>
      <w:r>
        <w:rPr>
          <w:rFonts w:ascii="Calibri" w:hAnsi="Calibri"/>
          <w:color w:val="282828"/>
          <w:sz w:val="22"/>
        </w:rPr>
        <w:t>Project ORCA is an edge-native, multi-agent artificial intelligence telemetry framework designed to monitor, cross-verify, and broadcast operational alerts for rapid marine ecological disasters across Indian coastal waters. Primarily targeting Harmful Algal Blooms (HABs), severe coastal upwelling events, and benthic hypoxia/dead-zone collapses, ORCA replaces manual, retrospective satellite imagery inspection with an autonomous, consensus-driven deliberation pipeline.</w:t>
      </w:r>
    </w:p>
    <w:p>
      <w:pPr>
        <w:keepNext/>
        <w:spacing w:before="280" w:after="80"/>
      </w:pPr>
      <w:r>
        <w:rPr>
          <w:rFonts w:ascii="Arial" w:hAnsi="Arial"/>
          <w:b/>
          <w:color w:val="0F4C81"/>
          <w:sz w:val="26"/>
        </w:rPr>
        <w:t>2. Operational Challenges &amp; Core Innovation</w:t>
      </w:r>
    </w:p>
    <w:p>
      <w:pPr>
        <w:spacing w:before="40" w:after="80" w:line="276" w:lineRule="auto"/>
      </w:pPr>
      <w:r>
        <w:rPr>
          <w:rFonts w:ascii="Calibri" w:hAnsi="Calibri"/>
          <w:b/>
          <w:color w:val="282828"/>
          <w:sz w:val="22"/>
        </w:rPr>
        <w:t xml:space="preserve">The Bandwidth Constraint: </w:t>
      </w:r>
      <w:r>
        <w:rPr>
          <w:rFonts w:ascii="Calibri" w:hAnsi="Calibri"/>
          <w:color w:val="282828"/>
          <w:sz w:val="22"/>
        </w:rPr>
        <w:t>Earth observation satellite swaths (NetCDF/HDF matrices) span hundreds of megabytes per tile. Transmitting heavy multi-spectral rasters across tactical maritime communication links directly to vessels at sea is bandwidth-prohibitive.</w:t>
      </w:r>
    </w:p>
    <w:p>
      <w:pPr>
        <w:spacing w:before="40" w:after="80" w:line="276" w:lineRule="auto"/>
      </w:pPr>
      <w:r>
        <w:rPr>
          <w:rFonts w:ascii="Calibri" w:hAnsi="Calibri"/>
          <w:b/>
          <w:color w:val="282828"/>
          <w:sz w:val="22"/>
        </w:rPr>
        <w:t xml:space="preserve">The Latency Gap: </w:t>
      </w:r>
      <w:r>
        <w:rPr>
          <w:rFonts w:ascii="Calibri" w:hAnsi="Calibri"/>
          <w:color w:val="282828"/>
          <w:sz w:val="22"/>
        </w:rPr>
        <w:t>Conventional satellite detection pipelines rely on centralized processing and manual inspection, often producing advisories 24 to 72 hours after bloom onset. This latency gap results in severe economic losses for coastal fisheries and high mortality in mariculture zones.</w:t>
      </w:r>
    </w:p>
    <w:p>
      <w:pPr>
        <w:spacing w:before="40" w:after="80" w:line="276" w:lineRule="auto"/>
      </w:pPr>
      <w:r>
        <w:rPr>
          <w:rFonts w:ascii="Calibri" w:hAnsi="Calibri"/>
          <w:b/>
          <w:color w:val="282828"/>
          <w:sz w:val="22"/>
        </w:rPr>
        <w:t xml:space="preserve">The ORCA Solution: </w:t>
      </w:r>
      <w:r>
        <w:rPr>
          <w:rFonts w:ascii="Calibri" w:hAnsi="Calibri"/>
          <w:color w:val="282828"/>
          <w:sz w:val="22"/>
        </w:rPr>
        <w:t>ORCA executes statistical anomaly isolation directly on the observation swath at the edge, distilling high-dimensional spatial data into targeted telemetry frames. Autonomous domain-specialized agents then evaluate the hydrodynamic and biochemical viability of the event, distilling the consensus down to an actionable 240-bit NavIC hex payload for instantaneous broadcast.</w:t>
      </w:r>
    </w:p>
    <w:p>
      <w:pPr>
        <w:keepNext/>
        <w:spacing w:before="280" w:after="80"/>
      </w:pPr>
      <w:r>
        <w:rPr>
          <w:rFonts w:ascii="Arial" w:hAnsi="Arial"/>
          <w:b/>
          <w:color w:val="0F4C81"/>
          <w:sz w:val="26"/>
        </w:rPr>
        <w:t>3. Distributed 4-Node Agentic Pipeline</w:t>
      </w:r>
    </w:p>
    <w:tbl>
      <w:tblPr>
        <w:tblW w:type="auto" w:w="0"/>
        <w:jc w:val="center"/>
        <w:tblLook w:firstColumn="1" w:firstRow="1" w:lastColumn="0" w:lastRow="0" w:noHBand="0" w:noVBand="1" w:val="04A0"/>
      </w:tblPr>
      <w:tblGrid>
        <w:gridCol w:w="3120"/>
        <w:gridCol w:w="3120"/>
        <w:gridCol w:w="3120"/>
      </w:tblGrid>
      <w:tr>
        <w:tc>
          <w:tcPr>
            <w:tcW w:type="dxa" w:w="2592"/>
          </w:tcPr>
          <w:p>
            <w:r>
              <w:rPr>
                <w:rFonts w:ascii="Arial" w:hAnsi="Arial"/>
                <w:b/>
                <w:sz w:val="20"/>
              </w:rPr>
              <w:t>Agent Node</w:t>
            </w:r>
          </w:p>
        </w:tc>
        <w:tc>
          <w:tcPr>
            <w:tcW w:type="dxa" w:w="2592"/>
          </w:tcPr>
          <w:p>
            <w:r>
              <w:rPr>
                <w:rFonts w:ascii="Arial" w:hAnsi="Arial"/>
                <w:b/>
                <w:sz w:val="20"/>
              </w:rPr>
              <w:t>Domain Specialization</w:t>
            </w:r>
          </w:p>
        </w:tc>
        <w:tc>
          <w:tcPr>
            <w:tcW w:type="dxa" w:w="4320"/>
          </w:tcPr>
          <w:p>
            <w:r>
              <w:rPr>
                <w:rFonts w:ascii="Arial" w:hAnsi="Arial"/>
                <w:b/>
                <w:sz w:val="20"/>
              </w:rPr>
              <w:t>Operational Responsibilities</w:t>
            </w:r>
          </w:p>
        </w:tc>
      </w:tr>
      <w:tr>
        <w:tc>
          <w:tcPr>
            <w:tcW w:type="dxa" w:w="2592"/>
          </w:tcPr>
          <w:p>
            <w:pPr>
              <w:spacing w:line="276" w:lineRule="auto"/>
            </w:pPr>
            <w:r>
              <w:rPr>
                <w:rFonts w:ascii="Calibri" w:hAnsi="Calibri"/>
                <w:b/>
                <w:sz w:val="19"/>
              </w:rPr>
              <w:t>Node 1: Orbital Perception Sentry</w:t>
            </w:r>
          </w:p>
        </w:tc>
        <w:tc>
          <w:tcPr>
            <w:tcW w:type="dxa" w:w="2592"/>
          </w:tcPr>
          <w:p>
            <w:pPr>
              <w:spacing w:line="276" w:lineRule="auto"/>
            </w:pPr>
            <w:r>
              <w:rPr>
                <w:rFonts w:ascii="Calibri" w:hAnsi="Calibri"/>
                <w:sz w:val="19"/>
              </w:rPr>
              <w:t>Edge Spatial Observation</w:t>
            </w:r>
          </w:p>
        </w:tc>
        <w:tc>
          <w:tcPr>
            <w:tcW w:type="dxa" w:w="4320"/>
          </w:tcPr>
          <w:p>
            <w:pPr>
              <w:spacing w:line="276" w:lineRule="auto"/>
            </w:pPr>
            <w:r>
              <w:rPr>
                <w:rFonts w:ascii="Calibri" w:hAnsi="Calibri"/>
                <w:sz w:val="19"/>
              </w:rPr>
              <w:t>Ingests multi-spectral rasters (SST, Chl-a, winds); executes statistical Z-score filtering; isolates significant anomaly coordinates.</w:t>
            </w:r>
          </w:p>
        </w:tc>
      </w:tr>
      <w:tr>
        <w:tc>
          <w:tcPr>
            <w:tcW w:type="dxa" w:w="2592"/>
          </w:tcPr>
          <w:p>
            <w:pPr>
              <w:spacing w:line="276" w:lineRule="auto"/>
            </w:pPr>
            <w:r>
              <w:rPr>
                <w:rFonts w:ascii="Calibri" w:hAnsi="Calibri"/>
                <w:b/>
                <w:sz w:val="19"/>
              </w:rPr>
              <w:t>Node 2: Hydrodynamic Oceanographer</w:t>
            </w:r>
          </w:p>
        </w:tc>
        <w:tc>
          <w:tcPr>
            <w:tcW w:type="dxa" w:w="2592"/>
          </w:tcPr>
          <w:p>
            <w:pPr>
              <w:spacing w:line="276" w:lineRule="auto"/>
            </w:pPr>
            <w:r>
              <w:rPr>
                <w:rFonts w:ascii="Calibri" w:hAnsi="Calibri"/>
                <w:sz w:val="19"/>
              </w:rPr>
              <w:t>Physical Fluid Dynamics</w:t>
            </w:r>
          </w:p>
        </w:tc>
        <w:tc>
          <w:tcPr>
            <w:tcW w:type="dxa" w:w="4320"/>
          </w:tcPr>
          <w:p>
            <w:pPr>
              <w:spacing w:line="276" w:lineRule="auto"/>
            </w:pPr>
            <w:r>
              <w:rPr>
                <w:rFonts w:ascii="Calibri" w:hAnsi="Calibri"/>
                <w:sz w:val="19"/>
              </w:rPr>
              <w:t>Assesses wind stress curl, thermocline shoaling, and offshore Ekman transport divergence to verify upwelling dynamics.</w:t>
            </w:r>
          </w:p>
        </w:tc>
      </w:tr>
      <w:tr>
        <w:tc>
          <w:tcPr>
            <w:tcW w:type="dxa" w:w="2592"/>
          </w:tcPr>
          <w:p>
            <w:pPr>
              <w:spacing w:line="276" w:lineRule="auto"/>
            </w:pPr>
            <w:r>
              <w:rPr>
                <w:rFonts w:ascii="Calibri" w:hAnsi="Calibri"/>
                <w:b/>
                <w:sz w:val="19"/>
              </w:rPr>
              <w:t>Node 3: Marine Biogeochemist</w:t>
            </w:r>
          </w:p>
        </w:tc>
        <w:tc>
          <w:tcPr>
            <w:tcW w:type="dxa" w:w="2592"/>
          </w:tcPr>
          <w:p>
            <w:pPr>
              <w:spacing w:line="276" w:lineRule="auto"/>
            </w:pPr>
            <w:r>
              <w:rPr>
                <w:rFonts w:ascii="Calibri" w:hAnsi="Calibri"/>
                <w:sz w:val="19"/>
              </w:rPr>
              <w:t>Biological Oceanography</w:t>
            </w:r>
          </w:p>
        </w:tc>
        <w:tc>
          <w:tcPr>
            <w:tcW w:type="dxa" w:w="4320"/>
          </w:tcPr>
          <w:p>
            <w:pPr>
              <w:spacing w:line="276" w:lineRule="auto"/>
            </w:pPr>
            <w:r>
              <w:rPr>
                <w:rFonts w:ascii="Calibri" w:hAnsi="Calibri"/>
                <w:sz w:val="19"/>
              </w:rPr>
              <w:t>Diagnoses suspected taxa (e.g., Skeletonema costatum, Noctiluca); forecasts Biochemical Oxygen Demand (BOD) and hypoxia progression.</w:t>
            </w:r>
          </w:p>
        </w:tc>
      </w:tr>
      <w:tr>
        <w:tc>
          <w:tcPr>
            <w:tcW w:type="dxa" w:w="2592"/>
          </w:tcPr>
          <w:p>
            <w:pPr>
              <w:spacing w:line="276" w:lineRule="auto"/>
            </w:pPr>
            <w:r>
              <w:rPr>
                <w:rFonts w:ascii="Calibri" w:hAnsi="Calibri"/>
                <w:b/>
                <w:sz w:val="19"/>
              </w:rPr>
              <w:t>Node 4: Tactical Synthesizer</w:t>
            </w:r>
          </w:p>
        </w:tc>
        <w:tc>
          <w:tcPr>
            <w:tcW w:type="dxa" w:w="2592"/>
          </w:tcPr>
          <w:p>
            <w:pPr>
              <w:spacing w:line="276" w:lineRule="auto"/>
            </w:pPr>
            <w:r>
              <w:rPr>
                <w:rFonts w:ascii="Calibri" w:hAnsi="Calibri"/>
                <w:sz w:val="19"/>
              </w:rPr>
              <w:t>Command &amp; Disaster Comms</w:t>
            </w:r>
          </w:p>
        </w:tc>
        <w:tc>
          <w:tcPr>
            <w:tcW w:type="dxa" w:w="4320"/>
          </w:tcPr>
          <w:p>
            <w:pPr>
              <w:spacing w:line="276" w:lineRule="auto"/>
            </w:pPr>
            <w:r>
              <w:rPr>
                <w:rFonts w:ascii="Calibri" w:hAnsi="Calibri"/>
                <w:sz w:val="19"/>
              </w:rPr>
              <w:t>Harmonizes node analyses into an operational alert tier; generates targeted directives; formats a compressed 240-bit NavIC S-band hex payload.</w:t>
            </w:r>
          </w:p>
        </w:tc>
      </w:tr>
    </w:tbl>
    <w:p>
      <w:pPr>
        <w:keepNext/>
        <w:spacing w:before="280" w:after="80"/>
      </w:pPr>
      <w:r>
        <w:rPr>
          <w:rFonts w:ascii="Arial" w:hAnsi="Arial"/>
          <w:b/>
          <w:color w:val="0F4C81"/>
          <w:sz w:val="26"/>
        </w:rPr>
        <w:t>4. Software Architecture &amp; Technical Stack</w:t>
      </w:r>
    </w:p>
    <w:p>
      <w:pPr>
        <w:spacing w:before="40" w:after="80" w:line="276" w:lineRule="auto"/>
      </w:pPr>
      <w:r>
        <w:rPr>
          <w:rFonts w:ascii="Calibri" w:hAnsi="Calibri"/>
          <w:b/>
          <w:color w:val="282828"/>
          <w:sz w:val="22"/>
        </w:rPr>
        <w:t xml:space="preserve">Core Language &amp; Schemas: </w:t>
      </w:r>
      <w:r>
        <w:rPr>
          <w:rFonts w:ascii="Calibri" w:hAnsi="Calibri"/>
          <w:color w:val="282828"/>
          <w:sz w:val="22"/>
        </w:rPr>
        <w:t>Python 3.11+ environment with strict typed schemas enforced via Pydantic.</w:t>
      </w:r>
    </w:p>
    <w:p>
      <w:pPr>
        <w:spacing w:before="40" w:after="80" w:line="276" w:lineRule="auto"/>
      </w:pPr>
      <w:r>
        <w:rPr>
          <w:rFonts w:ascii="Calibri" w:hAnsi="Calibri"/>
          <w:b/>
          <w:color w:val="282828"/>
          <w:sz w:val="22"/>
        </w:rPr>
        <w:t xml:space="preserve">Agent Reasoning Core: </w:t>
      </w:r>
      <w:r>
        <w:rPr>
          <w:rFonts w:ascii="Calibri" w:hAnsi="Calibri"/>
          <w:color w:val="282828"/>
          <w:sz w:val="22"/>
        </w:rPr>
        <w:t>Google GenAI SDK leveraging Gemini 3.6 Flash configured with structured JSON schema outputs.</w:t>
      </w:r>
    </w:p>
    <w:p>
      <w:pPr>
        <w:spacing w:before="40" w:after="80" w:line="276" w:lineRule="auto"/>
      </w:pPr>
      <w:r>
        <w:rPr>
          <w:rFonts w:ascii="Calibri" w:hAnsi="Calibri"/>
          <w:b/>
          <w:color w:val="282828"/>
          <w:sz w:val="22"/>
        </w:rPr>
        <w:t xml:space="preserve">Geospatial Telemetry: </w:t>
      </w:r>
      <w:r>
        <w:rPr>
          <w:rFonts w:ascii="Calibri" w:hAnsi="Calibri"/>
          <w:color w:val="282828"/>
          <w:sz w:val="22"/>
        </w:rPr>
        <w:t>xarray, netCDF4, and numpy for multi-dimensional spatial grid manipulation.</w:t>
      </w:r>
    </w:p>
    <w:p>
      <w:pPr>
        <w:spacing w:before="40" w:after="80" w:line="276" w:lineRule="auto"/>
      </w:pPr>
      <w:r>
        <w:rPr>
          <w:rFonts w:ascii="Calibri" w:hAnsi="Calibri"/>
          <w:b/>
          <w:color w:val="282828"/>
          <w:sz w:val="22"/>
        </w:rPr>
        <w:t xml:space="preserve">Interactive Dashboard: </w:t>
      </w:r>
      <w:r>
        <w:rPr>
          <w:rFonts w:ascii="Calibri" w:hAnsi="Calibri"/>
          <w:color w:val="282828"/>
          <w:sz w:val="22"/>
        </w:rPr>
        <w:t>Streamlit frontend integrated with Folium for interactive coastal risk mapping.</w:t>
      </w:r>
    </w:p>
    <w:p>
      <w:pPr>
        <w:keepNext/>
        <w:spacing w:before="280" w:after="80"/>
      </w:pPr>
      <w:r>
        <w:rPr>
          <w:rFonts w:ascii="Arial" w:hAnsi="Arial"/>
          <w:b/>
          <w:color w:val="0F4C81"/>
          <w:sz w:val="26"/>
        </w:rPr>
        <w:t>5. Implementation Roadmap</w:t>
      </w:r>
    </w:p>
    <w:p>
      <w:pPr>
        <w:spacing w:before="40" w:after="80" w:line="276" w:lineRule="auto"/>
      </w:pPr>
      <w:r>
        <w:rPr>
          <w:rFonts w:ascii="Calibri" w:hAnsi="Calibri"/>
          <w:b/>
          <w:color w:val="282828"/>
          <w:sz w:val="22"/>
        </w:rPr>
        <w:t xml:space="preserve">Milestone 1 (Complete): </w:t>
      </w:r>
      <w:r>
        <w:rPr>
          <w:rFonts w:ascii="Calibri" w:hAnsi="Calibri"/>
          <w:color w:val="282828"/>
          <w:sz w:val="22"/>
        </w:rPr>
        <w:t>Multi-agent test validated with verified physical and biogeochemical outputs.</w:t>
      </w:r>
    </w:p>
    <w:p>
      <w:pPr>
        <w:spacing w:before="40" w:after="80" w:line="276" w:lineRule="auto"/>
      </w:pPr>
      <w:r>
        <w:rPr>
          <w:rFonts w:ascii="Calibri" w:hAnsi="Calibri"/>
          <w:b/>
          <w:color w:val="282828"/>
          <w:sz w:val="22"/>
        </w:rPr>
        <w:t xml:space="preserve">Milestone 2 (Current): </w:t>
      </w:r>
      <w:r>
        <w:rPr>
          <w:rFonts w:ascii="Calibri" w:hAnsi="Calibri"/>
          <w:color w:val="282828"/>
          <w:sz w:val="22"/>
        </w:rPr>
        <w:t>NetCDF telemetry array extraction pipeline feeding structured anomaly vectors to agents.</w:t>
      </w:r>
    </w:p>
    <w:p>
      <w:pPr>
        <w:spacing w:before="40" w:after="80" w:line="276" w:lineRule="auto"/>
      </w:pPr>
      <w:r>
        <w:rPr>
          <w:rFonts w:ascii="Calibri" w:hAnsi="Calibri"/>
          <w:b/>
          <w:color w:val="282828"/>
          <w:sz w:val="22"/>
        </w:rPr>
        <w:t xml:space="preserve">Milestone 3 (Next): </w:t>
      </w:r>
      <w:r>
        <w:rPr>
          <w:rFonts w:ascii="Calibri" w:hAnsi="Calibri"/>
          <w:color w:val="282828"/>
          <w:sz w:val="22"/>
        </w:rPr>
        <w:t>Live operational UI visualizing real-time agent deliberation traces and NavIC payloads.</w:t>
      </w:r>
    </w:p>
    <w:p>
      <w:pPr>
        <w:spacing w:before="40" w:after="80" w:line="276" w:lineRule="auto"/>
      </w:pPr>
      <w:r>
        <w:rPr>
          <w:rFonts w:ascii="Calibri" w:hAnsi="Calibri"/>
          <w:b/>
          <w:color w:val="282828"/>
          <w:sz w:val="22"/>
        </w:rPr>
        <w:t xml:space="preserve">Milestone 4 (Mentorship Scope): </w:t>
      </w:r>
      <w:r>
        <w:rPr>
          <w:rFonts w:ascii="Calibri" w:hAnsi="Calibri"/>
          <w:color w:val="282828"/>
          <w:sz w:val="22"/>
        </w:rPr>
        <w:t>Alignment with high-performance computing hardware for large-scale spatial raster training.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