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Microsoft YaHei" w:hAnsi="Microsoft YaHei" w:eastAsia="Microsoft YaHei"/>
          <w:b/>
          <w:color w:val="000000"/>
          <w:sz w:val="44"/>
        </w:rPr>
        <w:t>姬岁歌角色视觉设计画师交接稿</w:t>
      </w:r>
    </w:p>
    <w:p>
      <w:pPr>
        <w:spacing w:before="0" w:after="180" w:line="307" w:lineRule="auto"/>
      </w:pPr>
      <w:r>
        <w:rPr>
          <w:rFonts w:ascii="Microsoft YaHei" w:hAnsi="Microsoft YaHei" w:eastAsia="Microsoft YaHei"/>
          <w:color w:val="555555"/>
          <w:sz w:val="20"/>
        </w:rPr>
        <w:t>AI 虚拟主播角色概念  2026 年 10 月 4 日  画师沟通版</w:t>
      </w:r>
    </w:p>
    <w:p>
      <w:pPr>
        <w:spacing w:before="0" w:after="160" w:line="307" w:lineRule="auto"/>
      </w:pPr>
      <w:r>
        <w:rPr>
          <w:rFonts w:ascii="Microsoft YaHei" w:hAnsi="Microsoft YaHei" w:eastAsia="Microsoft YaHei"/>
          <w:sz w:val="20"/>
        </w:rPr>
        <w:t>本稿用于把姬岁歌目前确认的视觉方向交给原画师深化。目标是一位有少女感的 AI 虚拟主播：以黑红裙装为主体，融入少量蜜蜡黄色、绢白和旧金；历史细节落在利簋启发的腰扣，科技身份通过发卡、袖口与侧腰的声纹装置呈现。下图是沟通用概念图，文字说明优先于图中的偶发细节。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5349670"/>
            <wp:docPr id="1" name="Picture 1" descr="姬岁歌单人服饰概念图，展示黑红裙装、黄色裙褶、发卡、异色瞳、青铜腰扣及声纹装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5aee6f94-dd5c-4b36-9668-92168568e0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34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图一  当前视觉沟通稿  AI 生成草图  供结构与元素讨论</w:t>
      </w:r>
    </w:p>
    <w:p>
      <w:r>
        <w:br w:type="page"/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角色与整体造型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姬岁歌的故事设定是同一身体中有“岁”和“歌”两位虚构人格。当前画的是她们共用的一套主视觉服饰，不是把两位角色左右拼接，也不是反派黑化造型。面部气质应年轻、好奇，带一点有主见的小傲娇；避免成熟妩媚或幼态化。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视觉优先级：先读到少女主播的完整裙装与自然发型，再看到红黑主色和黄色衣料，最后发现青铜、玉与声纹科技细节。衣服要像真实可裁剪的布料，有清楚的领、袖、腰和裙层关系。</w:t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服饰与色彩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767"/>
      </w:tblGrid>
      <w:tr>
        <w:tc>
          <w:tcPr>
            <w:tcW w:type="dxa" w:w="4734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部位</w:t>
            </w:r>
          </w:p>
        </w:tc>
        <w:tc>
          <w:tcPr>
            <w:tcW w:type="dxa" w:w="4734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画师执行要点</w:t>
            </w:r>
          </w:p>
        </w:tc>
      </w:tr>
      <w:t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上身</w:t>
            </w:r>
          </w:p>
        </w:tc>
        <w:tc>
          <w:tcPr>
            <w:tcW w:type="dxa" w:w="776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黑色斜襟短上衣为主，绢白窄领形成脸部亮区；肩颈完整包覆。袖套有中式宽袖的流动感，内层袖保持操作游戏时的利落。</w:t>
            </w:r>
          </w:p>
        </w:tc>
      </w:tr>
      <w:tr>
        <w:tc>
          <w:tcPr>
            <w:tcW w:type="dxa" w:w="1701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裙身</w:t>
            </w:r>
          </w:p>
        </w:tc>
        <w:tc>
          <w:tcPr>
            <w:tcW w:type="dxa" w:w="776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必须是裙子。黑红层叠裙摆保持主导，左侧加入一片可辨认的蜜蜡黄色裙褶或内片，约占裙身可视面积的一小部分；红与黄由黑色和绢白过渡，不做大面积纯色拼旗。</w:t>
            </w:r>
          </w:p>
        </w:tc>
      </w:tr>
      <w:tr>
        <w:tc>
          <w:tcPr>
            <w:tcW w:type="dxa" w:w="1701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双拖尾</w:t>
            </w:r>
          </w:p>
        </w:tc>
        <w:tc>
          <w:tcPr>
            <w:tcW w:type="dxa" w:w="776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从后腰分出两条独立布带，随动作飘动。红色一条更醒目，另一条用烟黑透纱与少量暖黄内衬；形状圆润柔软，不像燕尾服，也不似旗帜。</w:t>
            </w:r>
          </w:p>
        </w:tc>
      </w:tr>
      <w:tr>
        <w:tc>
          <w:tcPr>
            <w:tcW w:type="dxa" w:w="1701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腿部与鞋</w:t>
            </w:r>
          </w:p>
        </w:tc>
        <w:tc>
          <w:tcPr>
            <w:tcW w:type="dxa" w:w="776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黑色不透明袜或丝袜，腿饰佩戴在袜面；低跟短靴适合直播与游戏动作。鞋上少量旧金五金件与红色收边即可。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1757"/>
        <w:gridCol w:w="5896"/>
      </w:tblGrid>
      <w:tr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色彩</w:t>
            </w:r>
          </w:p>
        </w:tc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参考色</w:t>
            </w:r>
          </w:p>
        </w:tc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252024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FFFFFF"/>
                <w:sz w:val="18"/>
              </w:rPr>
              <w:t>玄墨黑</w:t>
            </w:r>
          </w:p>
        </w:tc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#252024</w:t>
            </w:r>
          </w:p>
        </w:tc>
        <w:tc>
          <w:tcPr>
            <w:tcW w:type="dxa" w:w="589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上衣、裙层、袜与鞋的结构底色</w:t>
            </w:r>
          </w:p>
        </w:tc>
      </w:tr>
      <w:t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A23F4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FFFFFF"/>
                <w:sz w:val="18"/>
              </w:rPr>
              <w:t>朱漆绛红</w:t>
            </w:r>
          </w:p>
        </w:tc>
        <w:tc>
          <w:tcPr>
            <w:tcW w:type="dxa" w:w="175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#A23F45</w:t>
            </w:r>
          </w:p>
        </w:tc>
        <w:tc>
          <w:tcPr>
            <w:tcW w:type="dxa" w:w="5896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裙摆、袖内与主拖尾；有漆色深度，避免纯正大红</w:t>
            </w:r>
          </w:p>
        </w:tc>
      </w:tr>
      <w:t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C99A4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蜜蜡黄</w:t>
            </w:r>
          </w:p>
        </w:tc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#C99A4A</w:t>
            </w:r>
          </w:p>
        </w:tc>
        <w:tc>
          <w:tcPr>
            <w:tcW w:type="dxa" w:w="589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左侧裙褶、少量拖尾内衬；应是布料颜色，不只金属镶边</w:t>
            </w:r>
          </w:p>
        </w:tc>
      </w:tr>
      <w:t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F3EBDD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暖绢白</w:t>
            </w:r>
          </w:p>
        </w:tc>
        <w:tc>
          <w:tcPr>
            <w:tcW w:type="dxa" w:w="175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#F3EBDD</w:t>
            </w:r>
          </w:p>
        </w:tc>
        <w:tc>
          <w:tcPr>
            <w:tcW w:type="dxa" w:w="5896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斜襟领边与小面积内衬</w:t>
            </w:r>
          </w:p>
        </w:tc>
      </w:tr>
      <w:tr>
        <w:tc>
          <w:tcPr>
            <w:tcW w:type="dxa" w:w="181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  <w:shd w:fill="9B7749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FFFFFF"/>
                <w:sz w:val="18"/>
              </w:rPr>
              <w:t>旧铜金</w:t>
            </w:r>
          </w:p>
        </w:tc>
        <w:tc>
          <w:tcPr>
            <w:tcW w:type="dxa" w:w="175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#9B7749</w:t>
            </w:r>
          </w:p>
        </w:tc>
        <w:tc>
          <w:tcPr>
            <w:tcW w:type="dxa" w:w="5896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腰扣、发卡与小五金；不等同于黄色布料</w:t>
            </w:r>
          </w:p>
        </w:tc>
      </w:tr>
    </w:tbl>
    <w:p>
      <w:pPr>
        <w:spacing w:after="20"/>
      </w:pPr>
    </w:p>
    <w:p>
      <w:pPr>
        <w:spacing w:before="0" w:after="0" w:line="307" w:lineRule="auto"/>
      </w:pPr>
      <w:r>
        <w:rPr>
          <w:rFonts w:ascii="Microsoft YaHei" w:hAnsi="Microsoft YaHei" w:eastAsia="Microsoft YaHei"/>
          <w:sz w:val="20"/>
        </w:rPr>
        <w:t>色值是沟通范围，不是最终印刷或建模标准。请画师在保持黑红主次与黄色可见度的前提下调整材质、明度和肤色关系。</w:t>
      </w:r>
    </w:p>
    <w:p>
      <w:r>
        <w:br w:type="page"/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头发与面部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头发为自然的深色半扎长发，偏分刘海；发量和发束疏密有变化，避免左右镜像的大卷、重复细辫与密集发光线。刘海只留一束清楚的深红条染。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头上一枚单侧发卡：旧金与浅玉结合，造型借谷穗的弧线。发卡边缘可有小型声谱灯，但不做猫耳、头戴耳机或冠饰。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眼睛保留红与暖金的自然异色瞳，虹膜细节有层次，瞳孔为普通圆形。不要龙瞳、竖瞳、五角星或过度浑圆的眼型。</w:t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历史元素的落点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腰部正中是全身唯一的大件历史识别点。参考西周利簋的兽首双耳、方座与器身兽面纹，把双耳曲线和兽面提炼成可穿戴的青铜腰扣；四角的蝉纹可缩成小刻痕。腰扣要像精制饰件，不把整件青铜器挂在身上，也不照描铭文。国博介绍见文末来源。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侧腰的小玉环称“渭水玉璧”，是角色原创饰物，借用玉璧的圆形与渭水意象，并非真实出土文物。让它与腰扣错位摆放，避免胸前出现大圆盘。</w:t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AI 虚拟主播元素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4649"/>
        <w:gridCol w:w="3402"/>
      </w:tblGrid>
      <w:tr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表现方式</w:t>
            </w:r>
          </w:p>
        </w:tc>
        <w:tc>
          <w:tcPr>
            <w:tcW w:type="dxa" w:w="3156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视觉边界</w:t>
            </w:r>
          </w:p>
        </w:tc>
      </w:tr>
      <w:tr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发卡</w:t>
            </w:r>
          </w:p>
        </w:tc>
        <w:tc>
          <w:tcPr>
            <w:tcW w:type="dxa" w:w="464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五格以内细小声谱灯，靠近浅玉粒与金属边缘。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远看仍是发卡，不像天线或猫耳。</w:t>
            </w:r>
          </w:p>
        </w:tc>
      </w:tr>
      <w:tr>
        <w:tc>
          <w:tcPr>
            <w:tcW w:type="dxa" w:w="141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单侧袖口</w:t>
            </w:r>
          </w:p>
        </w:tc>
        <w:tc>
          <w:tcPr>
            <w:tcW w:type="dxa" w:w="4649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一片贴合袖口的半透明音频控制片，能看到少量电平与声波。</w:t>
            </w:r>
          </w:p>
        </w:tc>
        <w:tc>
          <w:tcPr>
            <w:tcW w:type="dxa" w:w="3402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不要整只手臂铺满电路或悬浮大屏。</w:t>
            </w:r>
          </w:p>
        </w:tc>
      </w:tr>
      <w:tr>
        <w:tc>
          <w:tcPr>
            <w:tcW w:type="dxa" w:w="141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侧腰玉环</w:t>
            </w:r>
          </w:p>
        </w:tc>
        <w:tc>
          <w:tcPr>
            <w:tcW w:type="dxa" w:w="4649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玉环旁有一圈局部发光的声纹刻度，形成“历史材质＋数据界面”。</w:t>
            </w:r>
          </w:p>
        </w:tc>
        <w:tc>
          <w:tcPr>
            <w:tcW w:type="dxa" w:w="3402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体积小于掌心，与正中青铜扣分开。</w:t>
            </w:r>
          </w:p>
        </w:tc>
      </w:tr>
      <w:tr>
        <w:tc>
          <w:tcPr>
            <w:tcW w:type="dxa" w:w="1417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拖尾末端</w:t>
            </w:r>
          </w:p>
        </w:tc>
        <w:tc>
          <w:tcPr>
            <w:tcW w:type="dxa" w:w="4649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每条拖尾仅一道细声波线，随布料弯曲。</w:t>
            </w:r>
          </w:p>
        </w:tc>
        <w:tc>
          <w:tcPr>
            <w:tcW w:type="dxa" w:w="3402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不画音符、文字、旗帜与密集光带。</w:t>
            </w:r>
          </w:p>
        </w:tc>
      </w:tr>
    </w:tbl>
    <w:p>
      <w:pPr>
        <w:spacing w:after="20"/>
      </w:pPr>
    </w:p>
    <w:p>
      <w:pPr>
        <w:spacing w:before="0" w:after="0" w:line="307" w:lineRule="auto"/>
      </w:pPr>
      <w:r>
        <w:rPr>
          <w:rFonts w:ascii="Microsoft YaHei" w:hAnsi="Microsoft YaHei" w:eastAsia="Microsoft YaHei"/>
          <w:sz w:val="20"/>
        </w:rPr>
        <w:t>这些是角色外观设定，可先用静态贴图或轻量动效表达。当前项目尚未完成歌唱模块，不要把概念图解读为已实现的实时歌唱功能。</w:t>
      </w:r>
    </w:p>
    <w:p>
      <w:r>
        <w:br w:type="page"/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原画深化与交付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请优先把概念图里模糊的结构画清楚，再调整装饰密度。建议先交一版简化线稿和上色稿确认轮廓，再制作完整设定页。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7313"/>
      </w:tblGrid>
      <w:tr>
        <w:tc>
          <w:tcPr>
            <w:tcW w:type="dxa" w:w="4734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建议交付</w:t>
            </w:r>
          </w:p>
        </w:tc>
        <w:tc>
          <w:tcPr>
            <w:tcW w:type="dxa" w:w="4734"/>
            <w:shd w:fill="33333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需要画清楚的内容</w:t>
            </w:r>
          </w:p>
        </w:tc>
      </w:tr>
      <w:tr>
        <w:tc>
          <w:tcPr>
            <w:tcW w:type="dxa" w:w="215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正侧背三视图</w:t>
            </w:r>
          </w:p>
        </w:tc>
        <w:tc>
          <w:tcPr>
            <w:tcW w:type="dxa" w:w="731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上衣斜襟、袖套连接、裙摆左黄右红分区、后腰两条拖尾的起点与层次。</w:t>
            </w:r>
          </w:p>
        </w:tc>
      </w:tr>
      <w:tr>
        <w:tc>
          <w:tcPr>
            <w:tcW w:type="dxa" w:w="2154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头部放大图</w:t>
            </w:r>
          </w:p>
        </w:tc>
        <w:tc>
          <w:tcPr>
            <w:tcW w:type="dxa" w:w="7313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自然发束、单束刘海条染、单侧发卡、普通瞳孔的红金异色瞳。</w:t>
            </w:r>
          </w:p>
        </w:tc>
      </w:tr>
      <w:tr>
        <w:tc>
          <w:tcPr>
            <w:tcW w:type="dxa" w:w="2154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饰件详图</w:t>
            </w:r>
          </w:p>
        </w:tc>
        <w:tc>
          <w:tcPr>
            <w:tcW w:type="dxa" w:w="7313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利簋启发的腰扣、渭水玉璧、袖口音频片、鞋与腿饰。标注金属、玉、绢与透纱的材质区别。</w:t>
            </w:r>
          </w:p>
        </w:tc>
      </w:tr>
      <w:tr>
        <w:tc>
          <w:tcPr>
            <w:tcW w:type="dxa" w:w="2154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表情与拆件建议</w:t>
            </w:r>
          </w:p>
        </w:tc>
        <w:tc>
          <w:tcPr>
            <w:tcW w:type="dxa" w:w="7313"/>
            <w:shd w:fill="F7F7F7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好奇、忍笑、倔强、专注、生气、疲惫等基础表情；头发、袖套、裙层、双拖尾与声纹灯应便于后续 Live2D 分层。</w:t>
            </w:r>
          </w:p>
        </w:tc>
      </w:tr>
    </w:tbl>
    <w:p>
      <w:pPr>
        <w:spacing w:after="20"/>
      </w:pP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本轮已排除的方向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不要把岁与歌画成两位并排少女，也不要做简单黑白双生或邪恶化形象；当前主视觉是一人一套融合服饰。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不要猫耳耳机、巨大胸前发光圆环、龙瞳竖瞳、复制感强的发束、成熟露肩造型、满身青铜纹或发光电路。</w:t>
      </w:r>
    </w:p>
    <w:p>
      <w:pPr>
        <w:pStyle w:val="ListBullet"/>
        <w:spacing w:after="60" w:line="295" w:lineRule="auto"/>
      </w:pPr>
      <w:r>
        <w:rPr>
          <w:rFonts w:ascii="Microsoft YaHei" w:hAnsi="Microsoft YaHei" w:eastAsia="Microsoft YaHei"/>
          <w:sz w:val="20"/>
        </w:rPr>
        <w:t>不要借现有游戏、漫画或虚拟歌姬的具体服饰、符号和五官；炎黄与西周是文化叙事线索，画面不使用旗帜、徽章、星形或政治口号。</w:t>
      </w:r>
    </w:p>
    <w:p>
      <w:pPr>
        <w:pStyle w:val="Heading1"/>
        <w:spacing w:before="220" w:after="100"/>
      </w:pPr>
      <w:r>
        <w:rPr>
          <w:rFonts w:ascii="Microsoft YaHei" w:hAnsi="Microsoft YaHei" w:eastAsia="Microsoft YaHei"/>
          <w:b/>
          <w:color w:val="000000"/>
          <w:sz w:val="30"/>
        </w:rPr>
        <w:t>参考与状态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sz w:val="20"/>
        </w:rPr>
        <w:t>文物依据：中国国家博物馆“利”青铜簋馆藏页，https://www.chnmuseum.cn/zp/zpml/kgfjp/202108/t20210802_250931.shtml 。利簋属于西周初年，馆藏说明记载兽首双耳、方座以及器身和方座的兽面纹。</w:t>
      </w:r>
    </w:p>
    <w:p>
      <w:pPr>
        <w:spacing w:before="0" w:after="0" w:line="307" w:lineRule="auto"/>
      </w:pPr>
      <w:r>
        <w:rPr>
          <w:rFonts w:ascii="Microsoft YaHei" w:hAnsi="Microsoft YaHei" w:eastAsia="Microsoft YaHei"/>
          <w:sz w:val="20"/>
        </w:rPr>
        <w:t>角色依据：项目中的《姬岁歌 歌人格设定》《姬岁歌 岁人格设定》。本稿是画师沟通版；最终色值、布料裁片、表情与 Live2D 拆件须由原画师和项目组评审确认。图一为 AI 生成的视觉草图，仅用于表达方向，不作为可直接投放的正式原画。</w:t>
      </w:r>
    </w:p>
    <w:sectPr w:rsidR="00FC693F" w:rsidRPr="0006063C" w:rsidSect="00034616">
      <w:footerReference w:type="default" r:id="rId10"/>
      <w:pgSz w:w="11906" w:h="16838"/>
      <w:pgMar w:top="964" w:right="1219" w:bottom="90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77777"/>
        <w:sz w:val="16"/>
      </w:rPr>
      <w:t>姬岁歌 画师交接稿  ·  2026 10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