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widowControl/>
      </w:pPr>
      <w:r>
        <w:rPr>
          <w:b w:val="0"/>
        </w:rPr>
        <w:t>2026 昆山杯清华大学创业大赛</w:t>
      </w:r>
    </w:p>
    <w:p>
      <w:pPr>
        <w:spacing w:after="500"/>
      </w:pPr>
    </w:p>
    <w:p>
      <w:pPr>
        <w:pStyle w:val="Title"/>
        <w:widowControl/>
      </w:pPr>
      <w:r>
        <w:rPr>
          <w:b w:val="0"/>
        </w:rPr>
        <w:t>潮生智能商业计划书</w:t>
      </w:r>
    </w:p>
    <w:p>
      <w:pPr>
        <w:pStyle w:val="Subtitle"/>
        <w:widowControl/>
      </w:pPr>
      <w:r>
        <w:rPr>
          <w:b w:val="0"/>
        </w:rPr>
        <w:t>面向小型内容团队的可控AI角色直播系统</w:t>
      </w:r>
    </w:p>
    <w:p>
      <w:pPr>
        <w:spacing w:after="500"/>
      </w:pPr>
    </w:p>
    <w:p>
      <w:pPr>
        <w:widowControl/>
      </w:pPr>
      <w:r>
        <w:rPr>
          <w:b/>
        </w:rPr>
        <w:t>团队名称  潮生智能团队</w:t>
      </w:r>
    </w:p>
    <w:p>
      <w:pPr>
        <w:widowControl/>
      </w:pPr>
      <w:r>
        <w:rPr>
          <w:b w:val="0"/>
        </w:rPr>
        <w:t>项目负责人  杨若朝</w:t>
      </w:r>
    </w:p>
    <w:p>
      <w:pPr>
        <w:widowControl/>
      </w:pPr>
      <w:r>
        <w:rPr>
          <w:b w:val="0"/>
        </w:rPr>
        <w:t>参赛组别  种子组</w:t>
      </w:r>
    </w:p>
    <w:p>
      <w:pPr>
        <w:widowControl/>
      </w:pPr>
      <w:r>
        <w:rPr>
          <w:b w:val="0"/>
        </w:rPr>
        <w:t>参赛赛道  第四赛道 AI for X 行业应用与科学创新</w:t>
      </w:r>
    </w:p>
    <w:p>
      <w:pPr>
        <w:widowControl/>
      </w:pPr>
      <w:r>
        <w:rPr>
          <w:b w:val="0"/>
        </w:rPr>
        <w:t>主体状态  尚未注册公司  尚未获得机构投资</w:t>
      </w:r>
    </w:p>
    <w:p>
      <w:pPr>
        <w:spacing w:after="460"/>
      </w:pPr>
    </w:p>
    <w:p>
      <w:pPr>
        <w:widowControl/>
      </w:pPr>
      <w:r>
        <w:rPr>
          <w:b w:val="0"/>
        </w:rPr>
        <w:t>我们希望帮助有内容策划能力、但缺少完整AI工程能力的小型团队，制作能够玩游戏、回应观众并保持角色一致性的AI直播节目。团队以原创角色姬岁歌为首个验证对象，逐步把人格设计、语音、游戏执行和人工导演管理整合为可复用的工作台。</w:t>
      </w:r>
    </w:p>
    <w:p>
      <w:pPr>
        <w:widowControl/>
      </w:pPr>
      <w:r>
        <w:rPr>
          <w:b w:val="0"/>
        </w:rPr>
        <w:t>目前已有本地原型、独立游戏AI验收记录和部分真实游戏联调证据。下一阶段的重点是有授权素材、有人工监督、可回放和可量化评测的节目样例，以及客户付费意愿验证。</w:t>
      </w:r>
    </w:p>
    <w:p>
      <w:pPr>
        <w:widowControl/>
      </w:pPr>
      <w:r>
        <w:rPr>
          <w:b w:val="0"/>
        </w:rPr>
        <w:t>版本说明  本稿依据截至2026年10月20日的提供材料与项目证据编写。定价、市场容量、收入、预算和里程碑属于计划或情景假设，不代表已实现经营数据。参赛资格证明及团队权益安排须在提交前补齐。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一 执行摘要</w:t>
        <w:tab/>
        <w:t>3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二 客户问题与市场切入</w:t>
        <w:tab/>
        <w:t>4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三 产品与交付范围</w:t>
        <w:tab/>
        <w:t>5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四 姬岁歌的角色资产与节目设计</w:t>
        <w:tab/>
        <w:t>6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五 技术架构与可积累能力</w:t>
        <w:tab/>
        <w:t>7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六 已有成果与当前进展</w:t>
        <w:tab/>
        <w:t>8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七 替代方案与竞争策略</w:t>
        <w:tab/>
        <w:t>9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八 商业模式与拟定价格</w:t>
        <w:tab/>
        <w:t>10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九 获客与客户验证计划</w:t>
        <w:tab/>
        <w:t>11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 运营流程与验收指标</w:t>
        <w:tab/>
        <w:t>12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十一 实施路线与赛事安排</w:t>
        <w:tab/>
        <w:t>13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十二 团队组织与治理安排</w:t>
        <w:tab/>
        <w:t>14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十三 单位经济与测算方法</w:t>
        <w:tab/>
        <w:t>15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十四 三年财务情景</w:t>
        <w:tab/>
        <w:t>16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十五 资金需求与使用计划</w:t>
        <w:tab/>
        <w:t>17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十六 风险管理与商业化前置条件</w:t>
        <w:tab/>
        <w:t>18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十七 报名核对与证据索引</w:t>
        <w:tab/>
        <w:t>19</w:t>
      </w:r>
    </w:p>
    <w:p>
      <w:pPr>
        <w:widowControl/>
        <w:tabs>
          <w:tab w:pos="9241" w:val="right"/>
        </w:tabs>
        <w:spacing w:after="180"/>
      </w:pPr>
      <w:r>
        <w:rPr>
          <w:b w:val="0"/>
        </w:rPr>
        <w:t>十八 外部来源与测算说明</w:t>
        <w:tab/>
        <w:t>20</w:t>
      </w:r>
    </w:p>
    <w:p>
      <w:r>
        <w:br w:type="page"/>
      </w:r>
    </w:p>
    <w:p>
      <w:pPr>
        <w:pStyle w:val="Heading1"/>
      </w:pPr>
      <w:r>
        <w:t>一 执行摘要</w:t>
      </w:r>
    </w:p>
    <w:p>
      <w:pPr>
        <w:widowControl/>
      </w:pPr>
      <w:r>
        <w:rPr>
          <w:b w:val="0"/>
        </w:rPr>
        <w:t>潮生智能的产品定位是可控的AI角色直播系统。我们首先服务小型虚拟主播工作室、独立内容团队和拥有授权角色的小型IP运营方，提供角色配置、游戏接入、口播调度和人工导演工作台。姬岁歌承担自营内容试验与产品验证任务，客户可以使用其自有且已获授权的角色。</w:t>
      </w:r>
    </w:p>
    <w:p>
      <w:pPr>
        <w:pStyle w:val="Heading2"/>
      </w:pPr>
      <w:r>
        <w:t>现阶段的投资判断</w:t>
      </w:r>
    </w:p>
    <w:p>
      <w:pPr>
        <w:widowControl/>
      </w:pPr>
      <w:r>
        <w:rPr>
          <w:b w:val="0"/>
        </w:rPr>
        <w:t>团队已跨过纯概念阶段，拥有可以运行和继续迭代的工程原型；商业上的关键假设仍待验证。我们需要证明，小团队愿意为稳定的节目生产流程和更少的人工维护付费，而不只是对一次新奇演示感兴趣。当前不把游戏获胜、角色维度数量或测试数量直接当作商业竞争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767"/>
      </w:tblGrid>
      <w:tr>
        <w:trPr>
          <w:cantSplit/>
          <w:tblHeader/>
        </w:trPr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776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本项目的回答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谁来付费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首批拟面向已有内容策划与角色权益、缺少工程集成能力的小型团队。付费意愿尚未验证。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交付什么</w:t>
            </w:r>
          </w:p>
        </w:tc>
        <w:tc>
          <w:tcPr>
            <w:tcW w:type="dxa" w:w="776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可配置角色、可追溯游戏决策、可取消任务、语音与直播舞台，以及导演监督与复盘流程。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已有证据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人格与记忆底座、语音接口、Minecraft实机采集制作、杀戮尖塔2动作与口播回执，以及独立Flappy Bird验收。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怎样赚钱</w:t>
            </w:r>
          </w:p>
        </w:tc>
        <w:tc>
          <w:tcPr>
            <w:tcW w:type="dxa" w:w="776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先验证付费部署及联合试播，再测试工作台订阅。IP合作、赞助和衍生品不计入基础收入预测。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本轮需要什么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计划争取10万元种子验证支持、算力与办公资源，并获得目标客户访谈及专业导师支持。</w:t>
            </w:r>
          </w:p>
        </w:tc>
      </w:tr>
    </w:tbl>
    <w:p>
      <w:pPr>
        <w:spacing w:after="20"/>
      </w:pPr>
    </w:p>
    <w:p>
      <w:pPr>
        <w:pStyle w:val="Heading2"/>
      </w:pPr>
      <w:r>
        <w:t>未来六个月需要回答的三个问题</w:t>
      </w:r>
    </w:p>
    <w:p>
      <w:pPr>
        <w:widowControl/>
      </w:pPr>
      <w:r>
        <w:rPr>
          <w:b w:val="0"/>
        </w:rPr>
        <w:t>第一，连续节目是否能稳定完成，且关键台词与动作能追溯到真实局面。第二，在同一节目形式下，人工介入时间和准备成本是否有可重复的改善。第三，至少有一批目标团队愿意进入付费验证，并在试用后继续使用。未经这三项验证，不提前扩展为通用陪伴平台或多行业数字人平台。</w:t>
      </w:r>
    </w:p>
    <w:p>
      <w:pPr>
        <w:widowControl/>
      </w:pPr>
      <w:r>
        <w:rPr>
          <w:b w:val="0"/>
        </w:rPr>
        <w:t>申报建议  本项目按种子组与第四赛道申报。核心价值落在AI技术对内容生产工作流的应用；角色IP是验证场景与内容资产，不改变本次以行业应用为主的叙事。赛事资格以主办方审核为准。</w:t>
      </w:r>
    </w:p>
    <w:p>
      <w:r>
        <w:br w:type="page"/>
      </w:r>
    </w:p>
    <w:p>
      <w:pPr>
        <w:pStyle w:val="Heading1"/>
      </w:pPr>
      <w:r>
        <w:t>二 客户问题与市场切入</w:t>
      </w:r>
    </w:p>
    <w:p>
      <w:pPr>
        <w:pStyle w:val="Heading2"/>
      </w:pPr>
      <w:r>
        <w:t>先验证小团队的生产问题</w:t>
      </w:r>
    </w:p>
    <w:p>
      <w:pPr>
        <w:widowControl/>
      </w:pPr>
      <w:r>
        <w:rPr>
          <w:b w:val="0"/>
        </w:rPr>
        <w:t>我们拟解决的不是单次生成一句台词，而是一场节目中“该不该说、该由谁说、说完之后游戏是否真的发生了变化”的协同问题。模型、语音、角色渲染和游戏控制通常需要共同工作，某一环节的延迟、断线或错误陈述都可能打断节目。该痛点来自团队自身原型实践；其在外部客户中的普遍程度、损失规模和付费意愿，仍需访谈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819"/>
        <w:gridCol w:w="2835"/>
      </w:tblGrid>
      <w:tr>
        <w:trPr>
          <w:cantSplit/>
          <w:tblHeader/>
        </w:trPr>
        <w:tc>
          <w:tcPr>
            <w:tcW w:type="dxa" w:w="181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客户类型</w:t>
            </w:r>
          </w:p>
        </w:tc>
        <w:tc>
          <w:tcPr>
            <w:tcW w:type="dxa" w:w="481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拟验证的需求</w:t>
            </w:r>
          </w:p>
        </w:tc>
        <w:tc>
          <w:tcPr>
            <w:tcW w:type="dxa" w:w="283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首次接触方式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小型虚拟主播工作室</w:t>
            </w:r>
          </w:p>
        </w:tc>
        <w:tc>
          <w:tcPr>
            <w:tcW w:type="dxa" w:w="481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希望制作AI嘉宾或游戏互动栏目，减少临时拼接工具和反复救场。</w:t>
            </w:r>
          </w:p>
        </w:tc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访谈现有创作者，观看其真实制作流程。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独立内容团队</w:t>
            </w:r>
          </w:p>
        </w:tc>
        <w:tc>
          <w:tcPr>
            <w:tcW w:type="dxa" w:w="481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拥有节目创意和基本剪辑能力，希望低成本试播并保留人工控制权。</w:t>
            </w:r>
          </w:p>
        </w:tc>
        <w:tc>
          <w:tcPr>
            <w:tcW w:type="dxa" w:w="28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通过高校创作社群及公开技术演示招募内测。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小型IP运营方</w:t>
            </w:r>
          </w:p>
        </w:tc>
        <w:tc>
          <w:tcPr>
            <w:tcW w:type="dxa" w:w="481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有角色权益与内容计划，需要可审核、可复盘的互动样例。</w:t>
            </w:r>
          </w:p>
        </w:tc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先做受控联合试播，不直接承诺长期代运营。</w:t>
            </w:r>
          </w:p>
        </w:tc>
      </w:tr>
    </w:tbl>
    <w:p>
      <w:pPr>
        <w:spacing w:after="20"/>
      </w:pPr>
    </w:p>
    <w:p>
      <w:pPr>
        <w:pStyle w:val="Heading2"/>
      </w:pPr>
      <w:r>
        <w:t>市场依据与适用范围</w:t>
      </w:r>
    </w:p>
    <w:p>
      <w:pPr>
        <w:widowControl/>
      </w:pPr>
      <w:r>
        <w:rPr>
          <w:b w:val="0"/>
        </w:rPr>
        <w:t>哔哩哔哩披露，2025年第四季度月活跃用户为3.66亿，日活跃用户为1.13亿。[S1] 这说明视频社区具有较大的内容触达基础，但不能据此推导AI主播的付费用户数、虚拟主播市场规模或本项目可获得收入。</w:t>
      </w:r>
    </w:p>
    <w:p>
      <w:pPr>
        <w:widowControl/>
      </w:pPr>
      <w:r>
        <w:rPr>
          <w:b w:val="0"/>
        </w:rPr>
        <w:t>目前没有经团队访谈核验的全国目标客户数量。我们采用自下而上的市场核算：建立目标团队名录，逐一确认角色授权、节目频次、现有制作人力、预算负责人和采购意愿，再计算可服务市场。第一年先争取覆盖120个合格线索，不将其写成已有客户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4706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候选可服务团队数</w:t>
            </w:r>
          </w:p>
        </w:tc>
        <w:tc>
          <w:tcPr>
            <w:tcW w:type="dxa" w:w="4706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按1999元每月计算的年订阅容量</w:t>
            </w:r>
          </w:p>
        </w:tc>
        <w:tc>
          <w:tcPr>
            <w:tcW w:type="dxa" w:w="238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性质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200家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479.76万元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假设情景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500家</w:t>
            </w:r>
          </w:p>
        </w:tc>
        <w:tc>
          <w:tcPr>
            <w:tcW w:type="dxa" w:w="470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1199.40万元</w:t>
            </w:r>
          </w:p>
        </w:tc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假设情景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1000家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2398.80万元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假设情景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上述数量仅用于检验商业模型，不是市场调查结论，不包含部署费。真正的市场入口取决于客户是否能持续制作节目和续费。近期优先关注节目复用、交付效率与付费转化，不以粉丝量或全网数字娱乐规模替代采购证据。</w:t>
      </w:r>
    </w:p>
    <w:p>
      <w:r>
        <w:br w:type="page"/>
      </w:r>
    </w:p>
    <w:p>
      <w:pPr>
        <w:pStyle w:val="Heading1"/>
      </w:pPr>
      <w:r>
        <w:t>三 产品与交付范围</w:t>
      </w:r>
    </w:p>
    <w:p>
      <w:pPr>
        <w:widowControl/>
      </w:pPr>
      <w:r>
        <w:rPr>
          <w:b w:val="0"/>
        </w:rPr>
        <w:t>产品以角色直播工作台为中心，把分散的模块组织成一条可监督的生产流程。客户先配置已授权角色与节目目标，再连接支持的游戏或场景，由系统读取状态并生成受限动作和口播。导演可以调整、否决或停止任务，场后按照日志检查结果。当前工作台原型与计划中的商业版本需要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139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产品部分</w:t>
            </w:r>
          </w:p>
        </w:tc>
        <w:tc>
          <w:tcPr>
            <w:tcW w:type="dxa" w:w="413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客户将获得的能力</w:t>
            </w:r>
          </w:p>
        </w:tc>
        <w:tc>
          <w:tcPr>
            <w:tcW w:type="dxa" w:w="362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当前与下一步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角色配置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角色目标、表达习惯、边界、世界书和记忆规则。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角色包和运行时已有；可视化配置、模板迁移和冷测仍需完善。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游戏与场景接入</w:t>
            </w:r>
          </w:p>
        </w:tc>
        <w:tc>
          <w:tcPr>
            <w:tcW w:type="dxa" w:w="413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从可观测状态产生动作，并记录执行结果。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Minecraft与STS2已有联调；标准适配协议与稳定交付清单待完善。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语音与舞台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字幕、语音识别与合成、角色嘴型及播放管理。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接口与页面已有；商用声线、原创模型和端到端延迟需验收。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导演工作台</w:t>
            </w:r>
          </w:p>
        </w:tc>
        <w:tc>
          <w:tcPr>
            <w:tcW w:type="dxa" w:w="413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停播、取消任务、建议确认、记忆审核和异常复盘。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已有相关控制入口；完整人类导演权限与审查流程仍需产品化。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场后复盘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关联局面、决策、台词、介入与最终结果。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已有日志与部分回执；统一场次报告、标注工具和导出能力为规划。</w:t>
            </w:r>
          </w:p>
        </w:tc>
      </w:tr>
    </w:tbl>
    <w:p>
      <w:pPr>
        <w:spacing w:after="20"/>
      </w:pPr>
    </w:p>
    <w:p>
      <w:pPr>
        <w:pStyle w:val="Heading2"/>
      </w:pPr>
      <w:r>
        <w:t>首个可销售版本的边界</w:t>
      </w:r>
    </w:p>
    <w:p>
      <w:pPr>
        <w:widowControl/>
      </w:pPr>
      <w:r>
        <w:rPr>
          <w:b w:val="0"/>
        </w:rPr>
        <w:t>首个版本只支持一个经过验证的节目类型和有限游戏适配，不承诺任何游戏都能自动游玩。默认有人工导演在场，不提供未经值守验收的全天候自动直播承诺。客户使用自己的模型账号或明确授权的推理服务，角色美术、声音和游戏素材的使用权单独核验。</w:t>
      </w:r>
    </w:p>
    <w:p>
      <w:pPr>
        <w:pStyle w:val="Heading2"/>
      </w:pPr>
      <w:r>
        <w:t>标准交付流程</w:t>
      </w:r>
    </w:p>
    <w:p>
      <w:pPr>
        <w:widowControl/>
      </w:pPr>
      <w:r>
        <w:rPr>
          <w:b w:val="0"/>
        </w:rPr>
        <w:t>需求与权利核验完成后，团队制作配置和技术样例，开展受控试播；客户确认节目效果与交付范围后进入订阅验证。每次交付都应留下角色配置版本、支持场景、故障处理说明和一次验收记录。这样可以把项目定制积累为可重复交付的模板，而不把每个新客户变成重新开发。</w:t>
      </w:r>
    </w:p>
    <w:p>
      <w:r>
        <w:br w:type="page"/>
      </w:r>
    </w:p>
    <w:p>
      <w:pPr>
        <w:pStyle w:val="Heading1"/>
      </w:pPr>
      <w:r>
        <w:t>四 姬岁歌的角色资产与节目设计</w:t>
      </w:r>
    </w:p>
    <w:p>
      <w:pPr>
        <w:widowControl/>
      </w:pPr>
      <w:r>
        <w:rPr>
          <w:b w:val="0"/>
        </w:rPr>
        <w:t>姬岁歌是团队已定名的原创AI虚拟主播。在创作设定中，同一身体里的岁与歌各有稳定的目标和表达方式。产品希望让观众通过她们的选择和语言辨认当前人格；现实系统的能力应以程序和测评为依据，不将叙事中的“醒来”或“意志”表述为已经证明的自我意识。[I1][I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883"/>
        <w:gridCol w:w="3883"/>
      </w:tblGrid>
      <w:tr>
        <w:trPr>
          <w:cantSplit/>
          <w:tblHeader/>
        </w:trPr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83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岁 听潮记岁</w:t>
            </w:r>
          </w:p>
        </w:tc>
        <w:tc>
          <w:tcPr>
            <w:tcW w:type="dxa" w:w="3883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歌 守潮成歌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主要倾向</w:t>
            </w:r>
          </w:p>
        </w:tc>
        <w:tc>
          <w:tcPr>
            <w:tcW w:type="dxa" w:w="388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靠近世界，理解人、作品与游戏局面。</w:t>
            </w:r>
          </w:p>
        </w:tc>
        <w:tc>
          <w:tcPr>
            <w:tcW w:type="dxa" w:w="388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守住选择，面对取舍并承担结果。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每场执念</w:t>
            </w:r>
          </w:p>
        </w:tc>
        <w:tc>
          <w:tcPr>
            <w:tcW w:type="dxa" w:w="3883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理解一个新的人、作品或局面。</w:t>
            </w:r>
          </w:p>
        </w:tc>
        <w:tc>
          <w:tcPr>
            <w:tcW w:type="dxa" w:w="3883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处理一个需要明确选择的挑战。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表达检验</w:t>
            </w:r>
          </w:p>
        </w:tc>
        <w:tc>
          <w:tcPr>
            <w:tcW w:type="dxa" w:w="388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有好奇心和自己的判断，避免空泛附和。</w:t>
            </w:r>
          </w:p>
        </w:tc>
        <w:tc>
          <w:tcPr>
            <w:tcW w:type="dxa" w:w="388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有边界和理由，避免把强硬写成否认事实。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设计目标</w:t>
            </w:r>
          </w:p>
        </w:tc>
        <w:tc>
          <w:tcPr>
            <w:tcW w:type="dxa" w:w="3883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需要理解时提议出场。</w:t>
            </w:r>
          </w:p>
        </w:tc>
        <w:tc>
          <w:tcPr>
            <w:tcW w:type="dxa" w:w="3883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需要取舍时提议接手；切回条件仍待完善。</w:t>
            </w:r>
          </w:p>
        </w:tc>
      </w:tr>
    </w:tbl>
    <w:p>
      <w:pPr>
        <w:spacing w:after="20"/>
      </w:pPr>
    </w:p>
    <w:p>
      <w:pPr>
        <w:pStyle w:val="Heading2"/>
      </w:pPr>
      <w:r>
        <w:t>已有实现和设计提案</w:t>
      </w:r>
    </w:p>
    <w:p>
      <w:pPr>
        <w:widowControl/>
      </w:pPr>
      <w:r>
        <w:rPr>
          <w:b w:val="0"/>
        </w:rPr>
        <w:t>现有工程包括双人格运行时、角色包、人格与情绪状态，以及共享或隔离不同类别记忆的机制。两个人格独立训练、双模型并行、执念驱动的自动切换、完整真实性审查和场后各自挑选长期记忆，不应整体写成已完成产品。附件中的人格与说话设计仍明确区分已确认设计、现状、建议与待定项。</w:t>
      </w:r>
    </w:p>
    <w:p>
      <w:pPr>
        <w:pStyle w:val="Heading2"/>
      </w:pPr>
      <w:r>
        <w:t>近期节目选择</w:t>
      </w:r>
    </w:p>
    <w:p>
      <w:pPr>
        <w:widowControl/>
      </w:pPr>
      <w:r>
        <w:rPr>
          <w:b w:val="0"/>
        </w:rPr>
        <w:t>先以游戏状态较清楚、允许停顿的回合制节目形成可复盘样例。《杀戮尖塔2》已有动作与口播回执记录，可作为受控样例候选。Minecraft用于检验开放世界执行和故障恢复，暂不作为稳定自主生存的商业承诺。动画评论和视觉小说方向保留为规划，前提是完成内容版权核验。</w:t>
      </w:r>
    </w:p>
    <w:p>
      <w:pPr>
        <w:pStyle w:val="Heading2"/>
      </w:pPr>
      <w:r>
        <w:t>角色资产的商业管理</w:t>
      </w:r>
    </w:p>
    <w:p>
      <w:pPr>
        <w:widowControl/>
      </w:pPr>
      <w:r>
        <w:rPr>
          <w:b w:val="0"/>
        </w:rPr>
        <w:t>角色文本、角色包与工程实现可以形成持续积累；原创视觉、Live2D制作与合法声线是商用前的重要投入。现有预览资源不能直接视为最终原创商用资产。商业版本须建立委托合同、声音许可、训练用途、使用期限、平台范围和终止后的处理规则。自营IP收入具有不确定性，本计划不把打赏、赞助或衍生品收入列入基础预测。</w:t>
      </w:r>
    </w:p>
    <w:p>
      <w:r>
        <w:br w:type="page"/>
      </w:r>
    </w:p>
    <w:p>
      <w:pPr>
        <w:pStyle w:val="Heading1"/>
      </w:pPr>
      <w:r>
        <w:t>五 技术架构与可积累能力</w:t>
      </w:r>
    </w:p>
    <w:p>
      <w:pPr>
        <w:widowControl/>
      </w:pPr>
      <w:r>
        <w:rPr>
          <w:b w:val="0"/>
        </w:rPr>
        <w:t>系统采用模块化方式组织角色、模型调用、游戏工具和舞台播放。本地模型与云API可以承担不同任务；2026年10月的Minecraft控制已接入DeepSeek API，动作通过结构化校验后交给Mineflayer执行，并依据真实结果重新规划。该实现解决了模型与执行器连接问题，仍需要对复杂地形和连续节目稳定性持续验证。[I3]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3685"/>
        <w:gridCol w:w="3969"/>
      </w:tblGrid>
      <w:tr>
        <w:trPr>
          <w:cantSplit/>
          <w:tblHeader/>
        </w:trPr>
        <w:tc>
          <w:tcPr>
            <w:tcW w:type="dxa" w:w="181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68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已有工程基础</w:t>
            </w:r>
          </w:p>
        </w:tc>
        <w:tc>
          <w:tcPr>
            <w:tcW w:type="dxa" w:w="396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商业版本需要补齐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感知与状态</w:t>
            </w:r>
          </w:p>
        </w:tc>
        <w:tc>
          <w:tcPr>
            <w:tcW w:type="dxa" w:w="368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游戏状态接口、截图和部分视觉工具。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场景置信度、统一时间戳、失效数据处理。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角色与记忆</w:t>
            </w:r>
          </w:p>
        </w:tc>
        <w:tc>
          <w:tcPr>
            <w:tcW w:type="dxa" w:w="368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34维稳定人格、63维动态状态、SQLite记忆与人工审核。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把维度映射到可感知行为，并完成盲评；不以维度数量证明效果。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决策与表达</w:t>
            </w:r>
          </w:p>
        </w:tc>
        <w:tc>
          <w:tcPr>
            <w:tcW w:type="dxa" w:w="368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模型路由、角色上下文、流式生成、口播调度。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形成角色一致性、事实依据和节目节奏的稳定评测。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执行与反馈</w:t>
            </w:r>
          </w:p>
        </w:tc>
        <w:tc>
          <w:tcPr>
            <w:tcW w:type="dxa" w:w="368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动作合同、任务编号、取消、真实结果记录。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统一不同游戏的适配规范和端到端回放。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运营与审查</w:t>
            </w:r>
          </w:p>
        </w:tc>
        <w:tc>
          <w:tcPr>
            <w:tcW w:type="dxa" w:w="368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工作台、记忆管理、部分停止和确认入口。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人工导演权限、审核记录、风险预案和客户交付报告。</w:t>
            </w:r>
          </w:p>
        </w:tc>
      </w:tr>
    </w:tbl>
    <w:p>
      <w:pPr>
        <w:spacing w:after="20"/>
      </w:pPr>
    </w:p>
    <w:p>
      <w:pPr>
        <w:pStyle w:val="Heading2"/>
      </w:pPr>
      <w:r>
        <w:t>技术贡献的准确表述</w:t>
      </w:r>
    </w:p>
    <w:p>
      <w:pPr>
        <w:widowControl/>
      </w:pPr>
      <w:r>
        <w:rPr>
          <w:b w:val="0"/>
        </w:rPr>
        <w:t>现阶段贡献主要在系统集成、角色与记忆组织、可验证执行和节目工作流设计。模型服务、Mineflayer、GPT-SoVITS、SenseVoice、Live2D及游戏本身依赖外部组件；不将通用模型能力和开源项目的既有能力表述为全部自研。</w:t>
      </w:r>
    </w:p>
    <w:p>
      <w:pPr>
        <w:pStyle w:val="Heading2"/>
      </w:pPr>
      <w:r>
        <w:t>竞争壁垒的建设路径</w:t>
      </w:r>
    </w:p>
    <w:p>
      <w:pPr>
        <w:widowControl/>
      </w:pPr>
      <w:r>
        <w:rPr>
          <w:b w:val="0"/>
        </w:rPr>
        <w:t>长期可积累的资产是经过许可的角色内容、带真实局面与导演介入记录的节目样本、失败案例库、标准场景适配和交付经验。当前还没有足够证据证明这些资产已经形成排他性壁垒。下一阶段要通过跨场次复用、降低部署工时和客户续费来验证其价值，而不是仅凭接口数量或架构复杂度判断领先。</w:t>
      </w:r>
    </w:p>
    <w:p>
      <w:r>
        <w:br w:type="page"/>
      </w:r>
    </w:p>
    <w:p>
      <w:pPr>
        <w:pStyle w:val="Heading1"/>
      </w:pPr>
      <w:r>
        <w:t>六 已有成果与当前进展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3515"/>
        <w:gridCol w:w="3572"/>
      </w:tblGrid>
      <w:tr>
        <w:trPr>
          <w:cantSplit/>
          <w:tblHeader/>
        </w:trPr>
        <w:tc>
          <w:tcPr>
            <w:tcW w:type="dxa" w:w="238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模块与证据</w:t>
            </w:r>
          </w:p>
        </w:tc>
        <w:tc>
          <w:tcPr>
            <w:tcW w:type="dxa" w:w="351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可以支持的结论</w:t>
            </w:r>
          </w:p>
        </w:tc>
        <w:tc>
          <w:tcPr>
            <w:tcW w:type="dxa" w:w="357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尚不能支持的结论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主播底座</w:t>
              <w:br/>
              <w:t>附件项目说明及仓库模块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人格、情绪、记忆、模型调用、ASR/TTS、Live2D与工作台已有实现。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全部模块已完成商用级端到端验收，或已拥有正式直播平台接入。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Flappy Bird</w:t>
              <w:br/>
              <w:t>2026年10月18日验收JSON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100局达到1000分；单局10000分耐久验收，使用预训练策略与保护层。</w:t>
            </w:r>
          </w:p>
        </w:tc>
        <w:tc>
          <w:tcPr>
            <w:tcW w:type="dxa" w:w="357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通用游戏智能、永不失败、重新训练权重，或主播节目已完成集成。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Minecraft</w:t>
              <w:br/>
              <w:t>实机记录与DeepSeek接入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75个注册动作；曾核验采木、工作台与工具等操作，最新链路有原木与木剑入库。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75项全部通过实机验收，或房屋、床和完整生存链已稳定完成。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杀戮尖塔2</w:t>
              <w:br/>
              <w:t>2026年10月20日验收快照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快照记录18次成功动作，游戏处于第一幕第6层；含一条口播ended回执。</w:t>
            </w:r>
          </w:p>
        </w:tc>
        <w:tc>
          <w:tcPr>
            <w:tcW w:type="dxa" w:w="357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整局通关、长期稳定直播，或所有台词与画面语义都已通过独立评审。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人格与说话设计</w:t>
              <w:br/>
              <w:t>v0.3建议稿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有平级双人格、执念驱动切换、真实性约束与导演监督的设计。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整套设计均已在程序中落地，或双人格已经独立训练。</w:t>
            </w:r>
          </w:p>
        </w:tc>
      </w:tr>
    </w:tbl>
    <w:p>
      <w:pPr>
        <w:spacing w:after="20"/>
      </w:pPr>
    </w:p>
    <w:p>
      <w:pPr>
        <w:pStyle w:val="Heading2"/>
      </w:pPr>
      <w:r>
        <w:t>评测资料的使用口径</w:t>
      </w:r>
    </w:p>
    <w:p>
      <w:pPr>
        <w:widowControl/>
      </w:pPr>
      <w:r>
        <w:rPr>
          <w:b w:val="0"/>
        </w:rPr>
        <w:t>项目说明列有77项情绪检查、32条场景评测和双人格运行时测试等工程检查项。本稿没有重新运行全量测试，因此只将其表述为已有检查框架。盲评均分3.8、单项不低于3.0是原需求目标，不能写成已经取得的得分。</w:t>
      </w:r>
    </w:p>
    <w:p>
      <w:pPr>
        <w:widowControl/>
      </w:pPr>
      <w:r>
        <w:rPr>
          <w:b w:val="0"/>
        </w:rPr>
        <w:t>Flappy Bird验收使用固定观测、有限动作和已有预训练策略，不能与Minecraft长程规划直接比较。原始策略另组64/100的结果与保护策略验收使用不同种子，不能宣传为同种子对照提升。</w:t>
      </w:r>
    </w:p>
    <w:p>
      <w:pPr>
        <w:pStyle w:val="Heading2"/>
      </w:pPr>
      <w:r>
        <w:t>下一阶段的验收重点</w:t>
      </w:r>
    </w:p>
    <w:p>
      <w:pPr>
        <w:widowControl/>
      </w:pPr>
      <w:r>
        <w:rPr>
          <w:b w:val="0"/>
        </w:rPr>
        <w:t>优先完成一个有监督的10至15分钟完整节目样例，把台词、动作、关键事件和人工介入关联到统一场次。当前最大的差距是节目稳定性、原创素材权利和外部客户验证，而非继续增加未经验证的游戏接口。证据路径见文末，历史快照不代表文档阅读时的实时服务状态。</w:t>
      </w:r>
    </w:p>
    <w:p>
      <w:r>
        <w:br w:type="page"/>
      </w:r>
    </w:p>
    <w:p>
      <w:pPr>
        <w:pStyle w:val="Heading1"/>
      </w:pPr>
      <w:r>
        <w:t>七 替代方案与竞争策略</w:t>
      </w:r>
    </w:p>
    <w:p>
      <w:pPr>
        <w:widowControl/>
      </w:pPr>
      <w:r>
        <w:rPr>
          <w:b w:val="0"/>
        </w:rPr>
        <w:t>客户的替代选择包括继续由真人演出、使用现有虚拟形象工具、使用通用对话模型，或自行集成开源组件。我们的竞争对手不仅是另一个AI主播，也包括客户不改变当前流程的选择。需要通过相同节目任务下的对照，证明购买潮生智能有实际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3402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替代选择</w:t>
            </w:r>
          </w:p>
        </w:tc>
        <w:tc>
          <w:tcPr>
            <w:tcW w:type="dxa" w:w="340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客户可能选择它的原因</w:t>
            </w:r>
          </w:p>
        </w:tc>
        <w:tc>
          <w:tcPr>
            <w:tcW w:type="dxa" w:w="379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本项目需要证明的差异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真人主播与现有导播流程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表达自然、经验明确、现有观众关系可延续。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适合哪些AI栏目；准备时间、介入负担和节目效果是否值得新增工具。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VTube Studio等形象工具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已有Live2D驱动及插件生态，可与原有直播流程结合。</w:t>
            </w:r>
          </w:p>
        </w:tc>
        <w:tc>
          <w:tcPr>
            <w:tcW w:type="dxa" w:w="37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在角色决策、游戏执行和可追溯复盘上提供额外价值，而非重复形象展示功能。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通用对话模型与语音工具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试用门槛较低，适合单次对话和快速试验。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把说话、动作、结果与人工控制组成可持续的节目流程。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团队自行集成开源方案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灵活、可定制，适合已有工程能力的团队。</w:t>
            </w:r>
          </w:p>
        </w:tc>
        <w:tc>
          <w:tcPr>
            <w:tcW w:type="dxa" w:w="37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能否缩短部署周期、减少故障排查与维护工时，并保证可迁移性。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VTube Studio公开文档介绍了Live2D驱动与API功能。[S2] 本表比较的是产品工作范围与拟验证价值，不是对竞品性能、收入或缺陷的测评。Neuro-sama可作为AI主播内容形态的研究对象，但头部案例不应被直接当作普通团队的获客或收入基准。</w:t>
      </w:r>
    </w:p>
    <w:p>
      <w:pPr>
        <w:pStyle w:val="Heading2"/>
      </w:pPr>
      <w:r>
        <w:t>避免两种没有验证的扩张</w:t>
      </w:r>
    </w:p>
    <w:p>
      <w:pPr>
        <w:widowControl/>
      </w:pPr>
      <w:r>
        <w:rPr>
          <w:b w:val="0"/>
        </w:rPr>
        <w:t>不在早期同时承接所有游戏和全部行业，也不以完全替代真人作为销售承诺。先支持一个节目形态，复用现有直播工具；对于已经具有强工程能力、希望自行维护全部组件的团队，采购优先级可能很低。</w:t>
      </w:r>
    </w:p>
    <w:p>
      <w:pPr>
        <w:pStyle w:val="Heading2"/>
      </w:pPr>
      <w:r>
        <w:t>对照试验设计</w:t>
      </w:r>
    </w:p>
    <w:p>
      <w:pPr>
        <w:widowControl/>
      </w:pPr>
      <w:r>
        <w:rPr>
          <w:b w:val="0"/>
        </w:rPr>
        <w:t>同一团队用相同角色和节目脚本分别运行现有流程与潮生智能流程，记录准备时长、每小时人工介入分钟数、故障恢复时间，以及观众盲评。改善至少跨三场复现后，再考虑形成公开的效率提升主张。尚无该对照试验结果。</w:t>
      </w:r>
    </w:p>
    <w:p>
      <w:r>
        <w:br w:type="page"/>
      </w:r>
    </w:p>
    <w:p>
      <w:pPr>
        <w:pStyle w:val="Heading1"/>
      </w:pPr>
      <w:r>
        <w:t>八 商业模式与拟定价格</w:t>
      </w:r>
    </w:p>
    <w:p>
      <w:pPr>
        <w:widowControl/>
      </w:pPr>
      <w:r>
        <w:rPr>
          <w:b w:val="0"/>
        </w:rPr>
        <w:t>近期优先通过有限范围的部署与受控试播验证付费，再把可重复的配置、适配与运维能力形成订阅。自营姬岁歌用于形成节目样本、获客内容和产品反馈，不依赖其短期打赏收入支撑基本经营。所有价格均为待访谈、测试和报价验证的不含税假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2381"/>
        <w:gridCol w:w="5102"/>
      </w:tblGrid>
      <w:tr>
        <w:trPr>
          <w:cantSplit/>
          <w:tblHeader/>
        </w:trPr>
        <w:tc>
          <w:tcPr>
            <w:tcW w:type="dxa" w:w="198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38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拟定收费</w:t>
            </w:r>
          </w:p>
        </w:tc>
        <w:tc>
          <w:tcPr>
            <w:tcW w:type="dxa" w:w="510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范围与限制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标准部署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6000元每团队一次</w:t>
            </w:r>
          </w:p>
        </w:tc>
        <w:tc>
          <w:tcPr>
            <w:tcW w:type="dxa" w:w="51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1个角色及1个已支持场景的配置、接入和一次验收。原创建模、声线训练授权与新游戏开发另议。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工作台订阅</w:t>
            </w:r>
          </w:p>
        </w:tc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1999元每团队每月</w:t>
            </w:r>
          </w:p>
        </w:tc>
        <w:tc>
          <w:tcPr>
            <w:tcW w:type="dxa" w:w="51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拟含1个角色、1个游戏连接、40小时节目使用额度和4小时支持；超量与额外服务单独约定。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联合试播服务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阶段性单独报价</w:t>
            </w:r>
          </w:p>
        </w:tc>
        <w:tc>
          <w:tcPr>
            <w:tcW w:type="dxa" w:w="51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按导演投入、场次与资产授权核算，不默认包含在软件订阅中。未形成标准报价，不计入基础收入。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IP合作及内容收入</w:t>
            </w:r>
          </w:p>
        </w:tc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视未来合同确定</w:t>
            </w:r>
          </w:p>
        </w:tc>
        <w:tc>
          <w:tcPr>
            <w:tcW w:type="dxa" w:w="51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品牌合作、会员与衍生品属于后续可选路径，当前无已核验合同，基础测算按0计入。</w:t>
            </w:r>
          </w:p>
        </w:tc>
      </w:tr>
    </w:tbl>
    <w:p>
      <w:pPr>
        <w:spacing w:after="20"/>
      </w:pPr>
    </w:p>
    <w:p>
      <w:pPr>
        <w:pStyle w:val="Heading2"/>
      </w:pPr>
      <w:r>
        <w:t>成本与责任怎样划分</w:t>
      </w:r>
    </w:p>
    <w:p>
      <w:pPr>
        <w:widowControl/>
      </w:pPr>
      <w:r>
        <w:rPr>
          <w:b w:val="0"/>
        </w:rPr>
        <w:t>订阅定价假设采用客户自带模型账号或明确授权的推理配置，模型API、GPU主机、网络和客户自行运营的人力另计。我们提供可计量的工作台及技术支持，不把未知模型用量包装为无限量服务。若客户需要托管推理或人工导播，必须重新测量单位成本并单独报价。</w:t>
      </w:r>
    </w:p>
    <w:p>
      <w:pPr>
        <w:pStyle w:val="Heading2"/>
      </w:pPr>
      <w:r>
        <w:t>付款与验收机制</w:t>
      </w:r>
    </w:p>
    <w:p>
      <w:pPr>
        <w:widowControl/>
      </w:pPr>
      <w:r>
        <w:rPr>
          <w:b w:val="0"/>
        </w:rPr>
        <w:t>部署费拟分签约与验收两个节点收取，订阅费拟按月预付。报价应约定支持版本、验收范围、例外情况、数据处理责任和退出后配置导出方式。初次付费试点可以测试价格折扣，但其收入不能同时重复记为标准部署收入和另一笔试点收入。</w:t>
      </w:r>
    </w:p>
    <w:p>
      <w:pPr>
        <w:pStyle w:val="Heading2"/>
      </w:pPr>
      <w:r>
        <w:t>商业化启动条件</w:t>
      </w:r>
    </w:p>
    <w:p>
      <w:pPr>
        <w:widowControl/>
      </w:pPr>
      <w:r>
        <w:rPr>
          <w:b w:val="0"/>
        </w:rPr>
        <w:t>商用素材授权、平台接入条件和风险处置流程通过审查，且受控样例达到基本验收要求后，才进入收费交付。当前尚无可核验的付费用户或营收记录可供本稿引用，财务模型因此从零起算。</w:t>
      </w:r>
    </w:p>
    <w:p>
      <w:r>
        <w:br w:type="page"/>
      </w:r>
    </w:p>
    <w:p>
      <w:pPr>
        <w:pStyle w:val="Heading1"/>
      </w:pPr>
      <w:r>
        <w:t>九 获客与客户验证计划</w:t>
      </w:r>
    </w:p>
    <w:p>
      <w:pPr>
        <w:widowControl/>
      </w:pPr>
      <w:r>
        <w:rPr>
          <w:b w:val="0"/>
        </w:rPr>
        <w:t>第一阶段通过有监督的姬岁歌样例解释产品，再与真实内容团队共同验证。获客素材重点展示一段可以复盘的节目过程，包括系统发生过什么问题、导演怎样介入以及结果如何确认，不只展示剪辑后的高光片段。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535"/>
        <w:gridCol w:w="3118"/>
      </w:tblGrid>
      <w:tr>
        <w:trPr>
          <w:cantSplit/>
          <w:tblHeader/>
        </w:trPr>
        <w:tc>
          <w:tcPr>
            <w:tcW w:type="dxa" w:w="181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拟开展的工作</w:t>
            </w:r>
          </w:p>
        </w:tc>
        <w:tc>
          <w:tcPr>
            <w:tcW w:type="dxa" w:w="311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前90天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形成20次需求访谈、4次团队工作流演示、3个免费受控内测。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明确采购人、预算范围与替代方案；至少2个团队愿意继续试用。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第4至6个月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完成跨场次稳定性、授权和导演工作台验证，收集条件性合作意向。</w:t>
            </w:r>
          </w:p>
        </w:tc>
        <w:tc>
          <w:tcPr>
            <w:tcW w:type="dxa" w:w="311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至少3个目标团队接受拟定的付费验证范围与验收条款。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第7至12个月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按120个合格线索、40次演示、20次深度试用、10个付费部署的漏斗测试。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实际转化、交付工时与首批续费可支持下一轮投入。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这些数量是工作目标，不是已有调研成果、客户名单或合作承诺。附件中提出的15个竞品、30段时间戳样本及10名观众访谈，也应由市场负责人提交底稿后才能写成已完成。</w:t>
      </w:r>
    </w:p>
    <w:p>
      <w:pPr>
        <w:pStyle w:val="Heading2"/>
      </w:pPr>
      <w:r>
        <w:t>应访谈什么</w:t>
      </w:r>
    </w:p>
    <w:p>
      <w:pPr>
        <w:widowControl/>
      </w:pPr>
      <w:r>
        <w:rPr>
          <w:b w:val="0"/>
        </w:rPr>
        <w:t>对创作者询问最近一次节目怎样准备、哪些环节必须人工盯守、故障通常如何处理、谁有采购决定权，以及替换流程的真实顾虑。对观众验证角色辨识、事实可信度、节奏与再次观看意愿。避免只问“是否喜欢AI主播”，因为兴趣不等于持续观看，也不等于团队采购。</w:t>
      </w:r>
    </w:p>
    <w:p>
      <w:pPr>
        <w:pStyle w:val="Heading2"/>
      </w:pPr>
      <w:r>
        <w:t>继续投入与停止条件</w:t>
      </w:r>
    </w:p>
    <w:p>
      <w:pPr>
        <w:widowControl/>
      </w:pPr>
      <w:r>
        <w:rPr>
          <w:b w:val="0"/>
        </w:rPr>
        <w:t>如果六个月内不能取得至少3个目标团队的具体付费验证意向，或客户主要需求始终是无法复用的定制开发，应暂停扩大订阅产品投入，调整客户细分或按项目服务核算。免费内测满意不等于付费验证完成。</w:t>
      </w:r>
    </w:p>
    <w:p>
      <w:pPr>
        <w:pStyle w:val="Heading2"/>
      </w:pPr>
      <w:r>
        <w:t>昆山资源的应用设想</w:t>
      </w:r>
    </w:p>
    <w:p>
      <w:pPr>
        <w:widowControl/>
      </w:pPr>
      <w:r>
        <w:rPr>
          <w:b w:val="0"/>
        </w:rPr>
        <w:t>拟通过赛事与孵化平台对接昆山的数字内容、文创及游戏相关团队，共同开展受控试播和部署试点。现阶段没有已签地方合作或政府支持协议。本项目可提供可展示的AI内容应用样例，实际落地仍以客户需求、授权和部署条件为前提。</w:t>
      </w:r>
    </w:p>
    <w:p>
      <w:r>
        <w:br w:type="page"/>
      </w:r>
    </w:p>
    <w:p>
      <w:pPr>
        <w:pStyle w:val="Heading1"/>
      </w:pPr>
      <w:r>
        <w:t>十 运营流程与验收指标</w:t>
      </w:r>
    </w:p>
    <w:p>
      <w:pPr>
        <w:widowControl/>
      </w:pPr>
      <w:r>
        <w:rPr>
          <w:b w:val="0"/>
        </w:rPr>
        <w:t>角色直播的交付单位应是一场有明确场景和约束的节目。每场开始前核验角色、素材、场景和模型配置；运行中由导演监督异常与停止入口；结束后复核决策、口播和结果记录，再决定哪些内容可以进入长期记忆或公开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365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6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下一阶段的拟定目标</w:t>
            </w:r>
          </w:p>
        </w:tc>
        <w:tc>
          <w:tcPr>
            <w:tcW w:type="dxa" w:w="340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现有证据与缺口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节目完成</w:t>
            </w:r>
          </w:p>
        </w:tc>
        <w:tc>
          <w:tcPr>
            <w:tcW w:type="dxa" w:w="43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先完成3场10至15分钟受控节目，随后验证30分钟与60分钟场次。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已有原型与局部回执，尚不能证明连续节目稳定率。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角色表现</w:t>
            </w:r>
          </w:p>
        </w:tc>
        <w:tc>
          <w:tcPr>
            <w:tcW w:type="dxa" w:w="436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沿用8维度12场景双人盲评，均分至少3.8且单项不少于3.0。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这是需求目标，不是已取得的评分。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可追溯性</w:t>
            </w:r>
          </w:p>
        </w:tc>
        <w:tc>
          <w:tcPr>
            <w:tcW w:type="dxa" w:w="43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关键台词、动作与人工介入均能关联时间戳、状态和结果。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已有日志与部分回执，统一场次报告仍需完成。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导演负担</w:t>
            </w:r>
          </w:p>
        </w:tc>
        <w:tc>
          <w:tcPr>
            <w:tcW w:type="dxa" w:w="436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与同一团队原流程比较，目标是介入时间减少至少30%。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目标尚无基线；先记录每小时介入分钟数及原因。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客户价值</w:t>
            </w:r>
          </w:p>
        </w:tc>
        <w:tc>
          <w:tcPr>
            <w:tcW w:type="dxa" w:w="43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首批付费客户连续3个月的续费和使用频次达到继续投入条件。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暂无付费验证，具体续费阈值待试点基线后冻结。</w:t>
            </w:r>
          </w:p>
        </w:tc>
      </w:tr>
    </w:tbl>
    <w:p>
      <w:pPr>
        <w:spacing w:after="20"/>
      </w:pPr>
    </w:p>
    <w:p>
      <w:pPr>
        <w:pStyle w:val="Heading2"/>
      </w:pPr>
      <w:r>
        <w:t>把失败纳入产品运营</w:t>
      </w:r>
    </w:p>
    <w:p>
      <w:pPr>
        <w:widowControl/>
      </w:pPr>
      <w:r>
        <w:rPr>
          <w:b w:val="0"/>
        </w:rPr>
        <w:t>将断线、状态过期、错误陈述、重复动作、语音卡顿、人格混淆和人工停止作为统一事件类别保存。修复后以相同样本回归，再以独立场景冷测；不能把曾经跑通、某次获胜或演示画面流畅，当作全部任务已经完成。</w:t>
      </w:r>
    </w:p>
    <w:p>
      <w:pPr>
        <w:pStyle w:val="Heading2"/>
      </w:pPr>
      <w:r>
        <w:t>语音与时延的测量</w:t>
      </w:r>
    </w:p>
    <w:p>
      <w:pPr>
        <w:widowControl/>
      </w:pPr>
      <w:r>
        <w:rPr>
          <w:b w:val="0"/>
        </w:rPr>
        <w:t>分别统计观众输入到首段文字、首段语音开始、完整语音结束及任务执行完成的p50和p95。当前不写未经存档核验的实时延迟数字。角色自然度、清晰度和情绪表达需与固定台词盲评结合，避免只优化某一段接口响应。</w:t>
      </w:r>
    </w:p>
    <w:p>
      <w:pPr>
        <w:pStyle w:val="Heading2"/>
      </w:pPr>
      <w:r>
        <w:t>基本运营边界</w:t>
      </w:r>
    </w:p>
    <w:p>
      <w:pPr>
        <w:widowControl/>
      </w:pPr>
      <w:r>
        <w:rPr>
          <w:b w:val="0"/>
        </w:rPr>
        <w:t>人工导演默认在场，遇到敏感内容先拦截，必要时停止播出并回场。严禁依靠刻意制造错误、夸大进度或诱导观众情感依赖来追求节目效果。正式接入直播平台之前，核验平台凭据、直播规范与内容标识要求。</w:t>
      </w:r>
    </w:p>
    <w:p>
      <w:r>
        <w:br w:type="page"/>
      </w:r>
    </w:p>
    <w:p>
      <w:pPr>
        <w:pStyle w:val="Heading1"/>
      </w:pPr>
      <w:r>
        <w:t>十一 实施路线与赛事安排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24"/>
        <w:gridCol w:w="4535"/>
        <w:gridCol w:w="2608"/>
      </w:tblGrid>
      <w:tr>
        <w:trPr>
          <w:cantSplit/>
          <w:tblHeader/>
        </w:trPr>
        <w:tc>
          <w:tcPr>
            <w:tcW w:type="dxa" w:w="232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453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拟交付成果</w:t>
            </w:r>
          </w:p>
        </w:tc>
        <w:tc>
          <w:tcPr>
            <w:tcW w:type="dxa" w:w="260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阶段判断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10月25日报名前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商业计划书、报名表、资格与权益材料；整理可展示的10至15分钟样例和证据目录。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先确保材料真实完整；无法完成的指标保留为计划，不补写成绩。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11月15至16日复赛前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争取完成3次受控试播、角色盲评底稿及至少10名观众访谈。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展示完整流程与失败复盘，不将选定游戏视为已通关。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11月20至25日辅导期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与导师修订客户细分、交付范围、价格及法律适用评估。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以真实访谈修正财务假设。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11月28日决赛前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更新受控节目、独立评测及潜在试点方的具体反馈。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合作意向与付费合同分别披露。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2026年末至2027年4月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形成单节目类型的MVP，补齐原创素材授权、人工导演及场次复盘。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完成六个月验证后决定是否开始标准收费交付。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2027年5月以后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在付费验证成立时扩展部署、订阅和第二个可复用场景。</w:t>
            </w:r>
          </w:p>
        </w:tc>
        <w:tc>
          <w:tcPr>
            <w:tcW w:type="dxa" w:w="260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跨过交付与续费门槛后再增加团队和场景。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赛事时间依据所提供的2026年赛事通知，具体安排以主办方最新通知为准。报名截止按该通知为2026年10月25日24时，即10月26日0时；应按主办方使用的时间口径完成提交。</w:t>
      </w:r>
    </w:p>
    <w:p>
      <w:pPr>
        <w:widowControl/>
      </w:pPr>
      <w:r>
        <w:rPr>
          <w:b w:val="0"/>
        </w:rPr>
        <w:t>报名材料包括基础问卷、报名表及PPT版商业计划书。提交邮箱为chuangye@mail.tsinghua.edu.cn；邮件主题为“昆山杯-团队名称-联系人-联系电话”。实际联系人及电话由负责人在报名时填写。</w:t>
      </w:r>
    </w:p>
    <w:p>
      <w:pPr>
        <w:pStyle w:val="Heading2"/>
      </w:pPr>
      <w:r>
        <w:t>研发顺序与资源纪律</w:t>
      </w:r>
    </w:p>
    <w:p>
      <w:pPr>
        <w:widowControl/>
      </w:pPr>
      <w:r>
        <w:rPr>
          <w:b w:val="0"/>
        </w:rPr>
        <w:t>先完成稳定状态与执行回执，再完善说话真实性和导演处理；角色差异与语音自然度以固定评测反复验证。对新增游戏、歌唱和复杂观影等方向，只有在现有场景形成稳定节目和明确客户需求后再投入。</w:t>
      </w:r>
    </w:p>
    <w:p>
      <w:pPr>
        <w:widowControl/>
      </w:pPr>
      <w:r>
        <w:rPr>
          <w:b w:val="0"/>
        </w:rPr>
        <w:t>若阶段结果不达标，优先压缩场景和直播时长，继续保留人工监督，不以新增基础模型训练或大规模GPU采购替代问题定位。竞赛奖金、孵化资源和潜在投资都不计为已经到账资金。</w:t>
      </w:r>
    </w:p>
    <w:p>
      <w:r>
        <w:br w:type="page"/>
      </w:r>
    </w:p>
    <w:p>
      <w:pPr>
        <w:pStyle w:val="Heading1"/>
      </w:pPr>
      <w:r>
        <w:t>十二 团队组织与治理安排</w:t>
      </w:r>
    </w:p>
    <w:p>
      <w:pPr>
        <w:widowControl/>
      </w:pPr>
      <w:r>
        <w:rPr>
          <w:b w:val="0"/>
        </w:rPr>
        <w:t>项目起源于设计思维课的小组实践，已有技术、人格、市场和直播协作记录。本次由杨若朝担任项目负责人。其清华大学具体参赛身份、证明材料与项目核心作用需要在报名材料中落实，不虚构学院、年级、学位或导师背书。[I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1"/>
        <w:gridCol w:w="362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人员或工作线</w:t>
            </w:r>
          </w:p>
        </w:tc>
        <w:tc>
          <w:tcPr>
            <w:tcW w:type="dxa" w:w="362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依据与已有职责</w:t>
            </w:r>
          </w:p>
        </w:tc>
        <w:tc>
          <w:tcPr>
            <w:tcW w:type="dxa" w:w="396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本次商业化衔接建议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杨若朝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本项目负责人，清华参赛身份及职责证明须随报名材料落实。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统筹参赛、商业决策、资源与对外协调，明确实质责任和决策权。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揉碎星辰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历史会议记录：导演层、争议内容初筛、记忆管理和直播监管框架。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牵头角色及导演产品需求，组织安全与节目复盘。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簃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历史会议记录：自动化脚本、数据集与远程算力资源。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牵头工程集成、部署、版本与验收证据。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张涵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历史会议记录：市场调研、直播形式研究与试播总控协调。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牵头客户访谈、竞品调研和试点反馈。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刘瑞琪及肖梦溪等协作成员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历史记录涉及素材、直播流程与试播协作；不等于已确定的公司合伙人。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按实际贡献确认内容制作、试播与客户交付职责。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语音与CV工作线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原需求书有独立工作线，当前正式责任人材料不完整。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由团队补齐负责人、每周投入、交付指标与支持需求。</w:t>
            </w:r>
          </w:p>
        </w:tc>
      </w:tr>
    </w:tbl>
    <w:p>
      <w:pPr>
        <w:spacing w:after="20"/>
      </w:pPr>
    </w:p>
    <w:p>
      <w:pPr>
        <w:pStyle w:val="Heading2"/>
      </w:pPr>
      <w:r>
        <w:t>组织和权益需要一起落实</w:t>
      </w:r>
    </w:p>
    <w:p>
      <w:pPr>
        <w:widowControl/>
      </w:pPr>
      <w:r>
        <w:rPr>
          <w:b w:val="0"/>
        </w:rPr>
        <w:t>目前未注册公司且未获得机构投资。团队应在对外商业交付前签署合作与知识产权安排，明确已有代码和角色设定的贡献、开源许可、资产权利、后续公司承接方式、决策机制及退出规则。历史协作者不自动等于股东，团队名称也不代表已完成商标或企业名称登记。</w:t>
      </w:r>
    </w:p>
    <w:p>
      <w:pPr>
        <w:widowControl/>
      </w:pPr>
      <w:r>
        <w:rPr>
          <w:b w:val="0"/>
        </w:rPr>
        <w:t>赛事要求符合资格的清华学生与校友持股合计至少51%，或具有同等重要程度。未注册项目也应以团队协议、实际职责、成果权益和贡献记录支持资格审查。是否达到条件须由主办方审核，不能只凭填写负责人姓名判断合格。</w:t>
      </w:r>
    </w:p>
    <w:p>
      <w:r>
        <w:br w:type="page"/>
      </w:r>
    </w:p>
    <w:p>
      <w:pPr>
        <w:pStyle w:val="Heading1"/>
      </w:pPr>
      <w:r>
        <w:t>十三 单位经济与测算方法</w:t>
      </w:r>
    </w:p>
    <w:p>
      <w:pPr>
        <w:widowControl/>
      </w:pPr>
      <w:r>
        <w:rPr>
          <w:b w:val="0"/>
        </w:rPr>
        <w:t>以下为商业模型的透明假设，用于判断价格和交付方式是否值得验证。不是历史报价、实际订单或审计财务。金额均按不含税人民币计算；API、客户硬件和客户自行配备的导播费用不在软件订阅价格内。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4"/>
        <w:gridCol w:w="1587"/>
        <w:gridCol w:w="3969"/>
        <w:gridCol w:w="2268"/>
      </w:tblGrid>
      <w:tr>
        <w:trPr>
          <w:cantSplit/>
          <w:tblHeader/>
        </w:trPr>
        <w:tc>
          <w:tcPr>
            <w:tcW w:type="dxa" w:w="164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8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收入假设</w:t>
            </w:r>
          </w:p>
        </w:tc>
        <w:tc>
          <w:tcPr>
            <w:tcW w:type="dxa" w:w="396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直接成本假设</w:t>
            </w:r>
          </w:p>
        </w:tc>
        <w:tc>
          <w:tcPr>
            <w:tcW w:type="dxa" w:w="226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单位贡献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一次部署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6000元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12小时交付人工×100元，加1000元其他交付费用，共2200元。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3800元，贡献率63.3%。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一个订阅客户月</w:t>
            </w:r>
          </w:p>
        </w:tc>
        <w:tc>
          <w:tcPr>
            <w:tcW w:type="dxa" w:w="158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1999元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4小时支持×100元，加100元服务分摊，共500元。</w:t>
            </w:r>
          </w:p>
        </w:tc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1499元，贡献率75.0%。</w:t>
            </w:r>
          </w:p>
        </w:tc>
      </w:tr>
    </w:tbl>
    <w:p>
      <w:pPr>
        <w:spacing w:after="20"/>
      </w:pPr>
    </w:p>
    <w:p>
      <w:pPr>
        <w:pStyle w:val="Heading2"/>
      </w:pPr>
      <w:r>
        <w:t>这些假设最容易在哪里变化</w:t>
      </w:r>
    </w:p>
    <w:p>
      <w:pPr>
        <w:widowControl/>
      </w:pPr>
      <w:r>
        <w:rPr>
          <w:b w:val="0"/>
        </w:rPr>
        <w:t>每小时100元是用于预算的可归集人工成本假设，不是团队已支付工资，也不是行业报价。若每客户每月支持从4小时增加到8小时，则直接成本变为900元，单位贡献降为1099元、贡献率约55.0%。如果客户需要大量人工值守或新游戏开发，必须进入单独项目报价，不能继续用标准订阅毛利描述。</w:t>
      </w:r>
    </w:p>
    <w:p>
      <w:pPr>
        <w:widowControl/>
      </w:pPr>
      <w:r>
        <w:rPr>
          <w:b w:val="0"/>
        </w:rPr>
        <w:t>计算口径中，交付与支持人工计入直接成本，平台研发、产品和获客等费用计入固定运营预算，避免同一人员同一工时重复核算。创始成员投入、税费、折旧和现金支付安排仍需在正式设立公司及会计核算后重新调整。</w:t>
      </w:r>
    </w:p>
    <w:p>
      <w:pPr>
        <w:pStyle w:val="Heading2"/>
      </w:pPr>
      <w:r>
        <w:t>获客与回收期</w:t>
      </w:r>
    </w:p>
    <w:p>
      <w:pPr>
        <w:widowControl/>
      </w:pPr>
      <w:r>
        <w:rPr>
          <w:b w:val="0"/>
        </w:rPr>
        <w:t>现阶段获客成本未知，不承诺低获客成本。未来应以实际投放、商务人工和签约数量计算。示例中，若每客户获客成本为3000元，则不含部署贡献时，按1499元月贡献计算约2个月回收；若成本达到6000元，则约4个月。该示例不包含流失、坏账和未使用服务承诺，不能当作已经实现的回收期。</w:t>
      </w:r>
    </w:p>
    <w:p>
      <w:pPr>
        <w:pStyle w:val="Heading2"/>
      </w:pPr>
      <w:r>
        <w:t>盈亏平衡怎样理解</w:t>
      </w:r>
    </w:p>
    <w:p>
      <w:pPr>
        <w:widowControl/>
      </w:pPr>
      <w:r>
        <w:rPr>
          <w:b w:val="0"/>
        </w:rPr>
        <w:t>以第二年固定运营预算60万元计算，仅靠订阅贡献需要约401个客户月，即全年平均约34个付费团队。第二年的基准模型只有300个订阅客户月，仍依赖部署贡献补足，说明商业模式尚需续费、交付效率和获客转化共同成立。</w:t>
      </w:r>
    </w:p>
    <w:p>
      <w:r>
        <w:br w:type="page"/>
      </w:r>
    </w:p>
    <w:p>
      <w:pPr>
        <w:pStyle w:val="Heading1"/>
      </w:pPr>
      <w:r>
        <w:t>十四 三年财务情景</w:t>
      </w:r>
    </w:p>
    <w:p>
      <w:pPr>
        <w:widowControl/>
      </w:pPr>
      <w:r>
        <w:rPr>
          <w:b w:val="0"/>
        </w:rPr>
        <w:t>第一年指完成参赛后的首个12个月。前6个月以产品及授权验证为主，不计订阅收入；后6个月平均5个付费团队，共30个客户月。第二、三年平均付费团队分别假设为25家和75家。部署订单、续费、流失与下表均为规划变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5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317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经营假设</w:t>
            </w:r>
          </w:p>
        </w:tc>
        <w:tc>
          <w:tcPr>
            <w:tcW w:type="dxa" w:w="209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第一年</w:t>
            </w:r>
          </w:p>
        </w:tc>
        <w:tc>
          <w:tcPr>
            <w:tcW w:type="dxa" w:w="209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第二年</w:t>
            </w:r>
          </w:p>
        </w:tc>
        <w:tc>
          <w:tcPr>
            <w:tcW w:type="dxa" w:w="209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第三年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年初付费团队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新增部署客户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40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当年流失团队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年末付费团队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40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110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订阅客户月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30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300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900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5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317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测算项目 单位万元</w:t>
            </w:r>
          </w:p>
        </w:tc>
        <w:tc>
          <w:tcPr>
            <w:tcW w:type="dxa" w:w="209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第一年</w:t>
            </w:r>
          </w:p>
        </w:tc>
        <w:tc>
          <w:tcPr>
            <w:tcW w:type="dxa" w:w="209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第二年</w:t>
            </w:r>
          </w:p>
        </w:tc>
        <w:tc>
          <w:tcPr>
            <w:tcW w:type="dxa" w:w="209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第三年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订阅收入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5.997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59.970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179.910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部署收入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6.000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24.000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54.000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总收入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11.997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83.970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233.910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直接交付及支持成本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3.700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23.800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64.800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贡献金额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8.297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60.170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169.110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固定运营预算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20.000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60.000</w:t>
            </w:r>
          </w:p>
        </w:tc>
        <w:tc>
          <w:tcPr>
            <w:tcW w:type="dxa" w:w="209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120.000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测算经营结余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－11.703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0.170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49.110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公式：订阅收入＝1999元×订阅客户月；部署收入＝6000元×新增部署客户；直接成本＝500元×订阅客户月＋2200元×部署数。固定预算覆盖研发、产品、获客与管理等非交付费用，不重复包含上述支持人工。经营结余未扣税费和折旧、未调整资本支出、回款与应收账款，不是会计净利润，也不是现金余额。</w:t>
      </w:r>
    </w:p>
    <w:p>
      <w:pPr>
        <w:pStyle w:val="Heading2"/>
      </w:pPr>
      <w:r>
        <w:t>第一年的敏感性</w:t>
      </w:r>
    </w:p>
    <w:p>
      <w:pPr>
        <w:widowControl/>
      </w:pPr>
      <w:r>
        <w:rPr>
          <w:b w:val="0"/>
        </w:rPr>
        <w:t>固定预算20万元不变：若仅5个部署、15个订阅客户月，测算结余约为负15.85万元；基准为负11.70万元；若15个部署、60个订阅客户月，仍约为负5.31万元。三种情景都表明第一年主要是验证投入期。第二年基准结余接近零，对支持工时、续费和回款十分敏感，不能解读为盈利承诺。</w:t>
      </w:r>
    </w:p>
    <w:p>
      <w:r>
        <w:br w:type="page"/>
      </w:r>
    </w:p>
    <w:p>
      <w:pPr>
        <w:pStyle w:val="Heading1"/>
      </w:pPr>
      <w:r>
        <w:t>十五 资金需求与使用计划</w:t>
      </w:r>
    </w:p>
    <w:p>
      <w:pPr>
        <w:widowControl/>
      </w:pPr>
      <w:r>
        <w:rPr>
          <w:b w:val="0"/>
        </w:rPr>
        <w:t>本轮计划争取10万元无偿不占股种子验证支持及配套资源，用于前6个月的受控节目、客户验证和权利补齐。该金额是申请与预算目标，尚未获得资金承诺。后续股权融资可在付费验证成立后讨论，现阶段不预设估值、出让比例或已获得投资意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1474"/>
        <w:gridCol w:w="5159"/>
      </w:tblGrid>
      <w:tr>
        <w:trPr>
          <w:cantSplit/>
          <w:tblHeader/>
        </w:trPr>
        <w:tc>
          <w:tcPr>
            <w:tcW w:type="dxa" w:w="283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7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预算 万元</w:t>
            </w:r>
          </w:p>
        </w:tc>
        <w:tc>
          <w:tcPr>
            <w:tcW w:type="dxa" w:w="515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对应验收成果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原型稳定与导演工作台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3.0</w:t>
            </w:r>
          </w:p>
        </w:tc>
        <w:tc>
          <w:tcPr>
            <w:tcW w:type="dxa" w:w="515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完成支持场景、异常处置、任务取消、场次回放与部署说明。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原创视觉与合法声线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2.5</w:t>
            </w:r>
          </w:p>
        </w:tc>
        <w:tc>
          <w:tcPr>
            <w:tcW w:type="dxa" w:w="515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明确模型、立绘、录音及训练用途的授权范围，形成可用资产。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算力与工程服务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1.2</w:t>
            </w:r>
          </w:p>
        </w:tc>
        <w:tc>
          <w:tcPr>
            <w:tcW w:type="dxa" w:w="515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记录模型用量、稳定性与单位节目成本，不以购买硬件替代验收。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访谈与观众评测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1.0</w:t>
            </w:r>
          </w:p>
        </w:tc>
        <w:tc>
          <w:tcPr>
            <w:tcW w:type="dxa" w:w="515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真实访谈底稿、盲评、受控试播与复盘报告。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版权合规与合同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0.8</w:t>
            </w:r>
          </w:p>
        </w:tc>
        <w:tc>
          <w:tcPr>
            <w:tcW w:type="dxa" w:w="515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权利清单、试点合同、数据处理和上线条件评估。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试播与交付准备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0.8</w:t>
            </w:r>
          </w:p>
        </w:tc>
        <w:tc>
          <w:tcPr>
            <w:tcW w:type="dxa" w:w="515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受控样例、故障预案、客户配置与交付模板。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风险预备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0.7</w:t>
            </w:r>
          </w:p>
        </w:tc>
        <w:tc>
          <w:tcPr>
            <w:tcW w:type="dxa" w:w="515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经记录批准后应对修复、授权补充或必要评测。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合计</w:t>
            </w:r>
          </w:p>
        </w:tc>
        <w:tc>
          <w:tcPr>
            <w:tcW w:type="dxa" w:w="147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10.0</w:t>
            </w:r>
          </w:p>
        </w:tc>
        <w:tc>
          <w:tcPr>
            <w:tcW w:type="dxa" w:w="515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按阶段释放预算。</w:t>
            </w:r>
          </w:p>
        </w:tc>
      </w:tr>
    </w:tbl>
    <w:p>
      <w:pPr>
        <w:spacing w:after="20"/>
      </w:pPr>
    </w:p>
    <w:p>
      <w:pPr>
        <w:pStyle w:val="Heading2"/>
      </w:pPr>
      <w:r>
        <w:t>资金缺口和扩张纪律</w:t>
      </w:r>
    </w:p>
    <w:p>
      <w:pPr>
        <w:widowControl/>
      </w:pPr>
      <w:r>
        <w:rPr>
          <w:b w:val="0"/>
        </w:rPr>
        <w:t>首年固定运营预算20万元包含上述前6个月10万元及后6个月10万元平台研发与运营预算。按基准收入与直接成本测算，首年经营资金缺口约11.70万元；另设5万元流动性缓冲，则需要约16.70万元可用资金。若只有10万元支持，第二阶段仍需落实约6.70万元资金或足以覆盖支出的客户回款，不能假设缺口已经解决。</w:t>
      </w:r>
    </w:p>
    <w:p>
      <w:pPr>
        <w:widowControl/>
      </w:pPr>
      <w:r>
        <w:rPr>
          <w:b w:val="0"/>
        </w:rPr>
        <w:t>前期预算采用创始成员部分时间投入及有限外包的假设，不代表全职团队的市场化薪酬水平。如成员改为全职，必须重新编制人员成本和现金预算。预算按两阶段使用，付费意愿、版权及节目稳定性不达标时，不进入规模化支出。</w:t>
      </w:r>
    </w:p>
    <w:p>
      <w:pPr>
        <w:pStyle w:val="Heading2"/>
      </w:pPr>
      <w:r>
        <w:t>赛事与校友资源的具体作用</w:t>
      </w:r>
    </w:p>
    <w:p>
      <w:pPr>
        <w:widowControl/>
      </w:pPr>
      <w:r>
        <w:rPr>
          <w:b w:val="0"/>
        </w:rPr>
        <w:t>希望导师协助验证客户细分和合同范围，希望算力支持用于固定样例与冷测，希望办公资源降低协作成本，并通过平台接触有真实内容需求的试点团队。对昆山及校友企业的合作请求应以可交付样例和可量化验收为基础，不将未来资源对接写成已经建立的合作关系。</w:t>
      </w:r>
    </w:p>
    <w:p>
      <w:r>
        <w:br w:type="page"/>
      </w:r>
    </w:p>
    <w:p>
      <w:pPr>
        <w:pStyle w:val="Heading1"/>
      </w:pPr>
      <w:r>
        <w:t>十六 风险管理与商业化前置条件</w:t>
      </w:r>
    </w:p>
    <w:p>
      <w:pPr>
        <w:widowControl/>
      </w:pPr>
      <w:r>
        <w:rPr>
          <w:b w:val="0"/>
        </w:rPr>
        <w:t>AI角色直播同时涉及内容、用户数据、人格化互动和外部素材。我们将上线前的法律适用与权利核验纳入产品交付条件，不以“娱乐工具”标签直接排除监管义务。现有工程中的过滤、删除或停止功能，也不等于已经完成法定合规审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3515"/>
        <w:gridCol w:w="3969"/>
      </w:tblGrid>
      <w:tr>
        <w:trPr>
          <w:cantSplit/>
          <w:tblHeader/>
        </w:trPr>
        <w:tc>
          <w:tcPr>
            <w:tcW w:type="dxa" w:w="198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主要风险</w:t>
            </w:r>
          </w:p>
        </w:tc>
        <w:tc>
          <w:tcPr>
            <w:tcW w:type="dxa" w:w="351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已有暴露或待验证事项</w:t>
            </w:r>
          </w:p>
        </w:tc>
        <w:tc>
          <w:tcPr>
            <w:tcW w:type="dxa" w:w="396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拟采取的措施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内容与事实失真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模型可能把计划说成结果、混淆两人格发言或错误描述游戏进度。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播前审查、状态与台词关联、人工否决、紧急停止及回场，逐项验证覆盖。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角色和声音权利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预览模型及声库不等于已取得商用、训练或再授权许可。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建立资产清单及合同；未经授权的预览素材不用于收费交付。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拟人化互动与未成年人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若服务形成持续情感互动，可能落入专门规则适用范围。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上线前评估场景与主体，设计AI身份提示、退出、未成年人保护及风险处置。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数据与平台接入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观众信息、长时记忆、跨团队数据和平台接口均有边界。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最小化采集、分权与删除、保留必要审计，不将聊天数据默认用于训练。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工程和供应商依赖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API网络波动、游戏版本变更、路径故障、语音与播放链中断。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版本冻结、取消与故障降级、用量上限、受控场景及人工接管。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商业验证失败</w:t>
            </w:r>
          </w:p>
        </w:tc>
        <w:tc>
          <w:tcPr>
            <w:tcW w:type="dxa" w:w="351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兴趣和演示反馈未必转化为预算和持续续费。</w:t>
            </w:r>
          </w:p>
        </w:tc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分阶段支出，以付费试点和复用工时验证，不提前扩招。</w:t>
            </w:r>
          </w:p>
        </w:tc>
      </w:tr>
    </w:tbl>
    <w:p>
      <w:pPr>
        <w:spacing w:after="20"/>
      </w:pPr>
    </w:p>
    <w:p>
      <w:pPr>
        <w:pStyle w:val="Heading2"/>
      </w:pPr>
      <w:r>
        <w:t>当前应关注的规则</w:t>
      </w:r>
    </w:p>
    <w:p>
      <w:pPr>
        <w:widowControl/>
      </w:pPr>
      <w:r>
        <w:rPr>
          <w:b w:val="0"/>
        </w:rPr>
        <w:t>《人工智能生成合成内容标识办法》已于2025年9月1日起施行，包含显式、隐式标识及用户发布声明等要求。[S3]《人工智能拟人化互动服务管理暂行办法》已于2026年7月15日起施行，适用范围与持续情感互动有关，并涉及身份提示、数据、退出和风险处置等要求。[S4] 本项目商业模式、具体功能及运营主体确定后，需要进一步核验适用义务并完成上线前评估。</w:t>
      </w:r>
    </w:p>
    <w:p>
      <w:pPr>
        <w:widowControl/>
      </w:pPr>
      <w:r>
        <w:rPr>
          <w:b w:val="0"/>
        </w:rPr>
        <w:t>团队将AI身份公开、尊重观众退出和保护真实人际关系列为产品原则，不以诱导情感依赖或不合理消费作为增长目标。上述措施中尚未完成的部分属于开发与上线计划，不能在销售材料中表述为已全部符合监管要求。</w:t>
      </w:r>
    </w:p>
    <w:p>
      <w:r>
        <w:br w:type="page"/>
      </w:r>
    </w:p>
    <w:p>
      <w:pPr>
        <w:pStyle w:val="Heading1"/>
      </w:pPr>
      <w:r>
        <w:t>十七 报名核对与证据索引</w:t>
      </w:r>
    </w:p>
    <w:p>
      <w:pPr>
        <w:pStyle w:val="Heading2"/>
      </w:pPr>
      <w:r>
        <w:t>提交前必须核对的材料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3628"/>
        <w:gridCol w:w="4025"/>
      </w:tblGrid>
      <w:tr>
        <w:trPr>
          <w:cantSplit/>
          <w:tblHeader/>
        </w:trPr>
        <w:tc>
          <w:tcPr>
            <w:tcW w:type="dxa" w:w="181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62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当前口径</w:t>
            </w:r>
          </w:p>
        </w:tc>
        <w:tc>
          <w:tcPr>
            <w:tcW w:type="dxa" w:w="402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提交前动作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团队与项目名称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拟用潮生智能团队及本计划书名称。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由团队确认名称与权益；不代表已注册商标或公司。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负责人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杨若朝。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补齐本人清华参赛资格、联系方式、真实职责和必要授权。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组别与赛道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未注册、未获机构投资，种子组，第四赛道AI for X。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与报名问卷及报名表保持一致，接受资格审核。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权益要求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51%或同等重要程度条件尚需材料证明。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确定实际团队名单、成果权利、决策与未来股权安排。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商业与技术事实</w:t>
            </w:r>
          </w:p>
        </w:tc>
        <w:tc>
          <w:tcPr>
            <w:tcW w:type="dxa" w:w="36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无已核验付费数据；原型和局部实机成果。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附原始证据；不把计划、模拟测试或历史状态写成经营成绩。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提交形式</w:t>
            </w:r>
          </w:p>
        </w:tc>
        <w:tc>
          <w:tcPr>
            <w:tcW w:type="dxa" w:w="36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本文件为Word商业计划书完整版。</w:t>
            </w:r>
          </w:p>
        </w:tc>
        <w:tc>
          <w:tcPr>
            <w:tcW w:type="dxa" w:w="402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赛事通知要求PPT版商业计划书，正式报名时须另行制作，Word不能替代。</w:t>
            </w:r>
          </w:p>
        </w:tc>
      </w:tr>
    </w:tbl>
    <w:p>
      <w:pPr>
        <w:spacing w:after="20"/>
      </w:pPr>
    </w:p>
    <w:p>
      <w:pPr>
        <w:pStyle w:val="Heading2"/>
      </w:pPr>
      <w:r>
        <w:t>内部资料与工程证据</w:t>
      </w:r>
    </w:p>
    <w:p>
      <w:pPr>
        <w:widowControl/>
      </w:pPr>
      <w:r>
        <w:rPr>
          <w:b w:val="0"/>
        </w:rPr>
        <w:t>[I1]《项目说明》2026年10月19日，来源为项目附件。包含课程团队、历史职责、架构、原型与缺口；附件对应旧代码快照，最新进展另列。</w:t>
      </w:r>
    </w:p>
    <w:p>
      <w:pPr>
        <w:widowControl/>
      </w:pPr>
      <w:r>
        <w:rPr>
          <w:b w:val="0"/>
        </w:rPr>
        <w:t>[I2]《姬岁歌 人格与说话设计》2026年10月19日v0.3，项目附件。用于角色与节目设计，所述建议不自动代表实现。</w:t>
      </w:r>
    </w:p>
    <w:p>
      <w:pPr>
        <w:widowControl/>
      </w:pPr>
      <w:r>
        <w:rPr>
          <w:b w:val="0"/>
        </w:rPr>
        <w:t>[I3] 仓库 docs/minecraft-deepseek.md 及 logs/minecraft-deepseek-live-run.json，含API接入与实机库存记录。历史状态不作为当前在线状态证明。</w:t>
      </w:r>
    </w:p>
    <w:p>
      <w:pPr>
        <w:widowControl/>
      </w:pPr>
      <w:r>
        <w:rPr>
          <w:b w:val="0"/>
        </w:rPr>
        <w:t>[I4] output/sts2/streamer-acceptance.json，记录于2026年10月20日13时27分UTC；其中18次成功动作与ended回执是快照证据，不是全程稳定性证明。</w:t>
      </w:r>
    </w:p>
    <w:p>
      <w:pPr>
        <w:widowControl/>
      </w:pPr>
      <w:r>
        <w:rPr>
          <w:b w:val="0"/>
        </w:rPr>
        <w:t>[I5] output/demo-release-20261018/evidence/flappy-bird/acceptance.json 与 endurance.json。采用下载的预训练策略及保护层，不是本轮自主训练成果。</w:t>
      </w:r>
    </w:p>
    <w:p>
      <w:pPr>
        <w:widowControl/>
      </w:pPr>
      <w:r>
        <w:rPr>
          <w:b w:val="0"/>
        </w:rPr>
        <w:t>[I6] docs/demo-summary-20261018.md 与 README.md。用于工程范围与历史边界，文字概述不替代原始验收。</w:t>
      </w:r>
    </w:p>
    <w:p>
      <w:r>
        <w:br w:type="page"/>
      </w:r>
    </w:p>
    <w:p>
      <w:pPr>
        <w:pStyle w:val="Heading1"/>
      </w:pPr>
      <w:r>
        <w:t>十八 外部来源与测算说明</w:t>
      </w:r>
    </w:p>
    <w:p>
      <w:pPr>
        <w:widowControl/>
      </w:pPr>
      <w:r>
        <w:rPr>
          <w:b w:val="0"/>
        </w:rPr>
        <w:t>下列外部资料仅用于明确市场背景、已有工具范围和商业化规则，不证明本项目具有相应资质、客户、授权或市场份额。访问日期为2026年10月20日。正文涉及的财务数字均来自本稿假设与算术推演。</w:t>
      </w:r>
    </w:p>
    <w:p>
      <w:pPr>
        <w:pStyle w:val="Heading2"/>
      </w:pPr>
      <w:r>
        <w:t>外部公开来源</w:t>
      </w:r>
    </w:p>
    <w:p>
      <w:pPr>
        <w:widowControl/>
      </w:pPr>
      <w:r>
        <w:rPr>
          <w:b w:val="0"/>
        </w:rPr>
        <w:t>[S1] 哔哩哔哩2025年第四季度及全年未经审计业绩公告，2026年3月5日，港交所披露。正文引用第四季度MAU 3.66亿、DAU 1.13亿，仅说明平台受众基础。</w:t>
      </w:r>
    </w:p>
    <w:p>
      <w:pPr>
        <w:widowControl/>
      </w:pPr>
      <w:r>
        <w:rPr>
          <w:b w:val="0"/>
        </w:rPr>
        <w:t>https://www.hkexnews.hk/listedco/listconews/sehk/2026/0305/2026030501412.pdf</w:t>
      </w:r>
    </w:p>
    <w:p>
      <w:pPr>
        <w:widowControl/>
      </w:pPr>
      <w:r>
        <w:rPr>
          <w:b w:val="0"/>
        </w:rPr>
        <w:t>[S2] DenchiSoft VTube Studio官方API开发文档。用于确认现有形象工具与插件接口范围，不用于判断竞品缺陷或商业表现。</w:t>
      </w:r>
    </w:p>
    <w:p>
      <w:pPr>
        <w:widowControl/>
      </w:pPr>
      <w:r>
        <w:rPr>
          <w:b w:val="0"/>
        </w:rPr>
        <w:t>https://github.com/DenchiSoft/VTubeStudio</w:t>
      </w:r>
    </w:p>
    <w:p>
      <w:pPr>
        <w:widowControl/>
      </w:pPr>
      <w:r>
        <w:rPr>
          <w:b w:val="0"/>
        </w:rPr>
        <w:t>[S3] 国家互联网信息办公室等《人工智能生成合成内容标识办法》，2025年3月公布，2025年9月1日起施行。</w:t>
      </w:r>
    </w:p>
    <w:p>
      <w:pPr>
        <w:widowControl/>
      </w:pPr>
      <w:r>
        <w:rPr>
          <w:b w:val="0"/>
        </w:rPr>
        <w:t>https://www.cac.gov.cn/2025-03/14/c_1743654684782215.htm</w:t>
      </w:r>
    </w:p>
    <w:p>
      <w:pPr>
        <w:widowControl/>
      </w:pPr>
      <w:r>
        <w:rPr>
          <w:b w:val="0"/>
        </w:rPr>
        <w:t>[S4] 国家互联网信息办公室等《人工智能拟人化互动服务管理暂行办法》，2026年4月10日公布，2026年7月15日起施行。</w:t>
      </w:r>
    </w:p>
    <w:p>
      <w:pPr>
        <w:widowControl/>
      </w:pPr>
      <w:r>
        <w:rPr>
          <w:b w:val="0"/>
        </w:rPr>
        <w:t>https://www.cac.gov.cn/2026-04/10/c_1777558395078289.htm</w:t>
      </w:r>
    </w:p>
    <w:p>
      <w:pPr>
        <w:pStyle w:val="Heading2"/>
      </w:pPr>
      <w:r>
        <w:t>财务假设与计算校验</w:t>
      </w:r>
    </w:p>
    <w:p>
      <w:pPr>
        <w:widowControl/>
      </w:pPr>
      <w:r>
        <w:rPr>
          <w:b w:val="0"/>
        </w:rPr>
        <w:t>第一年至第三年新增部署为10、40、90家，订阅客户月为30、300、900。部署单价6000元、订阅单价1999元，单位直接成本分别2200元与500元；固定运营预算为20、60、120万元。第一年新增客户集中在后6个月；后两年的客户月按年初与年末规模的平均值测算，实际节奏和流失以经营数据替换。</w:t>
      </w:r>
    </w:p>
    <w:p>
      <w:pPr>
        <w:widowControl/>
      </w:pPr>
      <w:r>
        <w:rPr>
          <w:b w:val="0"/>
        </w:rPr>
        <w:t>首年固定预算20万元包含前6个月10万元验证支出。拟申请的10万元支持尚未落实，不列为收入；第一年预计资金缺口与5万元缓冲合计约16.70万元，若只获得该项支持仍存在后续缺口。价格、工时、客户数和流失都需要付费试点验证。</w:t>
      </w:r>
    </w:p>
    <w:p>
      <w:pPr>
        <w:pStyle w:val="Heading2"/>
      </w:pPr>
      <w:r>
        <w:t>本文的使用方式</w:t>
      </w:r>
    </w:p>
    <w:p>
      <w:pPr>
        <w:widowControl/>
      </w:pPr>
      <w:r>
        <w:rPr>
          <w:b w:val="0"/>
        </w:rPr>
        <w:t>本稿可作为团队讨论、导师辅导及参赛PPT制作的内容底稿。正式提交前应补齐资格与权益证明，复核最新进展、权利授权及赛事通知；以负责人确认的团队事实替换待核对项。未经验证的测算应保留假设标识，不改写为已经实现的经营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77" w:left="1219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2026年10月20日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潮生智能    AI角色直播系统商业计划书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潮生智能商业计划书</dc:title>
  <dc:subject>2026昆山杯清华大学创业大赛 种子组 第四赛道 AI for X</dc:subject>
  <dc:creator>潮生智能团队</dc:creator>
  <cp:keywords>AI角色直播 人格化互动 导演工作台 创业计划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