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widowControl/>
      </w:pPr>
      <w:r>
        <w:rPr>
          <w:b w:val="0"/>
        </w:rPr>
        <w:t>2026 昆山杯清华大学创业大赛</w:t>
      </w:r>
    </w:p>
    <w:p>
      <w:pPr>
        <w:spacing w:after="500"/>
      </w:pPr>
    </w:p>
    <w:p>
      <w:pPr>
        <w:pStyle w:val="Title"/>
        <w:widowControl/>
      </w:pPr>
      <w:r>
        <w:rPr>
          <w:b w:val="0"/>
        </w:rPr>
        <w:t>潮生智能商业计划书</w:t>
      </w:r>
    </w:p>
    <w:p>
      <w:pPr>
        <w:pStyle w:val="Subtitle"/>
        <w:widowControl/>
      </w:pPr>
      <w:r>
        <w:rPr>
          <w:b w:val="0"/>
        </w:rPr>
        <w:t>姬岁歌AI虚拟主播与互动内容IP</w:t>
      </w:r>
    </w:p>
    <w:p>
      <w:pPr>
        <w:spacing w:after="500"/>
      </w:pPr>
    </w:p>
    <w:p>
      <w:pPr>
        <w:widowControl/>
      </w:pPr>
      <w:r>
        <w:rPr>
          <w:b/>
        </w:rPr>
        <w:t>团队名称  潮生智能团队</w:t>
      </w:r>
    </w:p>
    <w:p>
      <w:pPr>
        <w:widowControl/>
      </w:pPr>
      <w:r>
        <w:rPr>
          <w:b w:val="0"/>
        </w:rPr>
        <w:t>项目负责人  杨若朝</w:t>
      </w:r>
    </w:p>
    <w:p>
      <w:pPr>
        <w:widowControl/>
      </w:pPr>
      <w:r>
        <w:rPr>
          <w:b w:val="0"/>
        </w:rPr>
        <w:t>参赛组别  种子组</w:t>
      </w:r>
    </w:p>
    <w:p>
      <w:pPr>
        <w:widowControl/>
      </w:pPr>
      <w:r>
        <w:rPr>
          <w:b w:val="0"/>
        </w:rPr>
        <w:t>参赛赛道  第四赛道 AI for X 行业应用与科学创新</w:t>
      </w:r>
    </w:p>
    <w:p>
      <w:pPr>
        <w:widowControl/>
      </w:pPr>
      <w:r>
        <w:rPr>
          <w:b w:val="0"/>
        </w:rPr>
        <w:t>发展阶段  原型开发与内部试播准备</w:t>
      </w:r>
    </w:p>
    <w:p>
      <w:pPr>
        <w:spacing w:after="460"/>
      </w:pPr>
    </w:p>
    <w:p>
      <w:pPr>
        <w:widowControl/>
      </w:pPr>
      <w:r>
        <w:rPr>
          <w:b w:val="0"/>
        </w:rPr>
        <w:t>潮生智能以原创角色姬岁歌为核心，打造由人和AI共同完成的虚拟主播节目。团队把人格化表达、真实游戏行动和现场互动结合起来，让观众既能看到AI的意外反应，也能持续认识一个有性格、有共同经历的角色。</w:t>
      </w:r>
    </w:p>
    <w:p>
      <w:pPr>
        <w:widowControl/>
      </w:pPr>
      <w:r>
        <w:rPr>
          <w:b w:val="0"/>
        </w:rPr>
        <w:t>项目从Bilibili直播与视频切片起步，通过稳定开播、社群维护和观众共创积累粉丝，再发展月度会员、周边贩售、商业联动与游戏角色授权。长期希望让姬岁歌从直播间走向更广泛的虚拟娱乐世界。</w:t>
      </w:r>
    </w:p>
    <w:p>
      <w:pPr>
        <w:widowControl/>
      </w:pPr>
      <w:r>
        <w:rPr>
          <w:b w:val="0"/>
        </w:rPr>
        <w:t>首年工作重心  完成原创形象与节目打磨，每周五天于北京时间20:00开播，建立可持续的切片和社群运营机制，争取达到10万主阵地粉丝的商业化升级节点。</w:t>
      </w:r>
    </w:p>
    <w:p>
      <w:r>
        <w:br w:type="page"/>
      </w:r>
    </w:p>
    <w:p>
      <w:pPr>
        <w:pStyle w:val="Heading1"/>
      </w:pPr>
      <w:r>
        <w:t>目录</w:t>
      </w:r>
    </w:p>
    <w:p>
      <w:pPr>
        <w:widowControl/>
        <w:tabs>
          <w:tab w:pos="9241" w:val="right"/>
        </w:tabs>
        <w:spacing w:after="180"/>
      </w:pPr>
      <w:r>
        <w:rPr>
          <w:b w:val="0"/>
        </w:rPr>
        <w:t>一 执行摘要</w:t>
        <w:tab/>
        <w:t>3</w:t>
      </w:r>
    </w:p>
    <w:p>
      <w:pPr>
        <w:widowControl/>
        <w:tabs>
          <w:tab w:pos="9241" w:val="right"/>
        </w:tabs>
        <w:spacing w:after="180"/>
      </w:pPr>
      <w:r>
        <w:rPr>
          <w:b w:val="0"/>
        </w:rPr>
        <w:t>二 市场机会与目标观众</w:t>
        <w:tab/>
        <w:t>4</w:t>
      </w:r>
    </w:p>
    <w:p>
      <w:pPr>
        <w:widowControl/>
        <w:tabs>
          <w:tab w:pos="9241" w:val="right"/>
        </w:tabs>
        <w:spacing w:after="180"/>
      </w:pPr>
      <w:r>
        <w:rPr>
          <w:b w:val="0"/>
        </w:rPr>
        <w:t>三 对标案例与竞争定位</w:t>
        <w:tab/>
        <w:t>6</w:t>
      </w:r>
    </w:p>
    <w:p>
      <w:pPr>
        <w:widowControl/>
        <w:tabs>
          <w:tab w:pos="9241" w:val="right"/>
        </w:tabs>
        <w:spacing w:after="180"/>
      </w:pPr>
      <w:r>
        <w:rPr>
          <w:b w:val="0"/>
        </w:rPr>
        <w:t>四 姬岁歌人物与直播看点</w:t>
        <w:tab/>
        <w:t>10</w:t>
      </w:r>
    </w:p>
    <w:p>
      <w:pPr>
        <w:widowControl/>
        <w:tabs>
          <w:tab w:pos="9241" w:val="right"/>
        </w:tabs>
        <w:spacing w:after="180"/>
      </w:pPr>
      <w:r>
        <w:rPr>
          <w:b w:val="0"/>
        </w:rPr>
        <w:t>五 产品形态与技术基础</w:t>
        <w:tab/>
        <w:t>12</w:t>
      </w:r>
    </w:p>
    <w:p>
      <w:pPr>
        <w:widowControl/>
        <w:tabs>
          <w:tab w:pos="9241" w:val="right"/>
        </w:tabs>
        <w:spacing w:after="180"/>
      </w:pPr>
      <w:r>
        <w:rPr>
          <w:b w:val="0"/>
        </w:rPr>
        <w:t>六 现有成果与开发重点</w:t>
        <w:tab/>
        <w:t>14</w:t>
      </w:r>
    </w:p>
    <w:p>
      <w:pPr>
        <w:widowControl/>
        <w:tabs>
          <w:tab w:pos="9241" w:val="right"/>
        </w:tabs>
        <w:spacing w:after="180"/>
      </w:pPr>
      <w:r>
        <w:rPr>
          <w:b w:val="0"/>
        </w:rPr>
        <w:t>七 人机共同直播与内容编排</w:t>
        <w:tab/>
        <w:t>15</w:t>
      </w:r>
    </w:p>
    <w:p>
      <w:pPr>
        <w:widowControl/>
        <w:tabs>
          <w:tab w:pos="9241" w:val="right"/>
        </w:tabs>
        <w:spacing w:after="180"/>
      </w:pPr>
      <w:r>
        <w:rPr>
          <w:b w:val="0"/>
        </w:rPr>
        <w:t>八 粉丝增长与平台布局</w:t>
        <w:tab/>
        <w:t>16</w:t>
      </w:r>
    </w:p>
    <w:p>
      <w:pPr>
        <w:widowControl/>
        <w:tabs>
          <w:tab w:pos="9241" w:val="right"/>
        </w:tabs>
        <w:spacing w:after="180"/>
      </w:pPr>
      <w:r>
        <w:rPr>
          <w:b w:val="0"/>
        </w:rPr>
        <w:t>九 社群运营与校内调研</w:t>
        <w:tab/>
        <w:t>17</w:t>
      </w:r>
    </w:p>
    <w:p>
      <w:pPr>
        <w:widowControl/>
        <w:tabs>
          <w:tab w:pos="9241" w:val="right"/>
        </w:tabs>
        <w:spacing w:after="180"/>
      </w:pPr>
      <w:r>
        <w:rPr>
          <w:b w:val="0"/>
        </w:rPr>
        <w:t>十 商业模式与收入路径</w:t>
        <w:tab/>
        <w:t>19</w:t>
      </w:r>
    </w:p>
    <w:p>
      <w:pPr>
        <w:widowControl/>
        <w:tabs>
          <w:tab w:pos="9241" w:val="right"/>
        </w:tabs>
        <w:spacing w:after="180"/>
      </w:pPr>
      <w:r>
        <w:rPr>
          <w:b w:val="0"/>
        </w:rPr>
        <w:t>十一 实施路线与IP合作</w:t>
        <w:tab/>
        <w:t>20</w:t>
      </w:r>
    </w:p>
    <w:p>
      <w:pPr>
        <w:widowControl/>
        <w:tabs>
          <w:tab w:pos="9241" w:val="right"/>
        </w:tabs>
        <w:spacing w:after="180"/>
      </w:pPr>
      <w:r>
        <w:rPr>
          <w:b w:val="0"/>
        </w:rPr>
        <w:t>十二 团队组织与分工</w:t>
        <w:tab/>
        <w:t>21</w:t>
      </w:r>
    </w:p>
    <w:p>
      <w:pPr>
        <w:widowControl/>
        <w:tabs>
          <w:tab w:pos="9241" w:val="right"/>
        </w:tabs>
        <w:spacing w:after="180"/>
      </w:pPr>
      <w:r>
        <w:rPr>
          <w:b w:val="0"/>
        </w:rPr>
        <w:t>十三 年度运营预算</w:t>
        <w:tab/>
        <w:t>22</w:t>
      </w:r>
    </w:p>
    <w:p>
      <w:pPr>
        <w:widowControl/>
        <w:tabs>
          <w:tab w:pos="9241" w:val="right"/>
        </w:tabs>
        <w:spacing w:after="180"/>
      </w:pPr>
      <w:r>
        <w:rPr>
          <w:b w:val="0"/>
        </w:rPr>
        <w:t>十四 首年收入与收支预测</w:t>
        <w:tab/>
        <w:t>23</w:t>
      </w:r>
    </w:p>
    <w:p>
      <w:pPr>
        <w:widowControl/>
        <w:tabs>
          <w:tab w:pos="9241" w:val="right"/>
        </w:tabs>
        <w:spacing w:after="180"/>
      </w:pPr>
      <w:r>
        <w:rPr>
          <w:b w:val="0"/>
        </w:rPr>
        <w:t>十五 启动资金与使用计划</w:t>
        <w:tab/>
        <w:t>24</w:t>
      </w:r>
    </w:p>
    <w:p>
      <w:pPr>
        <w:widowControl/>
        <w:tabs>
          <w:tab w:pos="9241" w:val="right"/>
        </w:tabs>
        <w:spacing w:after="180"/>
      </w:pPr>
      <w:r>
        <w:rPr>
          <w:b w:val="0"/>
        </w:rPr>
        <w:t>十六 内容资产与运营保障</w:t>
        <w:tab/>
        <w:t>25</w:t>
      </w:r>
    </w:p>
    <w:p>
      <w:pPr>
        <w:widowControl/>
        <w:tabs>
          <w:tab w:pos="9241" w:val="right"/>
        </w:tabs>
        <w:spacing w:after="180"/>
      </w:pPr>
      <w:r>
        <w:rPr>
          <w:b w:val="0"/>
        </w:rPr>
        <w:t>十七 项目资料与技术证据</w:t>
        <w:tab/>
        <w:t>26</w:t>
      </w:r>
    </w:p>
    <w:p>
      <w:pPr>
        <w:widowControl/>
        <w:tabs>
          <w:tab w:pos="9241" w:val="right"/>
        </w:tabs>
        <w:spacing w:after="180"/>
      </w:pPr>
      <w:r>
        <w:rPr>
          <w:b w:val="0"/>
        </w:rPr>
        <w:t>十八 公开资料与数据来源</w:t>
        <w:tab/>
        <w:t>27</w:t>
      </w:r>
    </w:p>
    <w:p>
      <w:r>
        <w:br w:type="page"/>
      </w:r>
    </w:p>
    <w:p>
      <w:pPr>
        <w:pStyle w:val="Heading1"/>
      </w:pPr>
      <w:r>
        <w:t>一 执行摘要</w:t>
      </w:r>
    </w:p>
    <w:p>
      <w:pPr>
        <w:widowControl/>
      </w:pPr>
      <w:r>
        <w:rPr>
          <w:b w:val="0"/>
        </w:rPr>
        <w:t>潮生智能是一支将AI开发与虚拟主播运营结合的团队，核心产品是姬岁歌这一原创互动内容IP。杨若朝担任项目负责人，团队围绕技术开发、项目管理、AI人格化、音频、原画、Live2D、市场和视频剪辑组成完整工作线。项目目前处于种子阶段，公司设立与机构融资将在后续商业发展中推进。</w:t>
      </w:r>
    </w:p>
    <w:p>
      <w:pPr>
        <w:pStyle w:val="Heading2"/>
      </w:pPr>
      <w:r>
        <w:t>我们要做出怎样的节目</w:t>
      </w:r>
    </w:p>
    <w:p>
      <w:pPr>
        <w:widowControl/>
      </w:pPr>
      <w:r>
        <w:rPr>
          <w:b w:val="0"/>
        </w:rPr>
        <w:t>姬岁歌拥有岁与歌两种人格表达。人类搭档负责提问、接梗、串场和现场判断，AI通过语言、游戏选择和与观众的共同经历呈现角色性格。每场直播设计一个明确任务和几个可被记住的互动段落，直播结束后将高光内容剪成视频，吸引新观众回到下一场直播。</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757"/>
        <w:gridCol w:w="7710"/>
      </w:tblGrid>
      <w:tr>
        <w:trPr>
          <w:cantSplit/>
          <w:tblHeader/>
        </w:trPr>
        <w:tc>
          <w:tcPr>
            <w:tcW w:type="dxa" w:w="1757"/>
            <w:vAlign w:val="center"/>
            <w:shd w:fill="153E49"/>
            <w:tcMar>
              <w:top w:w="80" w:type="dxa"/>
              <w:left w:w="80" w:type="dxa"/>
              <w:bottom w:w="80" w:type="dxa"/>
              <w:right w:w="80" w:type="dxa"/>
            </w:tcMar>
          </w:tcPr>
          <w:p>
            <w:pPr>
              <w:spacing w:after="20" w:before="20" w:line="269" w:lineRule="auto"/>
            </w:pPr>
            <w:r>
              <w:rPr>
                <w:rFonts w:ascii="Microsoft YaHei" w:hAnsi="Microsoft YaHei" w:eastAsia="Microsoft YaHei"/>
                <w:b/>
                <w:color w:val="FFFFFF"/>
                <w:sz w:val="18"/>
              </w:rPr>
              <w:t>项目要点</w:t>
            </w:r>
          </w:p>
        </w:tc>
        <w:tc>
          <w:tcPr>
            <w:tcW w:type="dxa" w:w="7710"/>
            <w:vAlign w:val="center"/>
            <w:shd w:fill="153E49"/>
            <w:tcMar>
              <w:top w:w="80" w:type="dxa"/>
              <w:left w:w="80" w:type="dxa"/>
              <w:bottom w:w="80" w:type="dxa"/>
              <w:right w:w="80" w:type="dxa"/>
            </w:tcMar>
          </w:tcPr>
          <w:p>
            <w:pPr>
              <w:spacing w:after="20" w:before="20" w:line="269" w:lineRule="auto"/>
            </w:pPr>
            <w:r>
              <w:rPr>
                <w:rFonts w:ascii="Microsoft YaHei" w:hAnsi="Microsoft YaHei" w:eastAsia="Microsoft YaHei"/>
                <w:b/>
                <w:color w:val="FFFFFF"/>
                <w:sz w:val="18"/>
              </w:rPr>
              <w:t>首年安排</w:t>
            </w:r>
          </w:p>
        </w:tc>
      </w:tr>
      <w:tr>
        <w:trPr>
          <w:cantSplit/>
        </w:trPr>
        <w:tc>
          <w:tcPr>
            <w:tcW w:type="dxa" w:w="1757"/>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产品</w:t>
            </w:r>
          </w:p>
        </w:tc>
        <w:tc>
          <w:tcPr>
            <w:tcW w:type="dxa" w:w="7710"/>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原创AI虚拟主播姬岁歌，配套游戏直播、互动栏目、视频切片和粉丝社群。</w:t>
            </w:r>
          </w:p>
        </w:tc>
      </w:tr>
      <w:tr>
        <w:trPr>
          <w:cantSplit/>
        </w:trPr>
        <w:tc>
          <w:tcPr>
            <w:tcW w:type="dxa" w:w="1757"/>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已有基础</w:t>
            </w:r>
          </w:p>
        </w:tc>
        <w:tc>
          <w:tcPr>
            <w:tcW w:type="dxa" w:w="7710"/>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人格与记忆、语音、Live2D和直播工作台原型，Minecraft与回合制游戏联调记录。</w:t>
            </w:r>
          </w:p>
        </w:tc>
      </w:tr>
      <w:tr>
        <w:trPr>
          <w:cantSplit/>
        </w:trPr>
        <w:tc>
          <w:tcPr>
            <w:tcW w:type="dxa" w:w="1757"/>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运营节奏</w:t>
            </w:r>
          </w:p>
        </w:tc>
        <w:tc>
          <w:tcPr>
            <w:tcW w:type="dxa" w:w="7710"/>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每周五天20:00开播，初期按每场约2小时组织；每周4至5条重点切片。</w:t>
            </w:r>
          </w:p>
        </w:tc>
      </w:tr>
      <w:tr>
        <w:trPr>
          <w:cantSplit/>
        </w:trPr>
        <w:tc>
          <w:tcPr>
            <w:tcW w:type="dxa" w:w="1757"/>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增长节点</w:t>
            </w:r>
          </w:p>
        </w:tc>
        <w:tc>
          <w:tcPr>
            <w:tcW w:type="dxa" w:w="7710"/>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公开运营前三个月争取2.5万关注，约六个月争取10万主阵地关注，持续提升回访和互动。</w:t>
            </w:r>
          </w:p>
        </w:tc>
      </w:tr>
      <w:tr>
        <w:trPr>
          <w:cantSplit/>
        </w:trPr>
        <w:tc>
          <w:tcPr>
            <w:tcW w:type="dxa" w:w="1757"/>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收入路径</w:t>
            </w:r>
          </w:p>
        </w:tc>
        <w:tc>
          <w:tcPr>
            <w:tcW w:type="dxa" w:w="7710"/>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早期接受直播打赏；约10万粉丝后逐步推出月度会员、预售周边和商业联动。</w:t>
            </w:r>
          </w:p>
        </w:tc>
      </w:tr>
      <w:tr>
        <w:trPr>
          <w:cantSplit/>
        </w:trPr>
        <w:tc>
          <w:tcPr>
            <w:tcW w:type="dxa" w:w="1757"/>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启动资金</w:t>
            </w:r>
          </w:p>
        </w:tc>
        <w:tc>
          <w:tcPr>
            <w:tcW w:type="dxa" w:w="7710"/>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计划争取10万元支持，用于原创视觉、Live2D、AI辅助开发工具、直播运营、流量与社群。</w:t>
            </w:r>
          </w:p>
        </w:tc>
      </w:tr>
    </w:tbl>
    <w:p>
      <w:pPr>
        <w:spacing w:after="20"/>
      </w:pPr>
    </w:p>
    <w:p>
      <w:pPr>
        <w:pStyle w:val="Heading2"/>
      </w:pPr>
      <w:r>
        <w:t>为什么现在值得投入</w:t>
      </w:r>
    </w:p>
    <w:p>
      <w:pPr>
        <w:widowControl/>
      </w:pPr>
      <w:r>
        <w:rPr>
          <w:b w:val="0"/>
        </w:rPr>
        <w:t>Neuro-sama已展示AI角色跨越Twitch、YouTube和Bilibili的影响力，国内Lumi和Nox则提供了小团队连续直播的近阶段参照。技术能够把角色带上舞台，节目内容和社群运营决定观众是否持续留下。潮生智能将研发、直播与观众反馈放在同一条迭代链路中，优先形成有辨识度的内容和可长期运营的角色资产。[S2—S5]</w:t>
      </w:r>
    </w:p>
    <w:p>
      <w:r>
        <w:br w:type="page"/>
      </w:r>
    </w:p>
    <w:p>
      <w:pPr>
        <w:pStyle w:val="Heading1"/>
      </w:pPr>
      <w:r>
        <w:t>二 市场机会与目标观众</w:t>
      </w:r>
    </w:p>
    <w:p>
      <w:pPr>
        <w:widowControl/>
      </w:pPr>
      <w:r>
        <w:rPr>
          <w:b w:val="0"/>
        </w:rPr>
        <w:t>需求判断分三层推进：公开研究验证虚拟内容的观看与付费行为，创作者案例解释观众为什么留下，姬岁歌的受众测试检验本项目能否带来相应体验。项目首先服务喜欢游戏、人机互动和角色成长的观众，围绕这一群体建立稳定内容与社群。</w:t>
      </w:r>
    </w:p>
    <w:p>
      <w:pPr>
        <w:pStyle w:val="Heading2"/>
      </w:pPr>
      <w:r>
        <w:t>已有观看与付费行为的外部证据</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757"/>
        <w:gridCol w:w="4309"/>
        <w:gridCol w:w="3402"/>
      </w:tblGrid>
      <w:tr>
        <w:trPr>
          <w:cantSplit/>
          <w:tblHeader/>
        </w:trPr>
        <w:tc>
          <w:tcPr>
            <w:tcW w:type="dxa" w:w="1757"/>
            <w:vAlign w:val="center"/>
            <w:shd w:fill="153E49"/>
            <w:tcMar>
              <w:top w:w="80" w:type="dxa"/>
              <w:left w:w="80" w:type="dxa"/>
              <w:bottom w:w="80" w:type="dxa"/>
              <w:right w:w="80" w:type="dxa"/>
            </w:tcMar>
          </w:tcPr>
          <w:p>
            <w:pPr>
              <w:spacing w:after="20" w:before="20" w:line="269" w:lineRule="auto"/>
            </w:pPr>
            <w:r>
              <w:rPr>
                <w:rFonts w:ascii="Microsoft YaHei" w:hAnsi="Microsoft YaHei" w:eastAsia="Microsoft YaHei"/>
                <w:b/>
                <w:color w:val="FFFFFF"/>
                <w:sz w:val="18"/>
              </w:rPr>
              <w:t>证据</w:t>
            </w:r>
          </w:p>
        </w:tc>
        <w:tc>
          <w:tcPr>
            <w:tcW w:type="dxa" w:w="4309"/>
            <w:vAlign w:val="center"/>
            <w:shd w:fill="153E49"/>
            <w:tcMar>
              <w:top w:w="80" w:type="dxa"/>
              <w:left w:w="80" w:type="dxa"/>
              <w:bottom w:w="80" w:type="dxa"/>
              <w:right w:w="80" w:type="dxa"/>
            </w:tcMar>
          </w:tcPr>
          <w:p>
            <w:pPr>
              <w:spacing w:after="20" w:before="20" w:line="269" w:lineRule="auto"/>
            </w:pPr>
            <w:r>
              <w:rPr>
                <w:rFonts w:ascii="Microsoft YaHei" w:hAnsi="Microsoft YaHei" w:eastAsia="Microsoft YaHei"/>
                <w:b/>
                <w:color w:val="FFFFFF"/>
                <w:sz w:val="18"/>
              </w:rPr>
              <w:t>公开数据与范围</w:t>
            </w:r>
          </w:p>
        </w:tc>
        <w:tc>
          <w:tcPr>
            <w:tcW w:type="dxa" w:w="3402"/>
            <w:vAlign w:val="center"/>
            <w:shd w:fill="153E49"/>
            <w:tcMar>
              <w:top w:w="80" w:type="dxa"/>
              <w:left w:w="80" w:type="dxa"/>
              <w:bottom w:w="80" w:type="dxa"/>
              <w:right w:w="80" w:type="dxa"/>
            </w:tcMar>
          </w:tcPr>
          <w:p>
            <w:pPr>
              <w:spacing w:after="20" w:before="20" w:line="269" w:lineRule="auto"/>
            </w:pPr>
            <w:r>
              <w:rPr>
                <w:rFonts w:ascii="Microsoft YaHei" w:hAnsi="Microsoft YaHei" w:eastAsia="Microsoft YaHei"/>
                <w:b/>
                <w:color w:val="FFFFFF"/>
                <w:sz w:val="18"/>
              </w:rPr>
              <w:t>对产品的启发</w:t>
            </w:r>
          </w:p>
        </w:tc>
      </w:tr>
      <w:tr>
        <w:trPr>
          <w:cantSplit/>
        </w:trPr>
        <w:tc>
          <w:tcPr>
            <w:tcW w:type="dxa" w:w="1757"/>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平台观看行为</w:t>
            </w:r>
          </w:p>
        </w:tc>
        <w:tc>
          <w:tcPr>
            <w:tcW w:type="dxa" w:w="4309"/>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YouTube官方：2024年300个虚拟创作者样本获得超过150亿次观看，覆盖视频、直播与Shorts。[S1]</w:t>
            </w:r>
          </w:p>
        </w:tc>
        <w:tc>
          <w:tcPr>
            <w:tcW w:type="dxa" w:w="3402"/>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角色内容可以跨长短视频传播，直播与切片需要共同规划。</w:t>
            </w:r>
          </w:p>
        </w:tc>
      </w:tr>
      <w:tr>
        <w:trPr>
          <w:cantSplit/>
        </w:trPr>
        <w:tc>
          <w:tcPr>
            <w:tcW w:type="dxa" w:w="1757"/>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国内真实付费行为</w:t>
            </w:r>
          </w:p>
        </w:tc>
        <w:tc>
          <w:tcPr>
            <w:tcW w:type="dxa" w:w="4309"/>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WWW 2025研究覆盖2022年6月至2023年8月约4900名VUP、270万场直播；识别60.8万条首次会员记录，涉及33.7万名观众。[R1]</w:t>
            </w:r>
          </w:p>
        </w:tc>
        <w:tc>
          <w:tcPr>
            <w:tcW w:type="dxa" w:w="3402"/>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核心观众愿意为主播付费，内容与社群值得持续投入。</w:t>
            </w:r>
          </w:p>
        </w:tc>
      </w:tr>
      <w:tr>
        <w:trPr>
          <w:cantSplit/>
        </w:trPr>
        <w:tc>
          <w:tcPr>
            <w:tcW w:type="dxa" w:w="1757"/>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付费后的留存挑战</w:t>
            </w:r>
          </w:p>
        </w:tc>
        <w:tc>
          <w:tcPr>
            <w:tcW w:type="dxa" w:w="4309"/>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同一研究的首次购买会员样本，次月续费比例为8.9%。该数值对应历史研究样本。[R1]</w:t>
            </w:r>
          </w:p>
        </w:tc>
        <w:tc>
          <w:tcPr>
            <w:tcW w:type="dxa" w:w="3402"/>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首次支持之后还要持续提供回访理由，提前测量再次观看与续费。</w:t>
            </w:r>
          </w:p>
        </w:tc>
      </w:tr>
      <w:tr>
        <w:trPr>
          <w:cantSplit/>
        </w:trPr>
        <w:tc>
          <w:tcPr>
            <w:tcW w:type="dxa" w:w="1757"/>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AI主播的跨平台接受</w:t>
            </w:r>
          </w:p>
        </w:tc>
        <w:tc>
          <w:tcPr>
            <w:tcW w:type="dxa" w:w="4309"/>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Neuro-sama的B站官方账号公开快照约113万关注；官方站连接直播、切片、社群与商店。[S2][S3]</w:t>
            </w:r>
          </w:p>
        </w:tc>
        <w:tc>
          <w:tcPr>
            <w:tcW w:type="dxa" w:w="3402"/>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AI角色已经能形成跨语言受众，内容和社群是成长路径的重要部分。</w:t>
            </w:r>
          </w:p>
        </w:tc>
      </w:tr>
    </w:tbl>
    <w:p>
      <w:pPr>
        <w:spacing w:after="20"/>
      </w:pPr>
    </w:p>
    <w:p>
      <w:pPr>
        <w:pStyle w:val="Heading2"/>
      </w:pPr>
      <w:r>
        <w:t>观众希望获得什么</w:t>
      </w:r>
    </w:p>
    <w:p>
      <w:pPr>
        <w:widowControl/>
      </w:pPr>
      <w:r>
        <w:rPr>
          <w:b w:val="0"/>
        </w:rPr>
        <w:t>第一层是娱乐：AI接梗、真人反应和游戏结果构成有起因、有反转的片段。第二层是参与：观众提出的建议能影响当晚任务，并在之后的节目中得到回应。第三层是持续认识一个角色：观众能说出她的特点，记得一起经历过什么，也对下一场有期待。</w:t>
      </w:r>
    </w:p>
    <w:p>
      <w:pPr>
        <w:widowControl/>
      </w:pPr>
      <w:r>
        <w:rPr>
          <w:b w:val="0"/>
        </w:rPr>
        <w:t>这些需求分别对应观看、参与和回访三个行为指标。我们将优先观察观众能否记住具体片段、是否主动继续观看，以及七天内是否再次打开节目。现阶段调研方案和工程证据已就绪，受众招募与正式测试接续开展。</w:t>
      </w:r>
    </w:p>
    <w:p>
      <w:r>
        <w:br w:type="page"/>
      </w:r>
    </w:p>
    <w:p>
      <w:pPr>
        <w:pStyle w:val="Heading1"/>
      </w:pPr>
      <w:r>
        <w:t>市场机会与目标观众 需求验证</w:t>
      </w:r>
    </w:p>
    <w:p>
      <w:pPr>
        <w:pStyle w:val="Heading2"/>
      </w:pPr>
      <w:r>
        <w:t>需要用本项目验证的三个问题</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268"/>
        <w:gridCol w:w="3798"/>
        <w:gridCol w:w="3402"/>
      </w:tblGrid>
      <w:tr>
        <w:trPr>
          <w:cantSplit/>
          <w:tblHeader/>
        </w:trPr>
        <w:tc>
          <w:tcPr>
            <w:tcW w:type="dxa" w:w="2268"/>
            <w:vAlign w:val="center"/>
            <w:shd w:fill="153E49"/>
            <w:tcMar>
              <w:top w:w="80" w:type="dxa"/>
              <w:left w:w="80" w:type="dxa"/>
              <w:bottom w:w="80" w:type="dxa"/>
              <w:right w:w="80" w:type="dxa"/>
            </w:tcMar>
          </w:tcPr>
          <w:p>
            <w:pPr>
              <w:spacing w:after="20" w:before="20" w:line="269" w:lineRule="auto"/>
            </w:pPr>
            <w:r>
              <w:rPr>
                <w:rFonts w:ascii="Microsoft YaHei" w:hAnsi="Microsoft YaHei" w:eastAsia="Microsoft YaHei"/>
                <w:b/>
                <w:color w:val="FFFFFF"/>
                <w:sz w:val="18"/>
              </w:rPr>
              <w:t>需求判断</w:t>
            </w:r>
          </w:p>
        </w:tc>
        <w:tc>
          <w:tcPr>
            <w:tcW w:type="dxa" w:w="3798"/>
            <w:vAlign w:val="center"/>
            <w:shd w:fill="153E49"/>
            <w:tcMar>
              <w:top w:w="80" w:type="dxa"/>
              <w:left w:w="80" w:type="dxa"/>
              <w:bottom w:w="80" w:type="dxa"/>
              <w:right w:w="80" w:type="dxa"/>
            </w:tcMar>
          </w:tcPr>
          <w:p>
            <w:pPr>
              <w:spacing w:after="20" w:before="20" w:line="269" w:lineRule="auto"/>
            </w:pPr>
            <w:r>
              <w:rPr>
                <w:rFonts w:ascii="Microsoft YaHei" w:hAnsi="Microsoft YaHei" w:eastAsia="Microsoft YaHei"/>
                <w:b/>
                <w:color w:val="FFFFFF"/>
                <w:sz w:val="18"/>
              </w:rPr>
              <w:t>产品中的对应体验</w:t>
            </w:r>
          </w:p>
        </w:tc>
        <w:tc>
          <w:tcPr>
            <w:tcW w:type="dxa" w:w="3402"/>
            <w:vAlign w:val="center"/>
            <w:shd w:fill="153E49"/>
            <w:tcMar>
              <w:top w:w="80" w:type="dxa"/>
              <w:left w:w="80" w:type="dxa"/>
              <w:bottom w:w="80" w:type="dxa"/>
              <w:right w:w="80" w:type="dxa"/>
            </w:tcMar>
          </w:tcPr>
          <w:p>
            <w:pPr>
              <w:spacing w:after="20" w:before="20" w:line="269" w:lineRule="auto"/>
            </w:pPr>
            <w:r>
              <w:rPr>
                <w:rFonts w:ascii="Microsoft YaHei" w:hAnsi="Microsoft YaHei" w:eastAsia="Microsoft YaHei"/>
                <w:b/>
                <w:color w:val="FFFFFF"/>
                <w:sz w:val="18"/>
              </w:rPr>
              <w:t>首轮观察</w:t>
            </w:r>
          </w:p>
        </w:tc>
      </w:tr>
      <w:tr>
        <w:trPr>
          <w:cantSplit/>
        </w:trPr>
        <w:tc>
          <w:tcPr>
            <w:tcW w:type="dxa" w:w="2268"/>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看完技术新奇后仍愿意看</w:t>
            </w:r>
          </w:p>
        </w:tc>
        <w:tc>
          <w:tcPr>
            <w:tcW w:type="dxa" w:w="3798"/>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真人与AI共同完成游戏任务，留下角色选择和完整结果。</w:t>
            </w:r>
          </w:p>
        </w:tc>
        <w:tc>
          <w:tcPr>
            <w:tcW w:type="dxa" w:w="3402"/>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完成规定样片后，自由观看区间的停留时长。</w:t>
            </w:r>
          </w:p>
        </w:tc>
      </w:tr>
      <w:tr>
        <w:trPr>
          <w:cantSplit/>
        </w:trPr>
        <w:tc>
          <w:tcPr>
            <w:tcW w:type="dxa" w:w="2268"/>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观众能建立角色记忆</w:t>
            </w:r>
          </w:p>
        </w:tc>
        <w:tc>
          <w:tcPr>
            <w:tcW w:type="dxa" w:w="3798"/>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岁与歌的表达差异、共同事件和下一场约定。</w:t>
            </w:r>
          </w:p>
        </w:tc>
        <w:tc>
          <w:tcPr>
            <w:tcW w:type="dxa" w:w="3402"/>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自由回忆、角色辨认，以及一周后的再次观看。</w:t>
            </w:r>
          </w:p>
        </w:tc>
      </w:tr>
      <w:tr>
        <w:trPr>
          <w:cantSplit/>
        </w:trPr>
        <w:tc>
          <w:tcPr>
            <w:tcW w:type="dxa" w:w="2268"/>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观众参与带来内容价值</w:t>
            </w:r>
          </w:p>
        </w:tc>
        <w:tc>
          <w:tcPr>
            <w:tcW w:type="dxa" w:w="3798"/>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合理建议进入任务，结果在节目中说明。</w:t>
            </w:r>
          </w:p>
        </w:tc>
        <w:tc>
          <w:tcPr>
            <w:tcW w:type="dxa" w:w="3402"/>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建议是否被听懂、是否愿意继续互动，以及实际回访。</w:t>
            </w:r>
          </w:p>
        </w:tc>
      </w:tr>
    </w:tbl>
    <w:p>
      <w:pPr>
        <w:spacing w:after="20"/>
      </w:pPr>
    </w:p>
    <w:p>
      <w:pPr>
        <w:pStyle w:val="Heading2"/>
      </w:pPr>
      <w:r>
        <w:t>如何识别短暂新奇和持续需求</w:t>
      </w:r>
    </w:p>
    <w:p>
      <w:pPr>
        <w:widowControl/>
      </w:pPr>
      <w:r>
        <w:rPr>
          <w:b w:val="0"/>
        </w:rPr>
        <w:t>首轮计划招募30名成年观众，按V圈观众、游戏与AI兴趣者、较少看VUP的人各10名分层。规定样片之后提供自由观看选择，并在七天观察窗内记录自愿回看。问卷同时询问最有趣与最无聊的片段，将主观反馈对应到时间戳。执行工具见配套受众调研手册。</w:t>
      </w:r>
    </w:p>
    <w:p>
      <w:pPr>
        <w:widowControl/>
      </w:pPr>
      <w:r>
        <w:rPr>
          <w:b w:val="0"/>
        </w:rPr>
        <w:t>若口头评价很高，而自由观看与七天回访较低，下一轮优先调整节目内容和目标人群。若共同记忆与角色辨认表现良好，再比较增强版本能否进一步提高继续观看的选择。每轮保留退出、缺失和技术故障记录，使用同样的指标复测。</w:t>
      </w:r>
    </w:p>
    <w:p>
      <w:pPr>
        <w:pStyle w:val="Heading2"/>
      </w:pPr>
      <w:r>
        <w:t>从受众规模目标走向实测增长</w:t>
      </w:r>
    </w:p>
    <w:p>
      <w:pPr>
        <w:widowControl/>
      </w:pPr>
      <w:r>
        <w:rPr>
          <w:b w:val="0"/>
        </w:rPr>
        <w:t>首年原增长目标按约200条重点切片、每条平均1.5万次播放组织，对应300万次播放；以人均1.5次观看、7.5%关注转化安排，得到约200万目标触达与15万关注目标。前三个月争取2.5万关注，约六个月争取10万主阵地关注。上述参数将在首轮受众测试和公开运营后，依据实际留存与转化更新。</w:t>
      </w:r>
    </w:p>
    <w:p>
      <w:pPr>
        <w:widowControl/>
      </w:pPr>
      <w:r>
        <w:rPr>
          <w:b w:val="0"/>
        </w:rPr>
        <w:t>国内以Bilibili作为首发阵地，抖音承接中文短片；YouTube Shorts与TikTok测试双语传播，Twitch在海外观众形成后开展专题直播。各平台分开记录观看与关注，以主阵地回访和社群参与判断角色关系的积累。</w:t>
      </w:r>
    </w:p>
    <w:p>
      <w:r>
        <w:br w:type="page"/>
      </w:r>
    </w:p>
    <w:p>
      <w:pPr>
        <w:pStyle w:val="Heading1"/>
      </w:pPr>
      <w:r>
        <w:t>三 对标案例与竞争定位</w:t>
      </w:r>
    </w:p>
    <w:p>
      <w:pPr>
        <w:pStyle w:val="Heading2"/>
      </w:pPr>
      <w:r>
        <w:t>先分清运营形态和资源条件</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268"/>
        <w:gridCol w:w="3969"/>
        <w:gridCol w:w="3231"/>
      </w:tblGrid>
      <w:tr>
        <w:trPr>
          <w:cantSplit/>
          <w:tblHeader/>
        </w:trPr>
        <w:tc>
          <w:tcPr>
            <w:tcW w:type="dxa" w:w="2268"/>
            <w:vAlign w:val="center"/>
            <w:shd w:fill="153E49"/>
            <w:tcMar>
              <w:top w:w="80" w:type="dxa"/>
              <w:left w:w="80" w:type="dxa"/>
              <w:bottom w:w="80" w:type="dxa"/>
              <w:right w:w="80" w:type="dxa"/>
            </w:tcMar>
          </w:tcPr>
          <w:p>
            <w:pPr>
              <w:spacing w:after="20" w:before="20" w:line="269" w:lineRule="auto"/>
            </w:pPr>
            <w:r>
              <w:rPr>
                <w:rFonts w:ascii="Microsoft YaHei" w:hAnsi="Microsoft YaHei" w:eastAsia="Microsoft YaHei"/>
                <w:b/>
                <w:color w:val="FFFFFF"/>
                <w:sz w:val="18"/>
              </w:rPr>
              <w:t>运营形态</w:t>
            </w:r>
          </w:p>
        </w:tc>
        <w:tc>
          <w:tcPr>
            <w:tcW w:type="dxa" w:w="3969"/>
            <w:vAlign w:val="center"/>
            <w:shd w:fill="153E49"/>
            <w:tcMar>
              <w:top w:w="80" w:type="dxa"/>
              <w:left w:w="80" w:type="dxa"/>
              <w:bottom w:w="80" w:type="dxa"/>
              <w:right w:w="80" w:type="dxa"/>
            </w:tcMar>
          </w:tcPr>
          <w:p>
            <w:pPr>
              <w:spacing w:after="20" w:before="20" w:line="269" w:lineRule="auto"/>
            </w:pPr>
            <w:r>
              <w:rPr>
                <w:rFonts w:ascii="Microsoft YaHei" w:hAnsi="Microsoft YaHei" w:eastAsia="Microsoft YaHei"/>
                <w:b/>
                <w:color w:val="FFFFFF"/>
                <w:sz w:val="18"/>
              </w:rPr>
              <w:t>比较时关注什么</w:t>
            </w:r>
          </w:p>
        </w:tc>
        <w:tc>
          <w:tcPr>
            <w:tcW w:type="dxa" w:w="3231"/>
            <w:vAlign w:val="center"/>
            <w:shd w:fill="153E49"/>
            <w:tcMar>
              <w:top w:w="80" w:type="dxa"/>
              <w:left w:w="80" w:type="dxa"/>
              <w:bottom w:w="80" w:type="dxa"/>
              <w:right w:w="80" w:type="dxa"/>
            </w:tcMar>
          </w:tcPr>
          <w:p>
            <w:pPr>
              <w:spacing w:after="20" w:before="20" w:line="269" w:lineRule="auto"/>
            </w:pPr>
            <w:r>
              <w:rPr>
                <w:rFonts w:ascii="Microsoft YaHei" w:hAnsi="Microsoft YaHei" w:eastAsia="Microsoft YaHei"/>
                <w:b/>
                <w:color w:val="FFFFFF"/>
                <w:sz w:val="18"/>
              </w:rPr>
              <w:t>本项目的位置</w:t>
            </w:r>
          </w:p>
        </w:tc>
      </w:tr>
      <w:tr>
        <w:trPr>
          <w:cantSplit/>
        </w:trPr>
        <w:tc>
          <w:tcPr>
            <w:tcW w:type="dxa" w:w="2268"/>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个人势与自营小团队</w:t>
            </w:r>
          </w:p>
        </w:tc>
        <w:tc>
          <w:tcPr>
            <w:tcW w:type="dxa" w:w="3969"/>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角色与内容的主导权、人员投入、切片、社群和有限预算。</w:t>
            </w:r>
          </w:p>
        </w:tc>
        <w:tc>
          <w:tcPr>
            <w:tcW w:type="dxa" w:w="3231"/>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姬岁歌采用自营小团队路线，直接研究内容与运营效率。</w:t>
            </w:r>
          </w:p>
        </w:tc>
      </w:tr>
      <w:tr>
        <w:trPr>
          <w:cantSplit/>
        </w:trPr>
        <w:tc>
          <w:tcPr>
            <w:tcW w:type="dxa" w:w="2268"/>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公会或经纪合作</w:t>
            </w:r>
          </w:p>
        </w:tc>
        <w:tc>
          <w:tcPr>
            <w:tcW w:type="dxa" w:w="3969"/>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招募培训、商务接单、执行结算与分成；独立IP也可采用服务合作。</w:t>
            </w:r>
          </w:p>
        </w:tc>
        <w:tc>
          <w:tcPr>
            <w:tcW w:type="dxa" w:w="3231"/>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按合同单列资源和支出，再比较合作前后的实际收益。[R2]</w:t>
            </w:r>
          </w:p>
        </w:tc>
      </w:tr>
      <w:tr>
        <w:trPr>
          <w:cantSplit/>
        </w:trPr>
        <w:tc>
          <w:tcPr>
            <w:tcW w:type="dxa" w:w="2268"/>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企业势与机构企划</w:t>
            </w:r>
          </w:p>
        </w:tc>
        <w:tc>
          <w:tcPr>
            <w:tcW w:type="dxa" w:w="3969"/>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机构制作、宣发、演唱会、授权和供应链等组织能力。</w:t>
            </w:r>
          </w:p>
        </w:tc>
        <w:tc>
          <w:tcPr>
            <w:tcW w:type="dxa" w:w="3231"/>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将成熟内容与商业路径作为长期参照，阶段预算按小团队安排。</w:t>
            </w:r>
          </w:p>
        </w:tc>
      </w:tr>
    </w:tbl>
    <w:p>
      <w:pPr>
        <w:spacing w:after="20"/>
      </w:pPr>
    </w:p>
    <w:p>
      <w:pPr>
        <w:widowControl/>
      </w:pPr>
      <w:r>
        <w:rPr>
          <w:b w:val="0"/>
        </w:rPr>
        <w:t>案例按公开的品牌与组织合作记录标注。平台公会属于经纪服务关系，个人角色主导权与公会签约应分列核对。B站花火官方说明公会服务包含接单、执行与结算；具体创作者的合同状态以其披露或直接访谈为准。[R2]</w:t>
      </w:r>
    </w:p>
    <w:p>
      <w:pPr>
        <w:pStyle w:val="Heading2"/>
      </w:pPr>
      <w:r>
        <w:t>横向对标 普通VUP的内容积累</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381"/>
        <w:gridCol w:w="3288"/>
        <w:gridCol w:w="3798"/>
      </w:tblGrid>
      <w:tr>
        <w:trPr>
          <w:cantSplit/>
          <w:tblHeader/>
        </w:trPr>
        <w:tc>
          <w:tcPr>
            <w:tcW w:type="dxa" w:w="2381"/>
            <w:vAlign w:val="center"/>
            <w:shd w:fill="153E49"/>
            <w:tcMar>
              <w:top w:w="80" w:type="dxa"/>
              <w:left w:w="80" w:type="dxa"/>
              <w:bottom w:w="80" w:type="dxa"/>
              <w:right w:w="80" w:type="dxa"/>
            </w:tcMar>
          </w:tcPr>
          <w:p>
            <w:pPr>
              <w:spacing w:after="20" w:before="20" w:line="269" w:lineRule="auto"/>
            </w:pPr>
            <w:r>
              <w:rPr>
                <w:rFonts w:ascii="Microsoft YaHei" w:hAnsi="Microsoft YaHei" w:eastAsia="Microsoft YaHei"/>
                <w:b/>
                <w:color w:val="FFFFFF"/>
                <w:sz w:val="18"/>
              </w:rPr>
              <w:t>案例与公开规模</w:t>
            </w:r>
          </w:p>
        </w:tc>
        <w:tc>
          <w:tcPr>
            <w:tcW w:type="dxa" w:w="3288"/>
            <w:vAlign w:val="center"/>
            <w:shd w:fill="153E49"/>
            <w:tcMar>
              <w:top w:w="80" w:type="dxa"/>
              <w:left w:w="80" w:type="dxa"/>
              <w:bottom w:w="80" w:type="dxa"/>
              <w:right w:w="80" w:type="dxa"/>
            </w:tcMar>
          </w:tcPr>
          <w:p>
            <w:pPr>
              <w:spacing w:after="20" w:before="20" w:line="269" w:lineRule="auto"/>
            </w:pPr>
            <w:r>
              <w:rPr>
                <w:rFonts w:ascii="Microsoft YaHei" w:hAnsi="Microsoft YaHei" w:eastAsia="Microsoft YaHei"/>
                <w:b/>
                <w:color w:val="FFFFFF"/>
                <w:sz w:val="18"/>
              </w:rPr>
              <w:t>组织或合作口径</w:t>
            </w:r>
          </w:p>
        </w:tc>
        <w:tc>
          <w:tcPr>
            <w:tcW w:type="dxa" w:w="3798"/>
            <w:vAlign w:val="center"/>
            <w:shd w:fill="153E49"/>
            <w:tcMar>
              <w:top w:w="80" w:type="dxa"/>
              <w:left w:w="80" w:type="dxa"/>
              <w:bottom w:w="80" w:type="dxa"/>
              <w:right w:w="80" w:type="dxa"/>
            </w:tcMar>
          </w:tcPr>
          <w:p>
            <w:pPr>
              <w:spacing w:after="20" w:before="20" w:line="269" w:lineRule="auto"/>
            </w:pPr>
            <w:r>
              <w:rPr>
                <w:rFonts w:ascii="Microsoft YaHei" w:hAnsi="Microsoft YaHei" w:eastAsia="Microsoft YaHei"/>
                <w:b/>
                <w:color w:val="FFFFFF"/>
                <w:sz w:val="18"/>
              </w:rPr>
              <w:t>值得借鉴的观众价值</w:t>
            </w:r>
          </w:p>
        </w:tc>
      </w:tr>
      <w:tr>
        <w:trPr>
          <w:cantSplit/>
        </w:trPr>
        <w:tc>
          <w:tcPr>
            <w:tcW w:type="dxa" w:w="2381"/>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hanser</w:t>
              <w:br/>
              <w:t>B站快照约507.1万</w:t>
            </w:r>
          </w:p>
        </w:tc>
        <w:tc>
          <w:tcPr>
            <w:tcW w:type="dxa" w:w="3288"/>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成熟创作者品牌；VirtuaReal Star官方企划页可查合作记录。[R3][R4]</w:t>
            </w:r>
          </w:p>
        </w:tc>
        <w:tc>
          <w:tcPr>
            <w:tcW w:type="dxa" w:w="3798"/>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声音与表达辨识、音乐和游戏内容、长期角色关系。</w:t>
            </w:r>
          </w:p>
        </w:tc>
      </w:tr>
      <w:tr>
        <w:trPr>
          <w:cantSplit/>
        </w:trPr>
        <w:tc>
          <w:tcPr>
            <w:tcW w:type="dxa" w:w="2381"/>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小缘喵</w:t>
              <w:br/>
              <w:t>B站快照约155.1万</w:t>
            </w:r>
          </w:p>
        </w:tc>
        <w:tc>
          <w:tcPr>
            <w:tcW w:type="dxa" w:w="3288"/>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创作者品牌；本表按其官方内容与账号观察。[R5]</w:t>
            </w:r>
          </w:p>
        </w:tc>
        <w:tc>
          <w:tcPr>
            <w:tcW w:type="dxa" w:w="3798"/>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音乐、实况与日常表达，观众通过声音和熟悉感持续回访。</w:t>
            </w:r>
          </w:p>
        </w:tc>
      </w:tr>
      <w:tr>
        <w:trPr>
          <w:cantSplit/>
        </w:trPr>
        <w:tc>
          <w:tcPr>
            <w:tcW w:type="dxa" w:w="2381"/>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泠鸢yousa</w:t>
              <w:br/>
              <w:t>B站快照约341.9万</w:t>
            </w:r>
          </w:p>
        </w:tc>
        <w:tc>
          <w:tcPr>
            <w:tcW w:type="dxa" w:w="3288"/>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成熟创作者品牌，有虚拟艺人合作历史；当前合同另行核对。[R6]</w:t>
            </w:r>
          </w:p>
        </w:tc>
        <w:tc>
          <w:tcPr>
            <w:tcW w:type="dxa" w:w="3798"/>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原创与翻唱、角色视觉、专辑和线下舞台，让作品成为长期记忆点。</w:t>
            </w:r>
          </w:p>
        </w:tc>
      </w:tr>
      <w:tr>
        <w:trPr>
          <w:cantSplit/>
        </w:trPr>
        <w:tc>
          <w:tcPr>
            <w:tcW w:type="dxa" w:w="2381"/>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兰音Reine</w:t>
              <w:br/>
              <w:t>官网展示约221万B站粉丝</w:t>
            </w:r>
          </w:p>
        </w:tc>
        <w:tc>
          <w:tcPr>
            <w:tcW w:type="dxa" w:w="3288"/>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2023年公开与虚研科技合作成立兰音工作室。[R7]</w:t>
            </w:r>
          </w:p>
        </w:tc>
        <w:tc>
          <w:tcPr>
            <w:tcW w:type="dxa" w:w="3798"/>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多声线和音乐能力形成明确内容标签，个人工作室承接制作。</w:t>
            </w:r>
          </w:p>
        </w:tc>
      </w:tr>
    </w:tbl>
    <w:p>
      <w:pPr>
        <w:spacing w:after="20"/>
      </w:pPr>
    </w:p>
    <w:p>
      <w:pPr>
        <w:widowControl/>
      </w:pPr>
      <w:r>
        <w:rPr>
          <w:b w:val="0"/>
        </w:rPr>
        <w:t>规模数据为2026年10月21日检索得到的页面快照，页面缓存时间各异。案例用于观察内容与组织方式；近30天和90天表现按下一页的统一采样继续跟踪。</w:t>
      </w:r>
    </w:p>
    <w:p>
      <w:r>
        <w:br w:type="page"/>
      </w:r>
    </w:p>
    <w:p>
      <w:pPr>
        <w:pStyle w:val="Heading1"/>
      </w:pPr>
      <w:r>
        <w:t>横向对标 角色社群与企业资源</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381"/>
        <w:gridCol w:w="3288"/>
        <w:gridCol w:w="3798"/>
      </w:tblGrid>
      <w:tr>
        <w:trPr>
          <w:cantSplit/>
          <w:tblHeader/>
        </w:trPr>
        <w:tc>
          <w:tcPr>
            <w:tcW w:type="dxa" w:w="2381"/>
            <w:vAlign w:val="center"/>
            <w:shd w:fill="153E49"/>
            <w:tcMar>
              <w:top w:w="80" w:type="dxa"/>
              <w:left w:w="80" w:type="dxa"/>
              <w:bottom w:w="80" w:type="dxa"/>
              <w:right w:w="80" w:type="dxa"/>
            </w:tcMar>
          </w:tcPr>
          <w:p>
            <w:pPr>
              <w:spacing w:after="20" w:before="20" w:line="269" w:lineRule="auto"/>
            </w:pPr>
            <w:r>
              <w:rPr>
                <w:rFonts w:ascii="Microsoft YaHei" w:hAnsi="Microsoft YaHei" w:eastAsia="Microsoft YaHei"/>
                <w:b/>
                <w:color w:val="FFFFFF"/>
                <w:sz w:val="18"/>
              </w:rPr>
              <w:t>案例与公开规模</w:t>
            </w:r>
          </w:p>
        </w:tc>
        <w:tc>
          <w:tcPr>
            <w:tcW w:type="dxa" w:w="3288"/>
            <w:vAlign w:val="center"/>
            <w:shd w:fill="153E49"/>
            <w:tcMar>
              <w:top w:w="80" w:type="dxa"/>
              <w:left w:w="80" w:type="dxa"/>
              <w:bottom w:w="80" w:type="dxa"/>
              <w:right w:w="80" w:type="dxa"/>
            </w:tcMar>
          </w:tcPr>
          <w:p>
            <w:pPr>
              <w:spacing w:after="20" w:before="20" w:line="269" w:lineRule="auto"/>
            </w:pPr>
            <w:r>
              <w:rPr>
                <w:rFonts w:ascii="Microsoft YaHei" w:hAnsi="Microsoft YaHei" w:eastAsia="Microsoft YaHei"/>
                <w:b/>
                <w:color w:val="FFFFFF"/>
                <w:sz w:val="18"/>
              </w:rPr>
              <w:t>组织或内容口径</w:t>
            </w:r>
          </w:p>
        </w:tc>
        <w:tc>
          <w:tcPr>
            <w:tcW w:type="dxa" w:w="3798"/>
            <w:vAlign w:val="center"/>
            <w:shd w:fill="153E49"/>
            <w:tcMar>
              <w:top w:w="80" w:type="dxa"/>
              <w:left w:w="80" w:type="dxa"/>
              <w:bottom w:w="80" w:type="dxa"/>
              <w:right w:w="80" w:type="dxa"/>
            </w:tcMar>
          </w:tcPr>
          <w:p>
            <w:pPr>
              <w:spacing w:after="20" w:before="20" w:line="269" w:lineRule="auto"/>
            </w:pPr>
            <w:r>
              <w:rPr>
                <w:rFonts w:ascii="Microsoft YaHei" w:hAnsi="Microsoft YaHei" w:eastAsia="Microsoft YaHei"/>
                <w:b/>
                <w:color w:val="FFFFFF"/>
                <w:sz w:val="18"/>
              </w:rPr>
              <w:t>我们要学习的部分</w:t>
            </w:r>
          </w:p>
        </w:tc>
      </w:tr>
      <w:tr>
        <w:trPr>
          <w:cantSplit/>
        </w:trPr>
        <w:tc>
          <w:tcPr>
            <w:tcW w:type="dxa" w:w="2381"/>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永雏塔菲</w:t>
              <w:br/>
              <w:t>B站快照约275.7万</w:t>
            </w:r>
          </w:p>
        </w:tc>
        <w:tc>
          <w:tcPr>
            <w:tcW w:type="dxa" w:w="3288"/>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本人微博简介标注个人势；游戏、杂谈和短片为公开内容。[R8]</w:t>
            </w:r>
          </w:p>
        </w:tc>
        <w:tc>
          <w:tcPr>
            <w:tcW w:type="dxa" w:w="3798"/>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鲜明表达、游戏实况、短片传播和粉丝共同语言。</w:t>
            </w:r>
          </w:p>
        </w:tc>
      </w:tr>
      <w:tr>
        <w:trPr>
          <w:cantSplit/>
        </w:trPr>
        <w:tc>
          <w:tcPr>
            <w:tcW w:type="dxa" w:w="2381"/>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雫るる</w:t>
              <w:br/>
              <w:t>本人B站视频页快照约116.2万</w:t>
            </w:r>
          </w:p>
        </w:tc>
        <w:tc>
          <w:tcPr>
            <w:tcW w:type="dxa" w:w="3288"/>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跨语言创作者品牌；2019年已发布面向B站观众的中文自我介绍。公会合同另列。[R9]</w:t>
            </w:r>
          </w:p>
        </w:tc>
        <w:tc>
          <w:tcPr>
            <w:tcW w:type="dxa" w:w="3798"/>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本土语言学习、回应观众、把文化差异转化为持续互动。</w:t>
            </w:r>
          </w:p>
        </w:tc>
      </w:tr>
      <w:tr>
        <w:trPr>
          <w:cantSplit/>
        </w:trPr>
        <w:tc>
          <w:tcPr>
            <w:tcW w:type="dxa" w:w="2381"/>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咩栗与呜米</w:t>
              <w:br/>
              <w:t>各约102.7万与97.2万</w:t>
            </w:r>
          </w:p>
        </w:tc>
        <w:tc>
          <w:tcPr>
            <w:tcW w:type="dxa" w:w="3288"/>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MeUmy双人组合，按小团队及内容合作观察；两账号关注分别统计。[R10]</w:t>
            </w:r>
          </w:p>
        </w:tc>
        <w:tc>
          <w:tcPr>
            <w:tcW w:type="dxa" w:w="3798"/>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搭档关系、合唱、游戏和日常互动形成连续故事与组合记忆。</w:t>
            </w:r>
          </w:p>
        </w:tc>
      </w:tr>
      <w:tr>
        <w:trPr>
          <w:cantSplit/>
        </w:trPr>
        <w:tc>
          <w:tcPr>
            <w:tcW w:type="dxa" w:w="2381"/>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宝钟马琳</w:t>
              <w:br/>
              <w:t>2026年官方400万订阅纪念商品</w:t>
            </w:r>
          </w:p>
        </w:tc>
        <w:tc>
          <w:tcPr>
            <w:tcW w:type="dxa" w:w="3288"/>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hololive所属企业势，机构与商品体系可由官方资料确认。[R11]</w:t>
            </w:r>
          </w:p>
        </w:tc>
        <w:tc>
          <w:tcPr>
            <w:tcW w:type="dxa" w:w="3798"/>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角色表达、音乐与活动、纪念商品和稳定的粉丝经营。</w:t>
            </w:r>
          </w:p>
        </w:tc>
      </w:tr>
    </w:tbl>
    <w:p>
      <w:pPr>
        <w:spacing w:after="20"/>
      </w:pPr>
    </w:p>
    <w:p>
      <w:pPr>
        <w:pStyle w:val="Heading2"/>
      </w:pPr>
      <w:r>
        <w:t>同口径继续采集什么</w:t>
      </w:r>
    </w:p>
    <w:p>
      <w:pPr>
        <w:widowControl/>
      </w:pPr>
      <w:r>
        <w:rPr>
          <w:b w:val="0"/>
        </w:rPr>
        <w:t>对上述账号按检索日向前30天，记录最近10条符合条件的官方短片，单列音乐MV、直播切片与公告；再统计90天更新频次。使用播放中位数、点赞及评论率观察普通表现，并标注发布天数。直播、录像和短片分别统计，热门历史作品放入独立案例栏。</w:t>
      </w:r>
    </w:p>
    <w:p>
      <w:pPr>
        <w:widowControl/>
      </w:pPr>
      <w:r>
        <w:rPr>
          <w:b w:val="0"/>
        </w:rPr>
        <w:t>MeUmy当前公开账号仍有新歌、合唱和专辑预售。后续用同类内容的近期中位表现和回访判断热度变化，保留系列类型、发布节奏与观察日期。双人联动案例将重点研究关系如何推进、观众怎样参与，以及重复栏目何时需要变化。</w:t>
      </w:r>
    </w:p>
    <w:p>
      <w:pPr>
        <w:pStyle w:val="Heading2"/>
      </w:pPr>
      <w:r>
        <w:t>把学习转化为姬岁歌的设计</w:t>
      </w:r>
    </w:p>
    <w:p>
      <w:pPr>
        <w:widowControl/>
      </w:pPr>
      <w:r>
        <w:rPr>
          <w:b w:val="0"/>
        </w:rPr>
        <w:t>从音乐型VUP学习稳定的辨识标签，从游戏与杂谈型学习临场反应，从跨语言主播学习本土化表达，从双人组合学习关系与连续叙事。姬岁歌把这些经验落到“人机共同任务、角色选择、真实结果、下次接续”上，并用内部试播检验观众是否能看见、记住和回来。</w:t>
      </w:r>
    </w:p>
    <w:p>
      <w:r>
        <w:br w:type="page"/>
      </w:r>
    </w:p>
    <w:p>
      <w:pPr>
        <w:pStyle w:val="Heading1"/>
      </w:pPr>
      <w:r>
        <w:t>纵向对标 Neuro sama与Lumi Nox</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757"/>
        <w:gridCol w:w="2494"/>
        <w:gridCol w:w="2608"/>
        <w:gridCol w:w="2608"/>
      </w:tblGrid>
      <w:tr>
        <w:trPr>
          <w:cantSplit/>
          <w:tblHeader/>
        </w:trPr>
        <w:tc>
          <w:tcPr>
            <w:tcW w:type="dxa" w:w="1757"/>
            <w:vAlign w:val="center"/>
            <w:shd w:fill="153E49"/>
            <w:tcMar>
              <w:top w:w="80" w:type="dxa"/>
              <w:left w:w="80" w:type="dxa"/>
              <w:bottom w:w="80" w:type="dxa"/>
              <w:right w:w="80" w:type="dxa"/>
            </w:tcMar>
          </w:tcPr>
          <w:p>
            <w:pPr>
              <w:spacing w:after="20" w:before="20" w:line="269" w:lineRule="auto"/>
            </w:pPr>
            <w:r>
              <w:rPr>
                <w:rFonts w:ascii="Microsoft YaHei" w:hAnsi="Microsoft YaHei" w:eastAsia="Microsoft YaHei"/>
                <w:b/>
                <w:color w:val="FFFFFF"/>
                <w:sz w:val="18"/>
              </w:rPr>
              <w:t>比较维度</w:t>
            </w:r>
          </w:p>
        </w:tc>
        <w:tc>
          <w:tcPr>
            <w:tcW w:type="dxa" w:w="2494"/>
            <w:vAlign w:val="center"/>
            <w:shd w:fill="153E49"/>
            <w:tcMar>
              <w:top w:w="80" w:type="dxa"/>
              <w:left w:w="80" w:type="dxa"/>
              <w:bottom w:w="80" w:type="dxa"/>
              <w:right w:w="80" w:type="dxa"/>
            </w:tcMar>
          </w:tcPr>
          <w:p>
            <w:pPr>
              <w:spacing w:after="20" w:before="20" w:line="269" w:lineRule="auto"/>
            </w:pPr>
            <w:r>
              <w:rPr>
                <w:rFonts w:ascii="Microsoft YaHei" w:hAnsi="Microsoft YaHei" w:eastAsia="Microsoft YaHei"/>
                <w:b/>
                <w:color w:val="FFFFFF"/>
                <w:sz w:val="18"/>
              </w:rPr>
              <w:t>Neuro-sama</w:t>
            </w:r>
          </w:p>
        </w:tc>
        <w:tc>
          <w:tcPr>
            <w:tcW w:type="dxa" w:w="2608"/>
            <w:vAlign w:val="center"/>
            <w:shd w:fill="153E49"/>
            <w:tcMar>
              <w:top w:w="80" w:type="dxa"/>
              <w:left w:w="80" w:type="dxa"/>
              <w:bottom w:w="80" w:type="dxa"/>
              <w:right w:w="80" w:type="dxa"/>
            </w:tcMar>
          </w:tcPr>
          <w:p>
            <w:pPr>
              <w:spacing w:after="20" w:before="20" w:line="269" w:lineRule="auto"/>
            </w:pPr>
            <w:r>
              <w:rPr>
                <w:rFonts w:ascii="Microsoft YaHei" w:hAnsi="Microsoft YaHei" w:eastAsia="Microsoft YaHei"/>
                <w:b/>
                <w:color w:val="FFFFFF"/>
                <w:sz w:val="18"/>
              </w:rPr>
              <w:t>Lumi和Nox</w:t>
            </w:r>
          </w:p>
        </w:tc>
        <w:tc>
          <w:tcPr>
            <w:tcW w:type="dxa" w:w="2608"/>
            <w:vAlign w:val="center"/>
            <w:shd w:fill="153E49"/>
            <w:tcMar>
              <w:top w:w="80" w:type="dxa"/>
              <w:left w:w="80" w:type="dxa"/>
              <w:bottom w:w="80" w:type="dxa"/>
              <w:right w:w="80" w:type="dxa"/>
            </w:tcMar>
          </w:tcPr>
          <w:p>
            <w:pPr>
              <w:spacing w:after="20" w:before="20" w:line="269" w:lineRule="auto"/>
            </w:pPr>
            <w:r>
              <w:rPr>
                <w:rFonts w:ascii="Microsoft YaHei" w:hAnsi="Microsoft YaHei" w:eastAsia="Microsoft YaHei"/>
                <w:b/>
                <w:color w:val="FFFFFF"/>
                <w:sz w:val="18"/>
              </w:rPr>
              <w:t>姬岁歌</w:t>
            </w:r>
          </w:p>
        </w:tc>
      </w:tr>
      <w:tr>
        <w:trPr>
          <w:cantSplit/>
        </w:trPr>
        <w:tc>
          <w:tcPr>
            <w:tcW w:type="dxa" w:w="1757"/>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发展阶段</w:t>
            </w:r>
          </w:p>
        </w:tc>
        <w:tc>
          <w:tcPr>
            <w:tcW w:type="dxa" w:w="2494"/>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已有跨平台社群和商业入口，B站快照约113万。[S2][S3]</w:t>
            </w:r>
          </w:p>
        </w:tc>
        <w:tc>
          <w:tcPr>
            <w:tcW w:type="dxa" w:w="2608"/>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已有连续直播与公开引擎，B站快照约2.5万。[S4][S5]</w:t>
            </w:r>
          </w:p>
        </w:tc>
        <w:tc>
          <w:tcPr>
            <w:tcW w:type="dxa" w:w="2608"/>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工程原型与内部试播准备，正式受众测试即将启动。</w:t>
            </w:r>
          </w:p>
        </w:tc>
      </w:tr>
      <w:tr>
        <w:trPr>
          <w:cantSplit/>
        </w:trPr>
        <w:tc>
          <w:tcPr>
            <w:tcW w:type="dxa" w:w="1757"/>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节目关系</w:t>
            </w:r>
          </w:p>
        </w:tc>
        <w:tc>
          <w:tcPr>
            <w:tcW w:type="dxa" w:w="2494"/>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AI角色、Evil与真人创作者等共同参与。</w:t>
            </w:r>
          </w:p>
        </w:tc>
        <w:tc>
          <w:tcPr>
            <w:tcW w:type="dxa" w:w="2608"/>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两名AI同台，调度对话、弹幕和游戏。</w:t>
            </w:r>
          </w:p>
        </w:tc>
        <w:tc>
          <w:tcPr>
            <w:tcW w:type="dxa" w:w="2608"/>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同体岁与歌的切换设计，加真人搭档共做任务。</w:t>
            </w:r>
          </w:p>
        </w:tc>
      </w:tr>
      <w:tr>
        <w:trPr>
          <w:cantSplit/>
        </w:trPr>
        <w:tc>
          <w:tcPr>
            <w:tcW w:type="dxa" w:w="1757"/>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长期记忆</w:t>
            </w:r>
          </w:p>
        </w:tc>
        <w:tc>
          <w:tcPr>
            <w:tcW w:type="dxa" w:w="2494"/>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公开内容具有长期角色关系，内部实现按公开资料观察。</w:t>
            </w:r>
          </w:p>
        </w:tc>
        <w:tc>
          <w:tcPr>
            <w:tcW w:type="dxa" w:w="2608"/>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公开文档已有观众及角色SQLite长期记忆。[R12]</w:t>
            </w:r>
          </w:p>
        </w:tc>
        <w:tc>
          <w:tcPr>
            <w:tcW w:type="dxa" w:w="2608"/>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已有来源证据、人工确认、冲突处理和删除流程。[I4]</w:t>
            </w:r>
          </w:p>
        </w:tc>
      </w:tr>
      <w:tr>
        <w:trPr>
          <w:cantSplit/>
        </w:trPr>
        <w:tc>
          <w:tcPr>
            <w:tcW w:type="dxa" w:w="1757"/>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语音与调度</w:t>
            </w:r>
          </w:p>
        </w:tc>
        <w:tc>
          <w:tcPr>
            <w:tcW w:type="dxa" w:w="2494"/>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成熟节目和互动内容可持续观察。</w:t>
            </w:r>
          </w:p>
        </w:tc>
        <w:tc>
          <w:tcPr>
            <w:tcW w:type="dxa" w:w="2608"/>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公开实时语音、发言调度及输出仲裁。[R12]</w:t>
            </w:r>
          </w:p>
        </w:tc>
        <w:tc>
          <w:tcPr>
            <w:tcW w:type="dxa" w:w="2608"/>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已有语音接口、输出队列、取消与双人格状态隔离。[I4]</w:t>
            </w:r>
          </w:p>
        </w:tc>
      </w:tr>
      <w:tr>
        <w:trPr>
          <w:cantSplit/>
        </w:trPr>
        <w:tc>
          <w:tcPr>
            <w:tcW w:type="dxa" w:w="1757"/>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游戏与解说</w:t>
            </w:r>
          </w:p>
        </w:tc>
        <w:tc>
          <w:tcPr>
            <w:tcW w:type="dxa" w:w="2494"/>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官方呈现游戏、交流和音乐等内容。</w:t>
            </w:r>
          </w:p>
        </w:tc>
        <w:tc>
          <w:tcPr>
            <w:tcW w:type="dxa" w:w="2608"/>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公开多个游戏桥接与边玩边说的流程。[R12]</w:t>
            </w:r>
          </w:p>
        </w:tc>
        <w:tc>
          <w:tcPr>
            <w:tcW w:type="dxa" w:w="2608"/>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Minecraft与回合制游戏已有动作、状态及口播回执。</w:t>
            </w:r>
          </w:p>
        </w:tc>
      </w:tr>
      <w:tr>
        <w:trPr>
          <w:cantSplit/>
        </w:trPr>
        <w:tc>
          <w:tcPr>
            <w:tcW w:type="dxa" w:w="1757"/>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需要追赶</w:t>
            </w:r>
          </w:p>
        </w:tc>
        <w:tc>
          <w:tcPr>
            <w:tcW w:type="dxa" w:w="2494"/>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长线节目质量、角色关系、联动与社群积累。</w:t>
            </w:r>
          </w:p>
        </w:tc>
        <w:tc>
          <w:tcPr>
            <w:tcW w:type="dxa" w:w="2608"/>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日常开播、低延迟衔接、双角色配合和持续内容。</w:t>
            </w:r>
          </w:p>
        </w:tc>
        <w:tc>
          <w:tcPr>
            <w:tcW w:type="dxa" w:w="2608"/>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优先把已有模块串成稳定、有记忆点的节目。</w:t>
            </w:r>
          </w:p>
        </w:tc>
      </w:tr>
    </w:tbl>
    <w:p>
      <w:pPr>
        <w:spacing w:after="20"/>
      </w:pPr>
    </w:p>
    <w:p>
      <w:pPr>
        <w:widowControl/>
      </w:pPr>
      <w:r>
        <w:rPr>
          <w:b w:val="0"/>
        </w:rPr>
        <w:t>Lumi/Nox的调度、记忆和游戏已经有公开工程基础，双方具备可比较的共性。我们的选择是继续打磨共同经历的审核与接续、双人格的同体呈现，以及真实行动和口播的对应关系。整体观看效果通过相同长度、相近节目类型的样片和后续回访评价。</w:t>
      </w:r>
    </w:p>
    <w:p>
      <w:pPr>
        <w:pStyle w:val="Heading2"/>
      </w:pPr>
      <w:r>
        <w:t>观众实际选择的比较方式</w:t>
      </w:r>
    </w:p>
    <w:p>
      <w:pPr>
        <w:widowControl/>
      </w:pPr>
      <w:r>
        <w:rPr>
          <w:b w:val="0"/>
        </w:rPr>
        <w:t>第一步用同类5至6分钟片段收集内容偏好，并记录观众原先熟悉谁。第二步在姬岁歌内部对比基本互动版与连续经历增强版，控制主持人、画面、声音和任务，用观众选择判断增强功能带来的变化。竞品观察与内部功能测试分别归档。</w:t>
      </w:r>
    </w:p>
    <w:p>
      <w:r>
        <w:br w:type="page"/>
      </w:r>
    </w:p>
    <w:p>
      <w:pPr>
        <w:pStyle w:val="Heading1"/>
      </w:pPr>
      <w:r>
        <w:t>差异化如何落到观众体验</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814"/>
        <w:gridCol w:w="2835"/>
        <w:gridCol w:w="2494"/>
        <w:gridCol w:w="2324"/>
      </w:tblGrid>
      <w:tr>
        <w:trPr>
          <w:cantSplit/>
          <w:tblHeader/>
        </w:trPr>
        <w:tc>
          <w:tcPr>
            <w:tcW w:type="dxa" w:w="1814"/>
            <w:vAlign w:val="center"/>
            <w:shd w:fill="153E49"/>
            <w:tcMar>
              <w:top w:w="80" w:type="dxa"/>
              <w:left w:w="80" w:type="dxa"/>
              <w:bottom w:w="80" w:type="dxa"/>
              <w:right w:w="80" w:type="dxa"/>
            </w:tcMar>
          </w:tcPr>
          <w:p>
            <w:pPr>
              <w:spacing w:after="20" w:before="20" w:line="269" w:lineRule="auto"/>
            </w:pPr>
            <w:r>
              <w:rPr>
                <w:rFonts w:ascii="Microsoft YaHei" w:hAnsi="Microsoft YaHei" w:eastAsia="Microsoft YaHei"/>
                <w:b/>
                <w:color w:val="FFFFFF"/>
                <w:sz w:val="18"/>
              </w:rPr>
              <w:t>我们的重点</w:t>
            </w:r>
          </w:p>
        </w:tc>
        <w:tc>
          <w:tcPr>
            <w:tcW w:type="dxa" w:w="2835"/>
            <w:vAlign w:val="center"/>
            <w:shd w:fill="153E49"/>
            <w:tcMar>
              <w:top w:w="80" w:type="dxa"/>
              <w:left w:w="80" w:type="dxa"/>
              <w:bottom w:w="80" w:type="dxa"/>
              <w:right w:w="80" w:type="dxa"/>
            </w:tcMar>
          </w:tcPr>
          <w:p>
            <w:pPr>
              <w:spacing w:after="20" w:before="20" w:line="269" w:lineRule="auto"/>
            </w:pPr>
            <w:r>
              <w:rPr>
                <w:rFonts w:ascii="Microsoft YaHei" w:hAnsi="Microsoft YaHei" w:eastAsia="Microsoft YaHei"/>
                <w:b/>
                <w:color w:val="FFFFFF"/>
                <w:sz w:val="18"/>
              </w:rPr>
              <w:t>已有实现或设计</w:t>
            </w:r>
          </w:p>
        </w:tc>
        <w:tc>
          <w:tcPr>
            <w:tcW w:type="dxa" w:w="2494"/>
            <w:vAlign w:val="center"/>
            <w:shd w:fill="153E49"/>
            <w:tcMar>
              <w:top w:w="80" w:type="dxa"/>
              <w:left w:w="80" w:type="dxa"/>
              <w:bottom w:w="80" w:type="dxa"/>
              <w:right w:w="80" w:type="dxa"/>
            </w:tcMar>
          </w:tcPr>
          <w:p>
            <w:pPr>
              <w:spacing w:after="20" w:before="20" w:line="269" w:lineRule="auto"/>
            </w:pPr>
            <w:r>
              <w:rPr>
                <w:rFonts w:ascii="Microsoft YaHei" w:hAnsi="Microsoft YaHei" w:eastAsia="Microsoft YaHei"/>
                <w:b/>
                <w:color w:val="FFFFFF"/>
                <w:sz w:val="18"/>
              </w:rPr>
              <w:t>观众得到什么</w:t>
            </w:r>
          </w:p>
        </w:tc>
        <w:tc>
          <w:tcPr>
            <w:tcW w:type="dxa" w:w="2324"/>
            <w:vAlign w:val="center"/>
            <w:shd w:fill="153E49"/>
            <w:tcMar>
              <w:top w:w="80" w:type="dxa"/>
              <w:left w:w="80" w:type="dxa"/>
              <w:bottom w:w="80" w:type="dxa"/>
              <w:right w:w="80" w:type="dxa"/>
            </w:tcMar>
          </w:tcPr>
          <w:p>
            <w:pPr>
              <w:spacing w:after="20" w:before="20" w:line="269" w:lineRule="auto"/>
            </w:pPr>
            <w:r>
              <w:rPr>
                <w:rFonts w:ascii="Microsoft YaHei" w:hAnsi="Microsoft YaHei" w:eastAsia="Microsoft YaHei"/>
                <w:b/>
                <w:color w:val="FFFFFF"/>
                <w:sz w:val="18"/>
              </w:rPr>
              <w:t>验证方式</w:t>
            </w:r>
          </w:p>
        </w:tc>
      </w:tr>
      <w:tr>
        <w:trPr>
          <w:cantSplit/>
        </w:trPr>
        <w:tc>
          <w:tcPr>
            <w:tcW w:type="dxa" w:w="1814"/>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共同经历可接续</w:t>
            </w:r>
          </w:p>
        </w:tc>
        <w:tc>
          <w:tcPr>
            <w:tcW w:type="dxa" w:w="2835"/>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长期记忆候选附观众来源，人工确认后保留；连续目标与事件已有底座。</w:t>
            </w:r>
          </w:p>
        </w:tc>
        <w:tc>
          <w:tcPr>
            <w:tcW w:type="dxa" w:w="2494"/>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上次参与过的事在本场有后续，形成回来看进展的理由。</w:t>
            </w:r>
          </w:p>
        </w:tc>
        <w:tc>
          <w:tcPr>
            <w:tcW w:type="dxa" w:w="2324"/>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第0天形成约定，第7天看是否接续；记录回访和记忆准确率。</w:t>
            </w:r>
          </w:p>
        </w:tc>
      </w:tr>
      <w:tr>
        <w:trPr>
          <w:cantSplit/>
        </w:trPr>
        <w:tc>
          <w:tcPr>
            <w:tcW w:type="dxa" w:w="1814"/>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同体双人格有清晰归属</w:t>
            </w:r>
          </w:p>
        </w:tc>
        <w:tc>
          <w:tcPr>
            <w:tcW w:type="dxa" w:w="2835"/>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已有切换接口、独立状态及历史归属；执念触发与完整表演继续联调。</w:t>
            </w:r>
          </w:p>
        </w:tc>
        <w:tc>
          <w:tcPr>
            <w:tcW w:type="dxa" w:w="2494"/>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能分辨是谁在做选择，感受到同一局面的不同立场。</w:t>
            </w:r>
          </w:p>
        </w:tc>
        <w:tc>
          <w:tcPr>
            <w:tcW w:type="dxa" w:w="2324"/>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匿名角色片段辨认、自由回忆、切换前后语义核对。</w:t>
            </w:r>
          </w:p>
        </w:tc>
      </w:tr>
      <w:tr>
        <w:trPr>
          <w:cantSplit/>
        </w:trPr>
        <w:tc>
          <w:tcPr>
            <w:tcW w:type="dxa" w:w="1814"/>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选择对应真实游戏行动</w:t>
            </w:r>
          </w:p>
        </w:tc>
        <w:tc>
          <w:tcPr>
            <w:tcW w:type="dxa" w:w="2835"/>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Minecraft库存记录、回合制游戏动作与语音结束回执可复核。</w:t>
            </w:r>
          </w:p>
        </w:tc>
        <w:tc>
          <w:tcPr>
            <w:tcW w:type="dxa" w:w="2494"/>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既听到判断，也看见结果，节目有完整因果。</w:t>
            </w:r>
          </w:p>
        </w:tc>
        <w:tc>
          <w:tcPr>
            <w:tcW w:type="dxa" w:w="2324"/>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录屏与状态、工具结果和口播时间戳逐项关联。</w:t>
            </w:r>
          </w:p>
        </w:tc>
      </w:tr>
      <w:tr>
        <w:trPr>
          <w:cantSplit/>
        </w:trPr>
        <w:tc>
          <w:tcPr>
            <w:tcW w:type="dxa" w:w="1814"/>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真人导演能保持节奏</w:t>
            </w:r>
          </w:p>
        </w:tc>
        <w:tc>
          <w:tcPr>
            <w:tcW w:type="dxa" w:w="2835"/>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任务取消、停止、记忆审核、状态诊断及语音队列已有工程入口。</w:t>
            </w:r>
          </w:p>
        </w:tc>
        <w:tc>
          <w:tcPr>
            <w:tcW w:type="dxa" w:w="2494"/>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异常时有人接住节目，减少漫长等待与重复输出。</w:t>
            </w:r>
          </w:p>
        </w:tc>
        <w:tc>
          <w:tcPr>
            <w:tcW w:type="dxa" w:w="2324"/>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每场中断时长、恢复时间、主持人介入与观众退出点。</w:t>
            </w:r>
          </w:p>
        </w:tc>
      </w:tr>
    </w:tbl>
    <w:p>
      <w:pPr>
        <w:spacing w:after="20"/>
      </w:pPr>
    </w:p>
    <w:p>
      <w:pPr>
        <w:pStyle w:val="Heading2"/>
      </w:pPr>
      <w:r>
        <w:t>评委应记住的产品特点</w:t>
      </w:r>
    </w:p>
    <w:p>
      <w:pPr>
        <w:widowControl/>
      </w:pPr>
      <w:r>
        <w:rPr>
          <w:b w:val="0"/>
        </w:rPr>
        <w:t>姬岁歌希望把观众从旁观一次AI演示，带入一个有连续经历的游戏节目：建议会被回应，选择会带来结果，上一次的事情会在下一次继续。双人格提供不同视角，真人搭档把过程组织成可看、可讨论的内容。</w:t>
      </w:r>
    </w:p>
    <w:p>
      <w:pPr>
        <w:widowControl/>
      </w:pPr>
      <w:r>
        <w:rPr>
          <w:b w:val="0"/>
        </w:rPr>
        <w:t>当前可展示的是记忆审核、双人格运行状态、语音队列和部分实机行动等工程材料。下一步把这些材料与真实受众的自由观看、角色回忆和七天回访放在一起，逐项判断哪一部分值得继续投入。</w:t>
      </w:r>
    </w:p>
    <w:p>
      <w:r>
        <w:br w:type="page"/>
      </w:r>
    </w:p>
    <w:p>
      <w:pPr>
        <w:pStyle w:val="Heading1"/>
      </w:pPr>
      <w:r>
        <w:t>四 姬岁歌人物与直播看点</w:t>
      </w:r>
    </w:p>
    <w:p>
      <w:pPr>
        <w:widowControl/>
      </w:pPr>
      <w:r>
        <w:rPr>
          <w:b w:val="0"/>
        </w:rPr>
        <w:t>姬岁歌的设定以岁与歌的平级关系为基础。岁偏向观察和理解，歌偏向选择和守护。观众通过同一个局面下的不同反应认识她们，真人搭档则把这种差异转化为可跟随、可讨论的节目情节。</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757"/>
        <w:gridCol w:w="3855"/>
        <w:gridCol w:w="3855"/>
      </w:tblGrid>
      <w:tr>
        <w:trPr>
          <w:cantSplit/>
          <w:tblHeader/>
        </w:trPr>
        <w:tc>
          <w:tcPr>
            <w:tcW w:type="dxa" w:w="1757"/>
            <w:vAlign w:val="center"/>
            <w:shd w:fill="153E49"/>
            <w:tcMar>
              <w:top w:w="80" w:type="dxa"/>
              <w:left w:w="80" w:type="dxa"/>
              <w:bottom w:w="80" w:type="dxa"/>
              <w:right w:w="80" w:type="dxa"/>
            </w:tcMar>
          </w:tcPr>
          <w:p>
            <w:pPr>
              <w:spacing w:after="20" w:before="20" w:line="269" w:lineRule="auto"/>
            </w:pPr>
            <w:r>
              <w:rPr>
                <w:rFonts w:ascii="Microsoft YaHei" w:hAnsi="Microsoft YaHei" w:eastAsia="Microsoft YaHei"/>
                <w:b/>
                <w:color w:val="FFFFFF"/>
                <w:sz w:val="18"/>
              </w:rPr>
              <w:t>人物侧面</w:t>
            </w:r>
          </w:p>
        </w:tc>
        <w:tc>
          <w:tcPr>
            <w:tcW w:type="dxa" w:w="3855"/>
            <w:vAlign w:val="center"/>
            <w:shd w:fill="153E49"/>
            <w:tcMar>
              <w:top w:w="80" w:type="dxa"/>
              <w:left w:w="80" w:type="dxa"/>
              <w:bottom w:w="80" w:type="dxa"/>
              <w:right w:w="80" w:type="dxa"/>
            </w:tcMar>
          </w:tcPr>
          <w:p>
            <w:pPr>
              <w:spacing w:after="20" w:before="20" w:line="269" w:lineRule="auto"/>
            </w:pPr>
            <w:r>
              <w:rPr>
                <w:rFonts w:ascii="Microsoft YaHei" w:hAnsi="Microsoft YaHei" w:eastAsia="Microsoft YaHei"/>
                <w:b/>
                <w:color w:val="FFFFFF"/>
                <w:sz w:val="18"/>
              </w:rPr>
              <w:t>岁 听潮记岁</w:t>
            </w:r>
          </w:p>
        </w:tc>
        <w:tc>
          <w:tcPr>
            <w:tcW w:type="dxa" w:w="3855"/>
            <w:vAlign w:val="center"/>
            <w:shd w:fill="153E49"/>
            <w:tcMar>
              <w:top w:w="80" w:type="dxa"/>
              <w:left w:w="80" w:type="dxa"/>
              <w:bottom w:w="80" w:type="dxa"/>
              <w:right w:w="80" w:type="dxa"/>
            </w:tcMar>
          </w:tcPr>
          <w:p>
            <w:pPr>
              <w:spacing w:after="20" w:before="20" w:line="269" w:lineRule="auto"/>
            </w:pPr>
            <w:r>
              <w:rPr>
                <w:rFonts w:ascii="Microsoft YaHei" w:hAnsi="Microsoft YaHei" w:eastAsia="Microsoft YaHei"/>
                <w:b/>
                <w:color w:val="FFFFFF"/>
                <w:sz w:val="18"/>
              </w:rPr>
              <w:t>歌 守潮成歌</w:t>
            </w:r>
          </w:p>
        </w:tc>
      </w:tr>
      <w:tr>
        <w:trPr>
          <w:cantSplit/>
        </w:trPr>
        <w:tc>
          <w:tcPr>
            <w:tcW w:type="dxa" w:w="1757"/>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关注的事</w:t>
            </w:r>
          </w:p>
        </w:tc>
        <w:tc>
          <w:tcPr>
            <w:tcW w:type="dxa" w:w="3855"/>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理解一个新的人、作品或局面。</w:t>
            </w:r>
          </w:p>
        </w:tc>
        <w:tc>
          <w:tcPr>
            <w:tcW w:type="dxa" w:w="3855"/>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面对一个需要取舍的挑战。</w:t>
            </w:r>
          </w:p>
        </w:tc>
      </w:tr>
      <w:tr>
        <w:trPr>
          <w:cantSplit/>
        </w:trPr>
        <w:tc>
          <w:tcPr>
            <w:tcW w:type="dxa" w:w="1757"/>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说话特点</w:t>
            </w:r>
          </w:p>
        </w:tc>
        <w:tc>
          <w:tcPr>
            <w:tcW w:type="dxa" w:w="3855"/>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好奇、敏感，有自己的观察和判断。</w:t>
            </w:r>
          </w:p>
        </w:tc>
        <w:tc>
          <w:tcPr>
            <w:tcW w:type="dxa" w:w="3855"/>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直接、有边界，说明自己的选择。</w:t>
            </w:r>
          </w:p>
        </w:tc>
      </w:tr>
      <w:tr>
        <w:trPr>
          <w:cantSplit/>
        </w:trPr>
        <w:tc>
          <w:tcPr>
            <w:tcW w:type="dxa" w:w="1757"/>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直播表现</w:t>
            </w:r>
          </w:p>
        </w:tc>
        <w:tc>
          <w:tcPr>
            <w:tcW w:type="dxa" w:w="3855"/>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发现细节、追问真人搭档、记住观众提出的问题。</w:t>
            </w:r>
          </w:p>
        </w:tc>
        <w:tc>
          <w:tcPr>
            <w:tcW w:type="dxa" w:w="3855"/>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承担挑战、回应关键分歧、在选择中表现立场。</w:t>
            </w:r>
          </w:p>
        </w:tc>
      </w:tr>
      <w:tr>
        <w:trPr>
          <w:cantSplit/>
        </w:trPr>
        <w:tc>
          <w:tcPr>
            <w:tcW w:type="dxa" w:w="1757"/>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切片看点</w:t>
            </w:r>
          </w:p>
        </w:tc>
        <w:tc>
          <w:tcPr>
            <w:tcW w:type="dxa" w:w="3855"/>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意外联想、认真误解、从好奇到理解的变化。</w:t>
            </w:r>
          </w:p>
        </w:tc>
        <w:tc>
          <w:tcPr>
            <w:tcW w:type="dxa" w:w="3855"/>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反转接梗、明确选择、兑现上一场的承诺。</w:t>
            </w:r>
          </w:p>
        </w:tc>
      </w:tr>
    </w:tbl>
    <w:p>
      <w:pPr>
        <w:spacing w:after="20"/>
      </w:pPr>
    </w:p>
    <w:p>
      <w:pPr>
        <w:pStyle w:val="Heading2"/>
      </w:pPr>
      <w:r>
        <w:t>优先打磨四类直播片段</w:t>
      </w:r>
    </w:p>
    <w:p>
      <w:pPr>
        <w:widowControl/>
      </w:pPr>
      <w:r>
        <w:rPr>
          <w:b w:val="0"/>
        </w:rPr>
        <w:t>人机搭档：主持人与姬岁歌共同完成一个任务，让AI的意外回答与真人反应自然衔接。人格选择：同一游戏局面中，岁与歌提出不同判断，由结果带来讨论。观众共创：从弹幕选择一个合理建议进入当场挑战。成长连载：回顾上一场的选择，让持续观看的人看见角色和节目在变化。</w:t>
      </w:r>
    </w:p>
    <w:p>
      <w:pPr>
        <w:pStyle w:val="Heading2"/>
      </w:pPr>
      <w:r>
        <w:t>把角色写进节目</w:t>
      </w:r>
    </w:p>
    <w:p>
      <w:pPr>
        <w:widowControl/>
      </w:pPr>
      <w:r>
        <w:rPr>
          <w:b w:val="0"/>
        </w:rPr>
        <w:t>每场开播前准备角色当晚想完成的事、预计会出现的分歧和几个可临场展开的问题。每场结束后记录观众真正记住的台词与片段，更新角色表达样本。人格切换由清晰的场景条件和导演判断共同控制，先把可感知的差异做稳，再逐步丰富切换机制。</w:t>
      </w:r>
    </w:p>
    <w:p>
      <w:pPr>
        <w:pStyle w:val="Heading2"/>
      </w:pPr>
      <w:r>
        <w:t>视觉与声音形成统一记忆</w:t>
      </w:r>
    </w:p>
    <w:p>
      <w:pPr>
        <w:widowControl/>
      </w:pPr>
      <w:r>
        <w:rPr>
          <w:b w:val="0"/>
        </w:rPr>
        <w:t>吴越负责人物原画与Live2D形象工作，围绕色彩、服饰符号和表情区分人物状态；肖鹏希负责音频模型微调，与刘瑞麒共同打磨语气和表达。角色文本、声音、立绘和直播画面统一设计，形成观众在短片中也能快速识别的形象。</w:t>
      </w:r>
    </w:p>
    <w:p>
      <w:r>
        <w:br w:type="page"/>
      </w:r>
    </w:p>
    <w:p>
      <w:pPr>
        <w:pStyle w:val="Heading1"/>
      </w:pPr>
      <w:r>
        <w:t>产品细节 一场节目怎样形成连续经历</w:t>
      </w:r>
    </w:p>
    <w:p>
      <w:pPr>
        <w:widowControl/>
      </w:pPr>
      <w:r>
        <w:rPr>
          <w:b w:val="0"/>
        </w:rPr>
        <w:t>观众入口是直播中的人机共同任务。团队后台将弹幕、游戏局面、角色状态与历史经历组织成上下文，角色表达和游戏动作分别执行，再将实际结果交回节目。场后由导演审核值得保留的共同事件，接入下一场企划。</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757"/>
        <w:gridCol w:w="3628"/>
        <w:gridCol w:w="4082"/>
      </w:tblGrid>
      <w:tr>
        <w:trPr>
          <w:cantSplit/>
          <w:tblHeader/>
        </w:trPr>
        <w:tc>
          <w:tcPr>
            <w:tcW w:type="dxa" w:w="1757"/>
            <w:vAlign w:val="center"/>
            <w:shd w:fill="153E49"/>
            <w:tcMar>
              <w:top w:w="80" w:type="dxa"/>
              <w:left w:w="80" w:type="dxa"/>
              <w:bottom w:w="80" w:type="dxa"/>
              <w:right w:w="80" w:type="dxa"/>
            </w:tcMar>
          </w:tcPr>
          <w:p>
            <w:pPr>
              <w:spacing w:after="20" w:before="20" w:line="269" w:lineRule="auto"/>
            </w:pPr>
            <w:r>
              <w:rPr>
                <w:rFonts w:ascii="Microsoft YaHei" w:hAnsi="Microsoft YaHei" w:eastAsia="Microsoft YaHei"/>
                <w:b/>
                <w:color w:val="FFFFFF"/>
                <w:sz w:val="18"/>
              </w:rPr>
              <w:t>步骤</w:t>
            </w:r>
          </w:p>
        </w:tc>
        <w:tc>
          <w:tcPr>
            <w:tcW w:type="dxa" w:w="3628"/>
            <w:vAlign w:val="center"/>
            <w:shd w:fill="153E49"/>
            <w:tcMar>
              <w:top w:w="80" w:type="dxa"/>
              <w:left w:w="80" w:type="dxa"/>
              <w:bottom w:w="80" w:type="dxa"/>
              <w:right w:w="80" w:type="dxa"/>
            </w:tcMar>
          </w:tcPr>
          <w:p>
            <w:pPr>
              <w:spacing w:after="20" w:before="20" w:line="269" w:lineRule="auto"/>
            </w:pPr>
            <w:r>
              <w:rPr>
                <w:rFonts w:ascii="Microsoft YaHei" w:hAnsi="Microsoft YaHei" w:eastAsia="Microsoft YaHei"/>
                <w:b/>
                <w:color w:val="FFFFFF"/>
                <w:sz w:val="18"/>
              </w:rPr>
              <w:t>观众看到的内容</w:t>
            </w:r>
          </w:p>
        </w:tc>
        <w:tc>
          <w:tcPr>
            <w:tcW w:type="dxa" w:w="4082"/>
            <w:vAlign w:val="center"/>
            <w:shd w:fill="153E49"/>
            <w:tcMar>
              <w:top w:w="80" w:type="dxa"/>
              <w:left w:w="80" w:type="dxa"/>
              <w:bottom w:w="80" w:type="dxa"/>
              <w:right w:w="80" w:type="dxa"/>
            </w:tcMar>
          </w:tcPr>
          <w:p>
            <w:pPr>
              <w:spacing w:after="20" w:before="20" w:line="269" w:lineRule="auto"/>
            </w:pPr>
            <w:r>
              <w:rPr>
                <w:rFonts w:ascii="Microsoft YaHei" w:hAnsi="Microsoft YaHei" w:eastAsia="Microsoft YaHei"/>
                <w:b/>
                <w:color w:val="FFFFFF"/>
                <w:sz w:val="18"/>
              </w:rPr>
              <w:t>后台怎样支持</w:t>
            </w:r>
          </w:p>
        </w:tc>
      </w:tr>
      <w:tr>
        <w:trPr>
          <w:cantSplit/>
        </w:trPr>
        <w:tc>
          <w:tcPr>
            <w:tcW w:type="dxa" w:w="1757"/>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进入节目</w:t>
            </w:r>
          </w:p>
        </w:tc>
        <w:tc>
          <w:tcPr>
            <w:tcW w:type="dxa" w:w="3628"/>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主持人说明当晚目标，例如先制作一把木剑。</w:t>
            </w:r>
          </w:p>
        </w:tc>
        <w:tc>
          <w:tcPr>
            <w:tcW w:type="dxa" w:w="4082"/>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选择游戏与任务，读取真实状态，准备角色和语音。</w:t>
            </w:r>
          </w:p>
        </w:tc>
      </w:tr>
      <w:tr>
        <w:trPr>
          <w:cantSplit/>
        </w:trPr>
        <w:tc>
          <w:tcPr>
            <w:tcW w:type="dxa" w:w="1757"/>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提出建议</w:t>
            </w:r>
          </w:p>
        </w:tc>
        <w:tc>
          <w:tcPr>
            <w:tcW w:type="dxa" w:w="3628"/>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观众建议先收集木材，角色回应并说明选择。</w:t>
            </w:r>
          </w:p>
        </w:tc>
        <w:tc>
          <w:tcPr>
            <w:tcW w:type="dxa" w:w="4082"/>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识别建议来源、当前目标和游戏约束，选择可执行动作。</w:t>
            </w:r>
          </w:p>
        </w:tc>
      </w:tr>
      <w:tr>
        <w:trPr>
          <w:cantSplit/>
        </w:trPr>
        <w:tc>
          <w:tcPr>
            <w:tcW w:type="dxa" w:w="1757"/>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看到结果</w:t>
            </w:r>
          </w:p>
        </w:tc>
        <w:tc>
          <w:tcPr>
            <w:tcW w:type="dxa" w:w="3628"/>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画面中的采集与制作推进，口播解释实际进展。</w:t>
            </w:r>
          </w:p>
        </w:tc>
        <w:tc>
          <w:tcPr>
            <w:tcW w:type="dxa" w:w="4082"/>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Mineflayer执行，返回库存变化；语音队列记录播放状态。</w:t>
            </w:r>
          </w:p>
        </w:tc>
      </w:tr>
      <w:tr>
        <w:trPr>
          <w:cantSplit/>
        </w:trPr>
        <w:tc>
          <w:tcPr>
            <w:tcW w:type="dxa" w:w="1757"/>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形成共同事件</w:t>
            </w:r>
          </w:p>
        </w:tc>
        <w:tc>
          <w:tcPr>
            <w:tcW w:type="dxa" w:w="3628"/>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主持人与观众确认本场发生了什么、下次想做什么。</w:t>
            </w:r>
          </w:p>
        </w:tc>
        <w:tc>
          <w:tcPr>
            <w:tcW w:type="dxa" w:w="4082"/>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会话提炼候选记忆，保留消息证据，导演确认后写入。</w:t>
            </w:r>
          </w:p>
        </w:tc>
      </w:tr>
      <w:tr>
        <w:trPr>
          <w:cantSplit/>
        </w:trPr>
        <w:tc>
          <w:tcPr>
            <w:tcW w:type="dxa" w:w="1757"/>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下次继续</w:t>
            </w:r>
          </w:p>
        </w:tc>
        <w:tc>
          <w:tcPr>
            <w:tcW w:type="dxa" w:w="3628"/>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角色提起上次任务，观众看到后续进度。</w:t>
            </w:r>
          </w:p>
        </w:tc>
        <w:tc>
          <w:tcPr>
            <w:tcW w:type="dxa" w:w="4082"/>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检索已确认事件、目标和约定，再结合本场真实状态。</w:t>
            </w:r>
          </w:p>
        </w:tc>
      </w:tr>
    </w:tbl>
    <w:p>
      <w:pPr>
        <w:spacing w:after="20"/>
      </w:pPr>
    </w:p>
    <w:p>
      <w:pPr>
        <w:pStyle w:val="Heading2"/>
      </w:pPr>
      <w:r>
        <w:t>一段可直接准备的演示脚本</w:t>
      </w:r>
    </w:p>
    <w:p>
      <w:pPr>
        <w:widowControl/>
      </w:pPr>
      <w:r>
        <w:rPr>
          <w:b w:val="0"/>
        </w:rPr>
        <w:t>第一分钟展示任务、库存与观众建议。接下来的三分钟让角色选择和执行一个短动作，主持人追问理由并接住意外反应。第五分钟展示结果及一次候选记忆确认。最后一分钟通过另一场次的上下文，检查角色能否准确提起约定。该脚本用于内部试播，完成后保存对应录屏与日志。</w:t>
      </w:r>
    </w:p>
    <w:p>
      <w:pPr>
        <w:pStyle w:val="Heading2"/>
      </w:pPr>
      <w:r>
        <w:t>观众离开节目后能带走什么</w:t>
      </w:r>
    </w:p>
    <w:p>
      <w:pPr>
        <w:widowControl/>
      </w:pPr>
      <w:r>
        <w:rPr>
          <w:b w:val="0"/>
        </w:rPr>
        <w:t>一个具体的名场面，一次建议被认真回应的参与感，以及对下一场进展的期待。产品验收将直接问观众记住了哪一刻，并观察他们是否愿意继续看。角色维度与接口数量服务于这些体验，演示重点放在完整片段和观众行为。</w:t>
      </w:r>
    </w:p>
    <w:p>
      <w:r>
        <w:br w:type="page"/>
      </w:r>
    </w:p>
    <w:p>
      <w:pPr>
        <w:pStyle w:val="Heading1"/>
      </w:pPr>
      <w:r>
        <w:t>五 产品形态与技术基础</w:t>
      </w:r>
    </w:p>
    <w:p>
      <w:pPr>
        <w:widowControl/>
      </w:pPr>
      <w:r>
        <w:rPr>
          <w:b w:val="0"/>
        </w:rPr>
        <w:t>产品由直播中的角色体验和支持她运转的技术系统共同组成。观众看到的是姬岁歌与真人搭档的节目；团队通过后台组织模型、语音、游戏执行和内容管理，让节目连续推进。</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814"/>
        <w:gridCol w:w="3685"/>
        <w:gridCol w:w="3969"/>
      </w:tblGrid>
      <w:tr>
        <w:trPr>
          <w:cantSplit/>
          <w:tblHeader/>
        </w:trPr>
        <w:tc>
          <w:tcPr>
            <w:tcW w:type="dxa" w:w="1814"/>
            <w:vAlign w:val="center"/>
            <w:shd w:fill="153E49"/>
            <w:tcMar>
              <w:top w:w="80" w:type="dxa"/>
              <w:left w:w="80" w:type="dxa"/>
              <w:bottom w:w="80" w:type="dxa"/>
              <w:right w:w="80" w:type="dxa"/>
            </w:tcMar>
          </w:tcPr>
          <w:p>
            <w:pPr>
              <w:spacing w:after="20" w:before="20" w:line="269" w:lineRule="auto"/>
            </w:pPr>
            <w:r>
              <w:rPr>
                <w:rFonts w:ascii="Microsoft YaHei" w:hAnsi="Microsoft YaHei" w:eastAsia="Microsoft YaHei"/>
                <w:b/>
                <w:color w:val="FFFFFF"/>
                <w:sz w:val="18"/>
              </w:rPr>
              <w:t>系统部分</w:t>
            </w:r>
          </w:p>
        </w:tc>
        <w:tc>
          <w:tcPr>
            <w:tcW w:type="dxa" w:w="3685"/>
            <w:vAlign w:val="center"/>
            <w:shd w:fill="153E49"/>
            <w:tcMar>
              <w:top w:w="80" w:type="dxa"/>
              <w:left w:w="80" w:type="dxa"/>
              <w:bottom w:w="80" w:type="dxa"/>
              <w:right w:w="80" w:type="dxa"/>
            </w:tcMar>
          </w:tcPr>
          <w:p>
            <w:pPr>
              <w:spacing w:after="20" w:before="20" w:line="269" w:lineRule="auto"/>
            </w:pPr>
            <w:r>
              <w:rPr>
                <w:rFonts w:ascii="Microsoft YaHei" w:hAnsi="Microsoft YaHei" w:eastAsia="Microsoft YaHei"/>
                <w:b/>
                <w:color w:val="FFFFFF"/>
                <w:sz w:val="18"/>
              </w:rPr>
              <w:t>已有基础</w:t>
            </w:r>
          </w:p>
        </w:tc>
        <w:tc>
          <w:tcPr>
            <w:tcW w:type="dxa" w:w="3969"/>
            <w:vAlign w:val="center"/>
            <w:shd w:fill="153E49"/>
            <w:tcMar>
              <w:top w:w="80" w:type="dxa"/>
              <w:left w:w="80" w:type="dxa"/>
              <w:bottom w:w="80" w:type="dxa"/>
              <w:right w:w="80" w:type="dxa"/>
            </w:tcMar>
          </w:tcPr>
          <w:p>
            <w:pPr>
              <w:spacing w:after="20" w:before="20" w:line="269" w:lineRule="auto"/>
            </w:pPr>
            <w:r>
              <w:rPr>
                <w:rFonts w:ascii="Microsoft YaHei" w:hAnsi="Microsoft YaHei" w:eastAsia="Microsoft YaHei"/>
                <w:b/>
                <w:color w:val="FFFFFF"/>
                <w:sz w:val="18"/>
              </w:rPr>
              <w:t>接下来服务的节目目标</w:t>
            </w:r>
          </w:p>
        </w:tc>
      </w:tr>
      <w:tr>
        <w:trPr>
          <w:cantSplit/>
        </w:trPr>
        <w:tc>
          <w:tcPr>
            <w:tcW w:type="dxa" w:w="1814"/>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角色与记忆</w:t>
            </w:r>
          </w:p>
        </w:tc>
        <w:tc>
          <w:tcPr>
            <w:tcW w:type="dxa" w:w="3685"/>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34维稳定人格、63维动态状态、SQLite记忆及人工审核机制。</w:t>
            </w:r>
          </w:p>
        </w:tc>
        <w:tc>
          <w:tcPr>
            <w:tcW w:type="dxa" w:w="3969"/>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表达有辨识度，记住重要事件和观众共创内容。</w:t>
            </w:r>
          </w:p>
        </w:tc>
      </w:tr>
      <w:tr>
        <w:trPr>
          <w:cantSplit/>
        </w:trPr>
        <w:tc>
          <w:tcPr>
            <w:tcW w:type="dxa" w:w="1814"/>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模型与表达</w:t>
            </w:r>
          </w:p>
        </w:tc>
        <w:tc>
          <w:tcPr>
            <w:tcW w:type="dxa" w:w="3685"/>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本地与云端路由、流式生成、口播调度。</w:t>
            </w:r>
          </w:p>
        </w:tc>
        <w:tc>
          <w:tcPr>
            <w:tcW w:type="dxa" w:w="3969"/>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接话及时、信息清楚，配合人类搭档完成互动。</w:t>
            </w:r>
          </w:p>
        </w:tc>
      </w:tr>
      <w:tr>
        <w:trPr>
          <w:cantSplit/>
        </w:trPr>
        <w:tc>
          <w:tcPr>
            <w:tcW w:type="dxa" w:w="1814"/>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声音与舞台</w:t>
            </w:r>
          </w:p>
        </w:tc>
        <w:tc>
          <w:tcPr>
            <w:tcW w:type="dxa" w:w="3685"/>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SenseVoice识别、GPT-SoVITS语音、Live2D、OBS与网页工作台。</w:t>
            </w:r>
          </w:p>
        </w:tc>
        <w:tc>
          <w:tcPr>
            <w:tcW w:type="dxa" w:w="3969"/>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声音、字幕、嘴型及场景切换协调，形成统一画面。</w:t>
            </w:r>
          </w:p>
        </w:tc>
      </w:tr>
      <w:tr>
        <w:trPr>
          <w:cantSplit/>
        </w:trPr>
        <w:tc>
          <w:tcPr>
            <w:tcW w:type="dxa" w:w="1814"/>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游戏行动</w:t>
            </w:r>
          </w:p>
        </w:tc>
        <w:tc>
          <w:tcPr>
            <w:tcW w:type="dxa" w:w="3685"/>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DeepSeek接Mineflayer，Minecraft及回合制游戏联调。</w:t>
            </w:r>
          </w:p>
        </w:tc>
        <w:tc>
          <w:tcPr>
            <w:tcW w:type="dxa" w:w="3969"/>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让AI的选择带来真实结果，生成可连续追踪的节目事件。</w:t>
            </w:r>
          </w:p>
        </w:tc>
      </w:tr>
      <w:tr>
        <w:trPr>
          <w:cantSplit/>
        </w:trPr>
        <w:tc>
          <w:tcPr>
            <w:tcW w:type="dxa" w:w="1814"/>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人工导演</w:t>
            </w:r>
          </w:p>
        </w:tc>
        <w:tc>
          <w:tcPr>
            <w:tcW w:type="dxa" w:w="3685"/>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任务取消、记忆确认、日志与部分回执入口。</w:t>
            </w:r>
          </w:p>
        </w:tc>
        <w:tc>
          <w:tcPr>
            <w:tcW w:type="dxa" w:w="3969"/>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主持人能接管节奏、处理异常，并保留场后复盘材料。</w:t>
            </w:r>
          </w:p>
        </w:tc>
      </w:tr>
    </w:tbl>
    <w:p>
      <w:pPr>
        <w:spacing w:after="20"/>
      </w:pPr>
    </w:p>
    <w:p>
      <w:pPr>
        <w:pStyle w:val="Heading2"/>
      </w:pPr>
      <w:r>
        <w:t>研发直接围绕内容效果推进</w:t>
      </w:r>
    </w:p>
    <w:p>
      <w:pPr>
        <w:widowControl/>
      </w:pPr>
      <w:r>
        <w:rPr>
          <w:b w:val="0"/>
        </w:rPr>
        <w:t>技术优先级由节目需求决定：先解决打断、重复说话、状态误读和执行中断，再打磨双人格差异、语音情绪和互动节奏。每个功能都对应一个可观察的直播片段，例如AI能否接住主持人的梗、是否能解释刚刚完成的游戏行动，以及是否会在下一场记起共同经历。</w:t>
      </w:r>
    </w:p>
    <w:p>
      <w:pPr>
        <w:pStyle w:val="Heading2"/>
      </w:pPr>
      <w:r>
        <w:t>技术资产的长期价值</w:t>
      </w:r>
    </w:p>
    <w:p>
      <w:pPr>
        <w:widowControl/>
      </w:pPr>
      <w:r>
        <w:rPr>
          <w:b w:val="0"/>
        </w:rPr>
        <w:t>系统集成、角色状态管理、真实结果反馈和节目日志将随着直播持续积累。团队采用外部模型、开源工具与自有工程组合开发，AI辅助编程用于加快接入、排查与小功能迭代。后续IP授权与合作可沿用这套角色和内容生产能力。</w:t>
      </w:r>
    </w:p>
    <w:p>
      <w:r>
        <w:br w:type="page"/>
      </w:r>
    </w:p>
    <w:p>
      <w:pPr>
        <w:pStyle w:val="Heading1"/>
      </w:pPr>
      <w:r>
        <w:t>产品细节 从交互到记忆的工程证据</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928"/>
        <w:gridCol w:w="4252"/>
        <w:gridCol w:w="3288"/>
      </w:tblGrid>
      <w:tr>
        <w:trPr>
          <w:cantSplit/>
          <w:tblHeader/>
        </w:trPr>
        <w:tc>
          <w:tcPr>
            <w:tcW w:type="dxa" w:w="1928"/>
            <w:vAlign w:val="center"/>
            <w:shd w:fill="153E49"/>
            <w:tcMar>
              <w:top w:w="80" w:type="dxa"/>
              <w:left w:w="80" w:type="dxa"/>
              <w:bottom w:w="80" w:type="dxa"/>
              <w:right w:w="80" w:type="dxa"/>
            </w:tcMar>
          </w:tcPr>
          <w:p>
            <w:pPr>
              <w:spacing w:after="20" w:before="20" w:line="269" w:lineRule="auto"/>
            </w:pPr>
            <w:r>
              <w:rPr>
                <w:rFonts w:ascii="Microsoft YaHei" w:hAnsi="Microsoft YaHei" w:eastAsia="Microsoft YaHei"/>
                <w:b/>
                <w:color w:val="FFFFFF"/>
                <w:sz w:val="18"/>
              </w:rPr>
              <w:t>产品能力</w:t>
            </w:r>
          </w:p>
        </w:tc>
        <w:tc>
          <w:tcPr>
            <w:tcW w:type="dxa" w:w="4252"/>
            <w:vAlign w:val="center"/>
            <w:shd w:fill="153E49"/>
            <w:tcMar>
              <w:top w:w="80" w:type="dxa"/>
              <w:left w:w="80" w:type="dxa"/>
              <w:bottom w:w="80" w:type="dxa"/>
              <w:right w:w="80" w:type="dxa"/>
            </w:tcMar>
          </w:tcPr>
          <w:p>
            <w:pPr>
              <w:spacing w:after="20" w:before="20" w:line="269" w:lineRule="auto"/>
            </w:pPr>
            <w:r>
              <w:rPr>
                <w:rFonts w:ascii="Microsoft YaHei" w:hAnsi="Microsoft YaHei" w:eastAsia="Microsoft YaHei"/>
                <w:b/>
                <w:color w:val="FFFFFF"/>
                <w:sz w:val="18"/>
              </w:rPr>
              <w:t>目前可核对的实现</w:t>
            </w:r>
          </w:p>
        </w:tc>
        <w:tc>
          <w:tcPr>
            <w:tcW w:type="dxa" w:w="3288"/>
            <w:vAlign w:val="center"/>
            <w:shd w:fill="153E49"/>
            <w:tcMar>
              <w:top w:w="80" w:type="dxa"/>
              <w:left w:w="80" w:type="dxa"/>
              <w:bottom w:w="80" w:type="dxa"/>
              <w:right w:w="80" w:type="dxa"/>
            </w:tcMar>
          </w:tcPr>
          <w:p>
            <w:pPr>
              <w:spacing w:after="20" w:before="20" w:line="269" w:lineRule="auto"/>
            </w:pPr>
            <w:r>
              <w:rPr>
                <w:rFonts w:ascii="Microsoft YaHei" w:hAnsi="Microsoft YaHei" w:eastAsia="Microsoft YaHei"/>
                <w:b/>
                <w:color w:val="FFFFFF"/>
                <w:sz w:val="18"/>
              </w:rPr>
              <w:t>评委可看的演示</w:t>
            </w:r>
          </w:p>
        </w:tc>
      </w:tr>
      <w:tr>
        <w:trPr>
          <w:cantSplit/>
        </w:trPr>
        <w:tc>
          <w:tcPr>
            <w:tcW w:type="dxa" w:w="1928"/>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来源明确的长期记忆</w:t>
            </w:r>
          </w:p>
        </w:tc>
        <w:tc>
          <w:tcPr>
            <w:tcW w:type="dxa" w:w="4252"/>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memory-candidates.js提炼并校验消息证据，studio.js提供人工确认入口。</w:t>
            </w:r>
          </w:p>
        </w:tc>
        <w:tc>
          <w:tcPr>
            <w:tcW w:type="dxa" w:w="3288"/>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给出一条共同约定，展示来源、候选、确认及下一场召回。</w:t>
            </w:r>
          </w:p>
        </w:tc>
      </w:tr>
      <w:tr>
        <w:trPr>
          <w:cantSplit/>
        </w:trPr>
        <w:tc>
          <w:tcPr>
            <w:tcW w:type="dxa" w:w="1928"/>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双人格状态归属</w:t>
            </w:r>
          </w:p>
        </w:tc>
        <w:tc>
          <w:tcPr>
            <w:tcW w:type="dxa" w:w="4252"/>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brain.js提供切换与状态保存；dual-persona-runtime.js覆盖历史归属、旧请求取消和重启状态。</w:t>
            </w:r>
          </w:p>
        </w:tc>
        <w:tc>
          <w:tcPr>
            <w:tcW w:type="dxa" w:w="3288"/>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同一提示分别给岁和歌，观察上下文归属及切回后的接续。</w:t>
            </w:r>
          </w:p>
        </w:tc>
      </w:tr>
      <w:tr>
        <w:trPr>
          <w:cantSplit/>
        </w:trPr>
        <w:tc>
          <w:tcPr>
            <w:tcW w:type="dxa" w:w="1928"/>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实际动作与口播</w:t>
            </w:r>
          </w:p>
        </w:tc>
        <w:tc>
          <w:tcPr>
            <w:tcW w:type="dxa" w:w="4252"/>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STS2验收快照包含combat_play_card、实际工具结果及同一条口播ended回执。</w:t>
            </w:r>
          </w:p>
        </w:tc>
        <w:tc>
          <w:tcPr>
            <w:tcW w:type="dxa" w:w="3288"/>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同时查看画面、动作记录和口播时间线。</w:t>
            </w:r>
          </w:p>
        </w:tc>
      </w:tr>
      <w:tr>
        <w:trPr>
          <w:cantSplit/>
        </w:trPr>
        <w:tc>
          <w:tcPr>
            <w:tcW w:type="dxa" w:w="1928"/>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语音排队与中断</w:t>
            </w:r>
          </w:p>
        </w:tc>
        <w:tc>
          <w:tcPr>
            <w:tcW w:type="dxa" w:w="4252"/>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speech-output-arbiter及运行时测试覆盖排队、打断与过期输出处理。</w:t>
            </w:r>
          </w:p>
        </w:tc>
        <w:tc>
          <w:tcPr>
            <w:tcW w:type="dxa" w:w="3288"/>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一次回复中途切换任务，确认旧音频停止、新任务接续。</w:t>
            </w:r>
          </w:p>
        </w:tc>
      </w:tr>
      <w:tr>
        <w:trPr>
          <w:cantSplit/>
        </w:trPr>
        <w:tc>
          <w:tcPr>
            <w:tcW w:type="dxa" w:w="1928"/>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导演与运营工作台</w:t>
            </w:r>
          </w:p>
        </w:tc>
        <w:tc>
          <w:tcPr>
            <w:tcW w:type="dxa" w:w="4252"/>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记忆管理、状态诊断、连续经历、OBS及游戏页面已有工程入口。</w:t>
            </w:r>
          </w:p>
        </w:tc>
        <w:tc>
          <w:tcPr>
            <w:tcW w:type="dxa" w:w="3288"/>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查看本场状态、审核记忆、停止任务及整理下一场目标。</w:t>
            </w:r>
          </w:p>
        </w:tc>
      </w:tr>
    </w:tbl>
    <w:p>
      <w:pPr>
        <w:spacing w:after="20"/>
      </w:pPr>
    </w:p>
    <w:p>
      <w:pPr>
        <w:pStyle w:val="Heading2"/>
      </w:pPr>
      <w:r>
        <w:t>可以展示的实机片段</w:t>
      </w:r>
    </w:p>
    <w:p>
      <w:pPr>
        <w:widowControl/>
      </w:pPr>
      <w:r>
        <w:rPr>
          <w:b w:val="0"/>
        </w:rPr>
        <w:t>2026年10月20日的STS2快照记录18次成功动作、第一幕第6层，台词“打击收掉这只墨宝，别让它再打三下。”关联combat_play_card动作及语音结束回执。Minecraft记录中有原木与木剑入库。这些片段提供可复核的动作与表达材料，完整节目稳定性进入下一轮内部试播。[I5]</w:t>
      </w:r>
    </w:p>
    <w:p>
      <w:pPr>
        <w:pStyle w:val="Heading2"/>
      </w:pPr>
      <w:r>
        <w:t>制作阶段的下一项交付</w:t>
      </w:r>
    </w:p>
    <w:p>
      <w:pPr>
        <w:widowControl/>
      </w:pPr>
      <w:r>
        <w:rPr>
          <w:b w:val="0"/>
        </w:rPr>
        <w:t>将已实现模块组合为一段10至15分钟受控节目，完成原创视觉与合法声线的首版整合。导演输出时间戳，高光片段进入剪辑；调研人员按同一录屏询问角色印象和观看体验。自动检查与真人反馈分别记录，持续迭代到可固定开播的版本。</w:t>
      </w:r>
    </w:p>
    <w:p>
      <w:r>
        <w:br w:type="page"/>
      </w:r>
    </w:p>
    <w:p>
      <w:pPr>
        <w:pStyle w:val="Heading1"/>
      </w:pPr>
      <w:r>
        <w:t>六 现有成果与开发重点</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757"/>
        <w:gridCol w:w="4139"/>
        <w:gridCol w:w="3572"/>
      </w:tblGrid>
      <w:tr>
        <w:trPr>
          <w:cantSplit/>
          <w:tblHeader/>
        </w:trPr>
        <w:tc>
          <w:tcPr>
            <w:tcW w:type="dxa" w:w="1757"/>
            <w:vAlign w:val="center"/>
            <w:shd w:fill="153E49"/>
            <w:tcMar>
              <w:top w:w="80" w:type="dxa"/>
              <w:left w:w="80" w:type="dxa"/>
              <w:bottom w:w="80" w:type="dxa"/>
              <w:right w:w="80" w:type="dxa"/>
            </w:tcMar>
          </w:tcPr>
          <w:p>
            <w:pPr>
              <w:spacing w:after="20" w:before="20" w:line="269" w:lineRule="auto"/>
            </w:pPr>
            <w:r>
              <w:rPr>
                <w:rFonts w:ascii="Microsoft YaHei" w:hAnsi="Microsoft YaHei" w:eastAsia="Microsoft YaHei"/>
                <w:b/>
                <w:color w:val="FFFFFF"/>
                <w:sz w:val="18"/>
              </w:rPr>
              <w:t>方向</w:t>
            </w:r>
          </w:p>
        </w:tc>
        <w:tc>
          <w:tcPr>
            <w:tcW w:type="dxa" w:w="4139"/>
            <w:vAlign w:val="center"/>
            <w:shd w:fill="153E49"/>
            <w:tcMar>
              <w:top w:w="80" w:type="dxa"/>
              <w:left w:w="80" w:type="dxa"/>
              <w:bottom w:w="80" w:type="dxa"/>
              <w:right w:w="80" w:type="dxa"/>
            </w:tcMar>
          </w:tcPr>
          <w:p>
            <w:pPr>
              <w:spacing w:after="20" w:before="20" w:line="269" w:lineRule="auto"/>
            </w:pPr>
            <w:r>
              <w:rPr>
                <w:rFonts w:ascii="Microsoft YaHei" w:hAnsi="Microsoft YaHei" w:eastAsia="Microsoft YaHei"/>
                <w:b/>
                <w:color w:val="FFFFFF"/>
                <w:sz w:val="18"/>
              </w:rPr>
              <w:t>目前已有成果</w:t>
            </w:r>
          </w:p>
        </w:tc>
        <w:tc>
          <w:tcPr>
            <w:tcW w:type="dxa" w:w="3572"/>
            <w:vAlign w:val="center"/>
            <w:shd w:fill="153E49"/>
            <w:tcMar>
              <w:top w:w="80" w:type="dxa"/>
              <w:left w:w="80" w:type="dxa"/>
              <w:bottom w:w="80" w:type="dxa"/>
              <w:right w:w="80" w:type="dxa"/>
            </w:tcMar>
          </w:tcPr>
          <w:p>
            <w:pPr>
              <w:spacing w:after="20" w:before="20" w:line="269" w:lineRule="auto"/>
            </w:pPr>
            <w:r>
              <w:rPr>
                <w:rFonts w:ascii="Microsoft YaHei" w:hAnsi="Microsoft YaHei" w:eastAsia="Microsoft YaHei"/>
                <w:b/>
                <w:color w:val="FFFFFF"/>
                <w:sz w:val="18"/>
              </w:rPr>
              <w:t>内部试播前的工作</w:t>
            </w:r>
          </w:p>
        </w:tc>
      </w:tr>
      <w:tr>
        <w:trPr>
          <w:cantSplit/>
        </w:trPr>
        <w:tc>
          <w:tcPr>
            <w:tcW w:type="dxa" w:w="1757"/>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人格与主播底座</w:t>
            </w:r>
          </w:p>
        </w:tc>
        <w:tc>
          <w:tcPr>
            <w:tcW w:type="dxa" w:w="4139"/>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角色包、双人格运行时、情绪记忆、语音及舞台接口已具备工程实现。</w:t>
            </w:r>
          </w:p>
        </w:tc>
        <w:tc>
          <w:tcPr>
            <w:tcW w:type="dxa" w:w="3572"/>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完成连续节目串联，固定角色与语音评测样本。</w:t>
            </w:r>
          </w:p>
        </w:tc>
      </w:tr>
      <w:tr>
        <w:trPr>
          <w:cantSplit/>
        </w:trPr>
        <w:tc>
          <w:tcPr>
            <w:tcW w:type="dxa" w:w="1757"/>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Minecraft</w:t>
            </w:r>
          </w:p>
        </w:tc>
        <w:tc>
          <w:tcPr>
            <w:tcW w:type="dxa" w:w="4139"/>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注册75个动作；实机有采木、工作台、工具等记录，DeepSeek链路有原木与木剑入库证据。</w:t>
            </w:r>
          </w:p>
        </w:tc>
        <w:tc>
          <w:tcPr>
            <w:tcW w:type="dxa" w:w="3572"/>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选定短任务，完善中断恢复和人工接管。</w:t>
            </w:r>
          </w:p>
        </w:tc>
      </w:tr>
      <w:tr>
        <w:trPr>
          <w:cantSplit/>
        </w:trPr>
        <w:tc>
          <w:tcPr>
            <w:tcW w:type="dxa" w:w="1757"/>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杀戮尖塔2</w:t>
            </w:r>
          </w:p>
        </w:tc>
        <w:tc>
          <w:tcPr>
            <w:tcW w:type="dxa" w:w="4139"/>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2026年10月20日快照记录18次成功动作、第一幕第6层及一条口播结束回执。</w:t>
            </w:r>
          </w:p>
        </w:tc>
        <w:tc>
          <w:tcPr>
            <w:tcW w:type="dxa" w:w="3572"/>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围绕回合决策与真人讨论做完整节目样例。</w:t>
            </w:r>
          </w:p>
        </w:tc>
      </w:tr>
      <w:tr>
        <w:trPr>
          <w:cantSplit/>
        </w:trPr>
        <w:tc>
          <w:tcPr>
            <w:tcW w:type="dxa" w:w="1757"/>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Flappy Bird</w:t>
            </w:r>
          </w:p>
        </w:tc>
        <w:tc>
          <w:tcPr>
            <w:tcW w:type="dxa" w:w="4139"/>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预训练策略与保护层完成100局1000分及单局10000分耐久验收。</w:t>
            </w:r>
          </w:p>
        </w:tc>
        <w:tc>
          <w:tcPr>
            <w:tcW w:type="dxa" w:w="3572"/>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按节目需要接入演示，保留原始验收条件。</w:t>
            </w:r>
          </w:p>
        </w:tc>
      </w:tr>
      <w:tr>
        <w:trPr>
          <w:cantSplit/>
        </w:trPr>
        <w:tc>
          <w:tcPr>
            <w:tcW w:type="dxa" w:w="1757"/>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人格设计与评测</w:t>
            </w:r>
          </w:p>
        </w:tc>
        <w:tc>
          <w:tcPr>
            <w:tcW w:type="dxa" w:w="4139"/>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已有人格说话设计、情绪检查和场景评测框架。</w:t>
            </w:r>
          </w:p>
        </w:tc>
        <w:tc>
          <w:tcPr>
            <w:tcW w:type="dxa" w:w="3572"/>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让校内受试者评判角色辨识、接梗与观看意愿。</w:t>
            </w:r>
          </w:p>
        </w:tc>
      </w:tr>
    </w:tbl>
    <w:p>
      <w:pPr>
        <w:spacing w:after="20"/>
      </w:pPr>
    </w:p>
    <w:p>
      <w:pPr>
        <w:pStyle w:val="Heading2"/>
      </w:pPr>
      <w:r>
        <w:t>从能运行推进到值得看</w:t>
      </w:r>
    </w:p>
    <w:p>
      <w:pPr>
        <w:widowControl/>
      </w:pPr>
      <w:r>
        <w:rPr>
          <w:b w:val="0"/>
        </w:rPr>
        <w:t>下一阶段的核心交付是一场有亮点的人机共同直播。先制作10至15分钟内部样例，邀请观众指出最有趣、最无聊和最想继续看的部分，再扩展到30分钟、60分钟及完整直播场次。节目开发和技术开发同步排期，内部试播每周形成一份片段清单与修改记录。</w:t>
      </w:r>
    </w:p>
    <w:p>
      <w:pPr>
        <w:pStyle w:val="Heading2"/>
      </w:pPr>
      <w:r>
        <w:t>保留证据帮助快速改进</w:t>
      </w:r>
    </w:p>
    <w:p>
      <w:pPr>
        <w:widowControl/>
      </w:pPr>
      <w:r>
        <w:rPr>
          <w:b w:val="0"/>
        </w:rPr>
        <w:t>每场记录关键动作、台词、异常和主持人介入时刻，剪辑人员标记值得传播的片段，研发人员定位相应日志。Flappy Bird等工程验收保留原任务与种子条件；Minecraft和回合制游戏按实际完成的动作记录进度。统一记录让内容人员和开发人员能讨论同一件事。</w:t>
      </w:r>
    </w:p>
    <w:p>
      <w:pPr>
        <w:pStyle w:val="Heading2"/>
      </w:pPr>
      <w:r>
        <w:t>近期完成标准</w:t>
      </w:r>
    </w:p>
    <w:p>
      <w:pPr>
        <w:widowControl/>
      </w:pPr>
      <w:r>
        <w:rPr>
          <w:b w:val="0"/>
        </w:rPr>
        <w:t>完成原创形象的首版交付、可辨识的两种人格表达、稳定语音与游戏节目链路，形成3场内部试播、至少10个可用切片候选，以及一轮校内观看反馈。达到标准后开始固定排期的公开运营。</w:t>
      </w:r>
    </w:p>
    <w:p>
      <w:r>
        <w:br w:type="page"/>
      </w:r>
    </w:p>
    <w:p>
      <w:pPr>
        <w:pStyle w:val="Heading1"/>
      </w:pPr>
      <w:r>
        <w:t>七 人机共同直播与内容编排</w:t>
      </w:r>
    </w:p>
    <w:p>
      <w:pPr>
        <w:widowControl/>
      </w:pPr>
      <w:r>
        <w:rPr>
          <w:b w:val="0"/>
        </w:rPr>
        <w:t>公开运营采用人和AI共同直播的形式，每周五天于北京时间20:00开播，初期按每场约2小时组织。主持人负责起话题、接梗和串联任务，姬岁歌负责表达、选择和游戏行动；导演岗位关注技术状态和内容节奏。</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814"/>
        <w:gridCol w:w="3742"/>
        <w:gridCol w:w="3912"/>
      </w:tblGrid>
      <w:tr>
        <w:trPr>
          <w:cantSplit/>
          <w:tblHeader/>
        </w:trPr>
        <w:tc>
          <w:tcPr>
            <w:tcW w:type="dxa" w:w="1814"/>
            <w:vAlign w:val="center"/>
            <w:shd w:fill="153E49"/>
            <w:tcMar>
              <w:top w:w="80" w:type="dxa"/>
              <w:left w:w="80" w:type="dxa"/>
              <w:bottom w:w="80" w:type="dxa"/>
              <w:right w:w="80" w:type="dxa"/>
            </w:tcMar>
          </w:tcPr>
          <w:p>
            <w:pPr>
              <w:spacing w:after="20" w:before="20" w:line="269" w:lineRule="auto"/>
            </w:pPr>
            <w:r>
              <w:rPr>
                <w:rFonts w:ascii="Microsoft YaHei" w:hAnsi="Microsoft YaHei" w:eastAsia="Microsoft YaHei"/>
                <w:b/>
                <w:color w:val="FFFFFF"/>
                <w:sz w:val="18"/>
              </w:rPr>
              <w:t>时段</w:t>
            </w:r>
          </w:p>
        </w:tc>
        <w:tc>
          <w:tcPr>
            <w:tcW w:type="dxa" w:w="3742"/>
            <w:vAlign w:val="center"/>
            <w:shd w:fill="153E49"/>
            <w:tcMar>
              <w:top w:w="80" w:type="dxa"/>
              <w:left w:w="80" w:type="dxa"/>
              <w:bottom w:w="80" w:type="dxa"/>
              <w:right w:w="80" w:type="dxa"/>
            </w:tcMar>
          </w:tcPr>
          <w:p>
            <w:pPr>
              <w:spacing w:after="20" w:before="20" w:line="269" w:lineRule="auto"/>
            </w:pPr>
            <w:r>
              <w:rPr>
                <w:rFonts w:ascii="Microsoft YaHei" w:hAnsi="Microsoft YaHei" w:eastAsia="Microsoft YaHei"/>
                <w:b/>
                <w:color w:val="FFFFFF"/>
                <w:sz w:val="18"/>
              </w:rPr>
              <w:t>节目安排</w:t>
            </w:r>
          </w:p>
        </w:tc>
        <w:tc>
          <w:tcPr>
            <w:tcW w:type="dxa" w:w="3912"/>
            <w:vAlign w:val="center"/>
            <w:shd w:fill="153E49"/>
            <w:tcMar>
              <w:top w:w="80" w:type="dxa"/>
              <w:left w:w="80" w:type="dxa"/>
              <w:bottom w:w="80" w:type="dxa"/>
              <w:right w:w="80" w:type="dxa"/>
            </w:tcMar>
          </w:tcPr>
          <w:p>
            <w:pPr>
              <w:spacing w:after="20" w:before="20" w:line="269" w:lineRule="auto"/>
            </w:pPr>
            <w:r>
              <w:rPr>
                <w:rFonts w:ascii="Microsoft YaHei" w:hAnsi="Microsoft YaHei" w:eastAsia="Microsoft YaHei"/>
                <w:b/>
                <w:color w:val="FFFFFF"/>
                <w:sz w:val="18"/>
              </w:rPr>
              <w:t>期待产生的内容</w:t>
            </w:r>
          </w:p>
        </w:tc>
      </w:tr>
      <w:tr>
        <w:trPr>
          <w:cantSplit/>
        </w:trPr>
        <w:tc>
          <w:tcPr>
            <w:tcW w:type="dxa" w:w="1814"/>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20:00至20:10</w:t>
            </w:r>
          </w:p>
        </w:tc>
        <w:tc>
          <w:tcPr>
            <w:tcW w:type="dxa" w:w="3742"/>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欢迎观众，回顾上一场，提出当晚的小目标。</w:t>
            </w:r>
          </w:p>
        </w:tc>
        <w:tc>
          <w:tcPr>
            <w:tcW w:type="dxa" w:w="3912"/>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老观众能接续共同经历，新观众迅速理解任务。</w:t>
            </w:r>
          </w:p>
        </w:tc>
      </w:tr>
      <w:tr>
        <w:trPr>
          <w:cantSplit/>
        </w:trPr>
        <w:tc>
          <w:tcPr>
            <w:tcW w:type="dxa" w:w="1814"/>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20:10至20:50</w:t>
            </w:r>
          </w:p>
        </w:tc>
        <w:tc>
          <w:tcPr>
            <w:tcW w:type="dxa" w:w="3742"/>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一段主游戏任务，主持人与AI边玩边交流。</w:t>
            </w:r>
          </w:p>
        </w:tc>
        <w:tc>
          <w:tcPr>
            <w:tcW w:type="dxa" w:w="3912"/>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角色选择、真人反应、游戏结果形成完整片段。</w:t>
            </w:r>
          </w:p>
        </w:tc>
      </w:tr>
      <w:tr>
        <w:trPr>
          <w:cantSplit/>
        </w:trPr>
        <w:tc>
          <w:tcPr>
            <w:tcW w:type="dxa" w:w="1814"/>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20:50至21:10</w:t>
            </w:r>
          </w:p>
        </w:tc>
        <w:tc>
          <w:tcPr>
            <w:tcW w:type="dxa" w:w="3742"/>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弹幕提问、观众投票或人格讨论。</w:t>
            </w:r>
          </w:p>
        </w:tc>
        <w:tc>
          <w:tcPr>
            <w:tcW w:type="dxa" w:w="3912"/>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观众参与被看见，形成可延续到下一场的话题。</w:t>
            </w:r>
          </w:p>
        </w:tc>
      </w:tr>
      <w:tr>
        <w:trPr>
          <w:cantSplit/>
        </w:trPr>
        <w:tc>
          <w:tcPr>
            <w:tcW w:type="dxa" w:w="1814"/>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21:10至21:50</w:t>
            </w:r>
          </w:p>
        </w:tc>
        <w:tc>
          <w:tcPr>
            <w:tcW w:type="dxa" w:w="3742"/>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完成挑战或加入一个固定小栏目。</w:t>
            </w:r>
          </w:p>
        </w:tc>
        <w:tc>
          <w:tcPr>
            <w:tcW w:type="dxa" w:w="3912"/>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反转、接梗、兑现承诺，积累当晚高光。</w:t>
            </w:r>
          </w:p>
        </w:tc>
      </w:tr>
      <w:tr>
        <w:trPr>
          <w:cantSplit/>
        </w:trPr>
        <w:tc>
          <w:tcPr>
            <w:tcW w:type="dxa" w:w="1814"/>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21:50至22:00</w:t>
            </w:r>
          </w:p>
        </w:tc>
        <w:tc>
          <w:tcPr>
            <w:tcW w:type="dxa" w:w="3742"/>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回顾当晚名场面、预告下一场、引导参与社群。</w:t>
            </w:r>
          </w:p>
        </w:tc>
        <w:tc>
          <w:tcPr>
            <w:tcW w:type="dxa" w:w="3912"/>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给观众明确的回访理由，留下下一次共同目标。</w:t>
            </w:r>
          </w:p>
        </w:tc>
      </w:tr>
    </w:tbl>
    <w:p>
      <w:pPr>
        <w:spacing w:after="20"/>
      </w:pPr>
    </w:p>
    <w:p>
      <w:pPr>
        <w:pStyle w:val="Heading2"/>
      </w:pPr>
      <w:r>
        <w:t>周排期与内容储备</w:t>
      </w:r>
    </w:p>
    <w:p>
      <w:pPr>
        <w:widowControl/>
      </w:pPr>
      <w:r>
        <w:rPr>
          <w:b w:val="0"/>
        </w:rPr>
        <w:t>初拟周二至周六开播，周一用于研发、复盘和企划，周日用于社群活动与素材整理。每周准备一场主线推进、一场挑战、一场观众共创，其余场次根据效果复用成熟栏目。主持人和导演安排轮值，重要活动提前集中准备。</w:t>
      </w:r>
    </w:p>
    <w:p>
      <w:pPr>
        <w:pStyle w:val="Heading2"/>
      </w:pPr>
      <w:r>
        <w:t>让高光自然出现</w:t>
      </w:r>
    </w:p>
    <w:p>
      <w:pPr>
        <w:widowControl/>
      </w:pPr>
      <w:r>
        <w:rPr>
          <w:b w:val="0"/>
        </w:rPr>
        <w:t>策划围绕真实任务、性格差异和临场互动设置机会。主持人可以追问选择理由、邀请观众预测结果，或把上一场的笑点带回本场。游戏故障进入应急处理流程；主内容恢复后继续推进节目。</w:t>
      </w:r>
    </w:p>
    <w:p>
      <w:pPr>
        <w:pStyle w:val="Heading2"/>
      </w:pPr>
      <w:r>
        <w:t>直播后的当天交接</w:t>
      </w:r>
    </w:p>
    <w:p>
      <w:pPr>
        <w:widowControl/>
      </w:pPr>
      <w:r>
        <w:rPr>
          <w:b w:val="0"/>
        </w:rPr>
        <w:t>导演提交带时间戳的3至5个高光候选，张乐溪挑选有完整因果和明确反应的片段制作切片。主持人与运营记录弹幕高频词、观众提问和下场期待，技术人员处理最影响观看体验的问题。</w:t>
      </w:r>
    </w:p>
    <w:p>
      <w:r>
        <w:br w:type="page"/>
      </w:r>
    </w:p>
    <w:p>
      <w:pPr>
        <w:pStyle w:val="Heading1"/>
      </w:pPr>
      <w:r>
        <w:t>八 粉丝增长与平台布局</w:t>
      </w:r>
    </w:p>
    <w:p>
      <w:pPr>
        <w:pStyle w:val="Heading2"/>
      </w:pPr>
      <w:r>
        <w:t>Bilibili首发 逐步走向海外</w:t>
      </w:r>
    </w:p>
    <w:p>
      <w:pPr>
        <w:widowControl/>
      </w:pPr>
      <w:r>
        <w:rPr>
          <w:b w:val="0"/>
        </w:rPr>
        <w:t>首发阶段把Bilibili作为直播、主账号视频和中文社群的中心，抖音承接适合国内短视频观看习惯的片段。国际传播先用英文字幕版本测试YouTube Shorts与TikTok，再根据评论、观看地区和回访反馈安排YouTube长视频及Twitch专题直播。平台账号分别统计关注和活跃观众。</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041"/>
        <w:gridCol w:w="3685"/>
        <w:gridCol w:w="3742"/>
      </w:tblGrid>
      <w:tr>
        <w:trPr>
          <w:cantSplit/>
          <w:tblHeader/>
        </w:trPr>
        <w:tc>
          <w:tcPr>
            <w:tcW w:type="dxa" w:w="2041"/>
            <w:vAlign w:val="center"/>
            <w:shd w:fill="153E49"/>
            <w:tcMar>
              <w:top w:w="80" w:type="dxa"/>
              <w:left w:w="80" w:type="dxa"/>
              <w:bottom w:w="80" w:type="dxa"/>
              <w:right w:w="80" w:type="dxa"/>
            </w:tcMar>
          </w:tcPr>
          <w:p>
            <w:pPr>
              <w:spacing w:after="20" w:before="20" w:line="269" w:lineRule="auto"/>
            </w:pPr>
            <w:r>
              <w:rPr>
                <w:rFonts w:ascii="Microsoft YaHei" w:hAnsi="Microsoft YaHei" w:eastAsia="Microsoft YaHei"/>
                <w:b/>
                <w:color w:val="FFFFFF"/>
                <w:sz w:val="18"/>
              </w:rPr>
              <w:t>平台</w:t>
            </w:r>
          </w:p>
        </w:tc>
        <w:tc>
          <w:tcPr>
            <w:tcW w:type="dxa" w:w="3685"/>
            <w:vAlign w:val="center"/>
            <w:shd w:fill="153E49"/>
            <w:tcMar>
              <w:top w:w="80" w:type="dxa"/>
              <w:left w:w="80" w:type="dxa"/>
              <w:bottom w:w="80" w:type="dxa"/>
              <w:right w:w="80" w:type="dxa"/>
            </w:tcMar>
          </w:tcPr>
          <w:p>
            <w:pPr>
              <w:spacing w:after="20" w:before="20" w:line="269" w:lineRule="auto"/>
            </w:pPr>
            <w:r>
              <w:rPr>
                <w:rFonts w:ascii="Microsoft YaHei" w:hAnsi="Microsoft YaHei" w:eastAsia="Microsoft YaHei"/>
                <w:b/>
                <w:color w:val="FFFFFF"/>
                <w:sz w:val="18"/>
              </w:rPr>
              <w:t>内容职责</w:t>
            </w:r>
          </w:p>
        </w:tc>
        <w:tc>
          <w:tcPr>
            <w:tcW w:type="dxa" w:w="3742"/>
            <w:vAlign w:val="center"/>
            <w:shd w:fill="153E49"/>
            <w:tcMar>
              <w:top w:w="80" w:type="dxa"/>
              <w:left w:w="80" w:type="dxa"/>
              <w:bottom w:w="80" w:type="dxa"/>
              <w:right w:w="80" w:type="dxa"/>
            </w:tcMar>
          </w:tcPr>
          <w:p>
            <w:pPr>
              <w:spacing w:after="20" w:before="20" w:line="269" w:lineRule="auto"/>
            </w:pPr>
            <w:r>
              <w:rPr>
                <w:rFonts w:ascii="Microsoft YaHei" w:hAnsi="Microsoft YaHei" w:eastAsia="Microsoft YaHei"/>
                <w:b/>
                <w:color w:val="FFFFFF"/>
                <w:sz w:val="18"/>
              </w:rPr>
              <w:t>重点观察</w:t>
            </w:r>
          </w:p>
        </w:tc>
      </w:tr>
      <w:tr>
        <w:trPr>
          <w:cantSplit/>
        </w:trPr>
        <w:tc>
          <w:tcPr>
            <w:tcW w:type="dxa" w:w="2041"/>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Bilibili</w:t>
            </w:r>
          </w:p>
        </w:tc>
        <w:tc>
          <w:tcPr>
            <w:tcW w:type="dxa" w:w="3685"/>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固定直播、重点切片、角色介绍和成长连载。</w:t>
            </w:r>
          </w:p>
        </w:tc>
        <w:tc>
          <w:tcPr>
            <w:tcW w:type="dxa" w:w="3742"/>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新增关注、回访、平均观看与直播到社群转化。</w:t>
            </w:r>
          </w:p>
        </w:tc>
      </w:tr>
      <w:tr>
        <w:trPr>
          <w:cantSplit/>
        </w:trPr>
        <w:tc>
          <w:tcPr>
            <w:tcW w:type="dxa" w:w="2041"/>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抖音</w:t>
            </w:r>
          </w:p>
        </w:tc>
        <w:tc>
          <w:tcPr>
            <w:tcW w:type="dxa" w:w="3685"/>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国内短片分发，突出一句话能理解的情境。</w:t>
            </w:r>
          </w:p>
        </w:tc>
        <w:tc>
          <w:tcPr>
            <w:tcW w:type="dxa" w:w="3742"/>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开头留存、完播、主页访问与直播预约。</w:t>
            </w:r>
          </w:p>
        </w:tc>
      </w:tr>
      <w:tr>
        <w:trPr>
          <w:cantSplit/>
        </w:trPr>
        <w:tc>
          <w:tcPr>
            <w:tcW w:type="dxa" w:w="2041"/>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YouTube与Shorts</w:t>
            </w:r>
          </w:p>
        </w:tc>
        <w:tc>
          <w:tcPr>
            <w:tcW w:type="dxa" w:w="3685"/>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双语高光、较完整的人机互动故事与回放。</w:t>
            </w:r>
          </w:p>
        </w:tc>
        <w:tc>
          <w:tcPr>
            <w:tcW w:type="dxa" w:w="3742"/>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字幕质量、海外留存、订阅和系列观看。</w:t>
            </w:r>
          </w:p>
        </w:tc>
      </w:tr>
      <w:tr>
        <w:trPr>
          <w:cantSplit/>
        </w:trPr>
        <w:tc>
          <w:tcPr>
            <w:tcW w:type="dxa" w:w="2041"/>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TikTok</w:t>
            </w:r>
          </w:p>
        </w:tc>
        <w:tc>
          <w:tcPr>
            <w:tcW w:type="dxa" w:w="3685"/>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节奏紧凑的海外短片，测试角色与互动的跨语言吸引力。</w:t>
            </w:r>
          </w:p>
        </w:tc>
        <w:tc>
          <w:tcPr>
            <w:tcW w:type="dxa" w:w="3742"/>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有效触达、评论主题、关注与回看。</w:t>
            </w:r>
          </w:p>
        </w:tc>
      </w:tr>
      <w:tr>
        <w:trPr>
          <w:cantSplit/>
        </w:trPr>
        <w:tc>
          <w:tcPr>
            <w:tcW w:type="dxa" w:w="2041"/>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Twitch</w:t>
            </w:r>
          </w:p>
        </w:tc>
        <w:tc>
          <w:tcPr>
            <w:tcW w:type="dxa" w:w="3685"/>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在海外观众形成后测试游戏与人机互动专题。</w:t>
            </w:r>
          </w:p>
        </w:tc>
        <w:tc>
          <w:tcPr>
            <w:tcW w:type="dxa" w:w="3742"/>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实时互动、平均同时观看、回访和社群参与。</w:t>
            </w:r>
          </w:p>
        </w:tc>
      </w:tr>
    </w:tbl>
    <w:p>
      <w:pPr>
        <w:spacing w:after="20"/>
      </w:pPr>
    </w:p>
    <w:p>
      <w:pPr>
        <w:pStyle w:val="Heading2"/>
      </w:pPr>
      <w:r>
        <w:t>切片把陌生人带到下一场直播</w:t>
      </w:r>
    </w:p>
    <w:p>
      <w:pPr>
        <w:widowControl/>
      </w:pPr>
      <w:r>
        <w:rPr>
          <w:b w:val="0"/>
        </w:rPr>
        <w:t>每周发布4至5条重点切片，全年约200条；同步制作适合竖屏的版本。选题集中在反差、接梗、游戏反转和人机互动，开头快速说明处境，保留关键反应和结局，再用预告引导下一场。系列标题与统一封面帮助观众识别姬岁歌。</w:t>
      </w:r>
    </w:p>
    <w:p>
      <w:pPr>
        <w:pStyle w:val="Heading2"/>
      </w:pPr>
      <w:r>
        <w:t>投流跟着内容效果走</w:t>
      </w:r>
    </w:p>
    <w:p>
      <w:pPr>
        <w:widowControl/>
      </w:pPr>
      <w:r>
        <w:rPr>
          <w:b w:val="0"/>
        </w:rPr>
        <w:t>先比较自然播放下的完播、评论质量和关注转化，选出表现较好的素材进行小额投放。每周复盘新增有效关注成本、7日回访与社群加入情况，把预算集中到能带来持续观看的片段和栏目。首年流量预算1.8万元，按月份与表现分批使用。</w:t>
      </w:r>
    </w:p>
    <w:p>
      <w:pPr>
        <w:widowControl/>
      </w:pPr>
      <w:r>
        <w:rPr>
          <w:b w:val="0"/>
        </w:rPr>
        <w:t>传播素材持续沉淀到角色介绍、名场面合集和新观众入门视频。观众从短片进入直播、加入社群、参与下一次内容，再将新片段分享出去，形成可持续增长的循环。</w:t>
      </w:r>
    </w:p>
    <w:p>
      <w:r>
        <w:br w:type="page"/>
      </w:r>
    </w:p>
    <w:p>
      <w:pPr>
        <w:pStyle w:val="Heading1"/>
      </w:pPr>
      <w:r>
        <w:t>九 社群运营与校内调研</w:t>
      </w:r>
    </w:p>
    <w:p>
      <w:pPr>
        <w:widowControl/>
      </w:pPr>
      <w:r>
        <w:rPr>
          <w:b w:val="0"/>
        </w:rPr>
        <w:t>社群运营围绕“当晚能参与、下一场有接续”组织。开播前发布主题，直播中记下观众贡献，场后整理共同事件与高光，下一场回到尚未完成的任务。刘瑞麒负责人格与社群内容，张涵负责调研和数据，姬祥协调试播、轮值和复盘。</w:t>
      </w:r>
    </w:p>
    <w:p>
      <w:pPr>
        <w:pStyle w:val="Heading2"/>
      </w:pPr>
      <w:r>
        <w:t>首轮受众研究的执行安排</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701"/>
        <w:gridCol w:w="4592"/>
        <w:gridCol w:w="3175"/>
      </w:tblGrid>
      <w:tr>
        <w:trPr>
          <w:cantSplit/>
          <w:tblHeader/>
        </w:trPr>
        <w:tc>
          <w:tcPr>
            <w:tcW w:type="dxa" w:w="1701"/>
            <w:vAlign w:val="center"/>
            <w:shd w:fill="153E49"/>
            <w:tcMar>
              <w:top w:w="80" w:type="dxa"/>
              <w:left w:w="80" w:type="dxa"/>
              <w:bottom w:w="80" w:type="dxa"/>
              <w:right w:w="80" w:type="dxa"/>
            </w:tcMar>
          </w:tcPr>
          <w:p>
            <w:pPr>
              <w:spacing w:after="20" w:before="20" w:line="269" w:lineRule="auto"/>
            </w:pPr>
            <w:r>
              <w:rPr>
                <w:rFonts w:ascii="Microsoft YaHei" w:hAnsi="Microsoft YaHei" w:eastAsia="Microsoft YaHei"/>
                <w:b/>
                <w:color w:val="FFFFFF"/>
                <w:sz w:val="18"/>
              </w:rPr>
              <w:t>环节</w:t>
            </w:r>
          </w:p>
        </w:tc>
        <w:tc>
          <w:tcPr>
            <w:tcW w:type="dxa" w:w="4592"/>
            <w:vAlign w:val="center"/>
            <w:shd w:fill="153E49"/>
            <w:tcMar>
              <w:top w:w="80" w:type="dxa"/>
              <w:left w:w="80" w:type="dxa"/>
              <w:bottom w:w="80" w:type="dxa"/>
              <w:right w:w="80" w:type="dxa"/>
            </w:tcMar>
          </w:tcPr>
          <w:p>
            <w:pPr>
              <w:spacing w:after="20" w:before="20" w:line="269" w:lineRule="auto"/>
            </w:pPr>
            <w:r>
              <w:rPr>
                <w:rFonts w:ascii="Microsoft YaHei" w:hAnsi="Microsoft YaHei" w:eastAsia="Microsoft YaHei"/>
                <w:b/>
                <w:color w:val="FFFFFF"/>
                <w:sz w:val="18"/>
              </w:rPr>
              <w:t>操作</w:t>
            </w:r>
          </w:p>
        </w:tc>
        <w:tc>
          <w:tcPr>
            <w:tcW w:type="dxa" w:w="3175"/>
            <w:vAlign w:val="center"/>
            <w:shd w:fill="153E49"/>
            <w:tcMar>
              <w:top w:w="80" w:type="dxa"/>
              <w:left w:w="80" w:type="dxa"/>
              <w:bottom w:w="80" w:type="dxa"/>
              <w:right w:w="80" w:type="dxa"/>
            </w:tcMar>
          </w:tcPr>
          <w:p>
            <w:pPr>
              <w:spacing w:after="20" w:before="20" w:line="269" w:lineRule="auto"/>
            </w:pPr>
            <w:r>
              <w:rPr>
                <w:rFonts w:ascii="Microsoft YaHei" w:hAnsi="Microsoft YaHei" w:eastAsia="Microsoft YaHei"/>
                <w:b/>
                <w:color w:val="FFFFFF"/>
                <w:sz w:val="18"/>
              </w:rPr>
              <w:t>保存材料</w:t>
            </w:r>
          </w:p>
        </w:tc>
      </w:tr>
      <w:tr>
        <w:trPr>
          <w:cantSplit/>
        </w:trPr>
        <w:tc>
          <w:tcPr>
            <w:tcW w:type="dxa" w:w="1701"/>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样本招募</w:t>
            </w:r>
          </w:p>
        </w:tc>
        <w:tc>
          <w:tcPr>
            <w:tcW w:type="dxa" w:w="4592"/>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30名成年参与者：V圈、游戏与AI兴趣、较少看VUP者各10名；团队成员另做工程测试。</w:t>
            </w:r>
          </w:p>
        </w:tc>
        <w:tc>
          <w:tcPr>
            <w:tcW w:type="dxa" w:w="3175"/>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匿名编号、分层、招募来源、既往观看习惯与同意记录。</w:t>
            </w:r>
          </w:p>
        </w:tc>
      </w:tr>
      <w:tr>
        <w:trPr>
          <w:cantSplit/>
        </w:trPr>
        <w:tc>
          <w:tcPr>
            <w:tcW w:type="dxa" w:w="1701"/>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内容体验</w:t>
            </w:r>
          </w:p>
        </w:tc>
        <w:tc>
          <w:tcPr>
            <w:tcW w:type="dxa" w:w="4592"/>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观看两段各6分钟的姬岁歌样片，15人A/B顺序、15人B/A顺序。</w:t>
            </w:r>
          </w:p>
        </w:tc>
        <w:tc>
          <w:tcPr>
            <w:tcW w:type="dxa" w:w="3175"/>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版本、顺序、实际观看、技术故障和反馈时间戳。</w:t>
            </w:r>
          </w:p>
        </w:tc>
      </w:tr>
      <w:tr>
        <w:trPr>
          <w:cantSplit/>
        </w:trPr>
        <w:tc>
          <w:tcPr>
            <w:tcW w:type="dxa" w:w="1701"/>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自由选择</w:t>
            </w:r>
          </w:p>
        </w:tc>
        <w:tc>
          <w:tcPr>
            <w:tcW w:type="dxa" w:w="4592"/>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完成规定样片后，在10分钟自由区间中可继续看、换内容或结束。</w:t>
            </w:r>
          </w:p>
        </w:tc>
        <w:tc>
          <w:tcPr>
            <w:tcW w:type="dxa" w:w="3175"/>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继续观看时长、选择和退出原因。</w:t>
            </w:r>
          </w:p>
        </w:tc>
      </w:tr>
      <w:tr>
        <w:trPr>
          <w:cantSplit/>
        </w:trPr>
        <w:tc>
          <w:tcPr>
            <w:tcW w:type="dxa" w:w="1701"/>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七天观察</w:t>
            </w:r>
          </w:p>
        </w:tc>
        <w:tc>
          <w:tcPr>
            <w:tcW w:type="dxa" w:w="4592"/>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提供自愿回看入口，记录七天内实际回看；随后收集简短反馈。</w:t>
            </w:r>
          </w:p>
        </w:tc>
        <w:tc>
          <w:tcPr>
            <w:tcW w:type="dxa" w:w="3175"/>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回访人数、回看时长、记得的事件与留存原因。</w:t>
            </w:r>
          </w:p>
        </w:tc>
      </w:tr>
      <w:tr>
        <w:trPr>
          <w:cantSplit/>
        </w:trPr>
        <w:tc>
          <w:tcPr>
            <w:tcW w:type="dxa" w:w="1701"/>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结果复盘</w:t>
            </w:r>
          </w:p>
        </w:tc>
        <w:tc>
          <w:tcPr>
            <w:tcW w:type="dxa" w:w="4592"/>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按30人整体与三类人群分别统计，汇总失败片段与修改优先级。</w:t>
            </w:r>
          </w:p>
        </w:tc>
        <w:tc>
          <w:tcPr>
            <w:tcW w:type="dxa" w:w="3175"/>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样本数、缺失、各项分母、评分分布、匿名原话及链接。</w:t>
            </w:r>
          </w:p>
        </w:tc>
      </w:tr>
    </w:tbl>
    <w:p>
      <w:pPr>
        <w:spacing w:after="20"/>
      </w:pPr>
    </w:p>
    <w:p>
      <w:pPr>
        <w:pStyle w:val="Heading2"/>
      </w:pPr>
      <w:r>
        <w:t>当前研究进度</w:t>
      </w:r>
    </w:p>
    <w:p>
      <w:pPr>
        <w:widowControl/>
      </w:pPr>
      <w:r>
        <w:rPr>
          <w:b w:val="0"/>
        </w:rPr>
        <w:t>研究设计、问卷与记录表已整理完成；正式观众测试处于待招募阶段。首批报告将在完成有效记录后填写真实人数、自由观看中位时长、七天回访和角色回忆。方案详见配套执行手册，表格中的待采集字段保留为空。</w:t>
      </w:r>
    </w:p>
    <w:p>
      <w:pPr>
        <w:pStyle w:val="Heading2"/>
      </w:pPr>
      <w:r>
        <w:t>第一次试播怎样作决定</w:t>
      </w:r>
    </w:p>
    <w:p>
      <w:pPr>
        <w:widowControl/>
      </w:pPr>
      <w:r>
        <w:rPr>
          <w:b w:val="0"/>
        </w:rPr>
        <w:t>预设继续迭代门槛为至少30份有效体验、自由观看时长中位数达到3分钟、至少15人能回忆具体角色特点或事件，以及至少6人在七天内主动回看满60秒。这些是团队为首轮设置的决策目标；结果用于筛选节目与人群，并安排下一轮复测。</w:t>
      </w:r>
    </w:p>
    <w:p>
      <w:r>
        <w:br w:type="page"/>
      </w:r>
    </w:p>
    <w:p>
      <w:pPr>
        <w:pStyle w:val="Heading1"/>
      </w:pPr>
      <w:r>
        <w:t>社群运营与受众研究 指标与改进</w:t>
      </w:r>
    </w:p>
    <w:p>
      <w:pPr>
        <w:pStyle w:val="Heading2"/>
      </w:pPr>
      <w:r>
        <w:t>将反馈对应到产品选择</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835"/>
        <w:gridCol w:w="3288"/>
        <w:gridCol w:w="3345"/>
      </w:tblGrid>
      <w:tr>
        <w:trPr>
          <w:cantSplit/>
          <w:tblHeader/>
        </w:trPr>
        <w:tc>
          <w:tcPr>
            <w:tcW w:type="dxa" w:w="2835"/>
            <w:vAlign w:val="center"/>
            <w:shd w:fill="153E49"/>
            <w:tcMar>
              <w:top w:w="80" w:type="dxa"/>
              <w:left w:w="80" w:type="dxa"/>
              <w:bottom w:w="80" w:type="dxa"/>
              <w:right w:w="80" w:type="dxa"/>
            </w:tcMar>
          </w:tcPr>
          <w:p>
            <w:pPr>
              <w:spacing w:after="20" w:before="20" w:line="269" w:lineRule="auto"/>
            </w:pPr>
            <w:r>
              <w:rPr>
                <w:rFonts w:ascii="Microsoft YaHei" w:hAnsi="Microsoft YaHei" w:eastAsia="Microsoft YaHei"/>
                <w:b/>
                <w:color w:val="FFFFFF"/>
                <w:sz w:val="18"/>
              </w:rPr>
              <w:t>观察结果</w:t>
            </w:r>
          </w:p>
        </w:tc>
        <w:tc>
          <w:tcPr>
            <w:tcW w:type="dxa" w:w="3288"/>
            <w:vAlign w:val="center"/>
            <w:shd w:fill="153E49"/>
            <w:tcMar>
              <w:top w:w="80" w:type="dxa"/>
              <w:left w:w="80" w:type="dxa"/>
              <w:bottom w:w="80" w:type="dxa"/>
              <w:right w:w="80" w:type="dxa"/>
            </w:tcMar>
          </w:tcPr>
          <w:p>
            <w:pPr>
              <w:spacing w:after="20" w:before="20" w:line="269" w:lineRule="auto"/>
            </w:pPr>
            <w:r>
              <w:rPr>
                <w:rFonts w:ascii="Microsoft YaHei" w:hAnsi="Microsoft YaHei" w:eastAsia="Microsoft YaHei"/>
                <w:b/>
                <w:color w:val="FFFFFF"/>
                <w:sz w:val="18"/>
              </w:rPr>
              <w:t>优先检查</w:t>
            </w:r>
          </w:p>
        </w:tc>
        <w:tc>
          <w:tcPr>
            <w:tcW w:type="dxa" w:w="3345"/>
            <w:vAlign w:val="center"/>
            <w:shd w:fill="153E49"/>
            <w:tcMar>
              <w:top w:w="80" w:type="dxa"/>
              <w:left w:w="80" w:type="dxa"/>
              <w:bottom w:w="80" w:type="dxa"/>
              <w:right w:w="80" w:type="dxa"/>
            </w:tcMar>
          </w:tcPr>
          <w:p>
            <w:pPr>
              <w:spacing w:after="20" w:before="20" w:line="269" w:lineRule="auto"/>
            </w:pPr>
            <w:r>
              <w:rPr>
                <w:rFonts w:ascii="Microsoft YaHei" w:hAnsi="Microsoft YaHei" w:eastAsia="Microsoft YaHei"/>
                <w:b/>
                <w:color w:val="FFFFFF"/>
                <w:sz w:val="18"/>
              </w:rPr>
              <w:t>下一步</w:t>
            </w:r>
          </w:p>
        </w:tc>
      </w:tr>
      <w:tr>
        <w:trPr>
          <w:cantSplit/>
        </w:trPr>
        <w:tc>
          <w:tcPr>
            <w:tcW w:type="dxa" w:w="2835"/>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评分高而自愿继续观看少</w:t>
            </w:r>
          </w:p>
        </w:tc>
        <w:tc>
          <w:tcPr>
            <w:tcW w:type="dxa" w:w="3288"/>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技术新奇是否盖过内容；开头和任务是否容易理解。</w:t>
            </w:r>
          </w:p>
        </w:tc>
        <w:tc>
          <w:tcPr>
            <w:tcW w:type="dxa" w:w="3345"/>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缩短说明、强化一个完整互动，再以同口径样片复测。</w:t>
            </w:r>
          </w:p>
        </w:tc>
      </w:tr>
      <w:tr>
        <w:trPr>
          <w:cantSplit/>
        </w:trPr>
        <w:tc>
          <w:tcPr>
            <w:tcW w:type="dxa" w:w="2835"/>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观看较长而角色印象模糊</w:t>
            </w:r>
          </w:p>
        </w:tc>
        <w:tc>
          <w:tcPr>
            <w:tcW w:type="dxa" w:w="3288"/>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岁与歌的差异、声音和主持人引导是否清楚。</w:t>
            </w:r>
          </w:p>
        </w:tc>
        <w:tc>
          <w:tcPr>
            <w:tcW w:type="dxa" w:w="3345"/>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精简角色目标，固定辨识场景，检查自由回忆。</w:t>
            </w:r>
          </w:p>
        </w:tc>
      </w:tr>
      <w:tr>
        <w:trPr>
          <w:cantSplit/>
        </w:trPr>
        <w:tc>
          <w:tcPr>
            <w:tcW w:type="dxa" w:w="2835"/>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记忆体验好但七天回访少</w:t>
            </w:r>
          </w:p>
        </w:tc>
        <w:tc>
          <w:tcPr>
            <w:tcW w:type="dxa" w:w="3288"/>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下一场理由、通知方式和节目更新节奏。</w:t>
            </w:r>
          </w:p>
        </w:tc>
        <w:tc>
          <w:tcPr>
            <w:tcW w:type="dxa" w:w="3345"/>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加强未完成任务与预告，跟踪自愿回看。</w:t>
            </w:r>
          </w:p>
        </w:tc>
      </w:tr>
      <w:tr>
        <w:trPr>
          <w:cantSplit/>
        </w:trPr>
        <w:tc>
          <w:tcPr>
            <w:tcW w:type="dxa" w:w="2835"/>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某一受众层明显更愿意看</w:t>
            </w:r>
          </w:p>
        </w:tc>
        <w:tc>
          <w:tcPr>
            <w:tcW w:type="dxa" w:w="3288"/>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既往观看习惯、最喜欢的片段与退出原因。</w:t>
            </w:r>
          </w:p>
        </w:tc>
        <w:tc>
          <w:tcPr>
            <w:tcW w:type="dxa" w:w="3345"/>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先服务表现较好的细分人群，扩大该层样本。</w:t>
            </w:r>
          </w:p>
        </w:tc>
      </w:tr>
      <w:tr>
        <w:trPr>
          <w:cantSplit/>
        </w:trPr>
        <w:tc>
          <w:tcPr>
            <w:tcW w:type="dxa" w:w="2835"/>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付费意愿高而持续观看少</w:t>
            </w:r>
          </w:p>
        </w:tc>
        <w:tc>
          <w:tcPr>
            <w:tcW w:type="dxa" w:w="3288"/>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礼貌回答、熟人关系与权益描述是否影响评分。</w:t>
            </w:r>
          </w:p>
        </w:tc>
        <w:tc>
          <w:tcPr>
            <w:tcW w:type="dxa" w:w="3345"/>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以实际回访和后续自愿行为继续验证，保留原始回答。</w:t>
            </w:r>
          </w:p>
        </w:tc>
      </w:tr>
    </w:tbl>
    <w:p>
      <w:pPr>
        <w:spacing w:after="20"/>
      </w:pPr>
    </w:p>
    <w:p>
      <w:pPr>
        <w:pStyle w:val="Heading2"/>
      </w:pPr>
      <w:r>
        <w:t>社群的日常运营</w:t>
      </w:r>
    </w:p>
    <w:p>
      <w:pPr>
        <w:widowControl/>
      </w:pPr>
      <w:r>
        <w:rPr>
          <w:b w:val="0"/>
        </w:rPr>
        <w:t>每周组织一次下场任务投票，收集角色与节目建议，发布一次共同事件回顾。建立欢迎、二创投稿、问题反馈和重要说明入口。运营人员及时回应有效建议，导演将可采纳的内容放进后续企划，让观众感到参与有后续。</w:t>
      </w:r>
    </w:p>
    <w:p>
      <w:pPr>
        <w:pStyle w:val="Heading2"/>
      </w:pPr>
      <w:r>
        <w:t>增长看板从回访开始</w:t>
      </w:r>
    </w:p>
    <w:p>
      <w:pPr>
        <w:widowControl/>
      </w:pPr>
      <w:r>
        <w:rPr>
          <w:b w:val="0"/>
        </w:rPr>
        <w:t>内部研究记录自由观看、角色回忆和七天回访；公开运营之后，再加入平台平均观看、关注转化、社群周活跃和二创参与。付费阶段继续追踪会员次月续费及周边履约。每月把这些行为与高光内容、支出和改进记录放在同一份报告中。</w:t>
      </w:r>
    </w:p>
    <w:p>
      <w:pPr>
        <w:widowControl/>
      </w:pPr>
      <w:r>
        <w:rPr>
          <w:b w:val="0"/>
        </w:rPr>
        <w:t>首轮研究采用校内分层便利样本，报告写明招募范围和样本构成。公开运营后持续补充校外陌生观众，并比较熟人、陌生人及不同观看习惯的反馈，让需求判断逐步覆盖实际受众。</w:t>
      </w:r>
    </w:p>
    <w:p>
      <w:r>
        <w:br w:type="page"/>
      </w:r>
    </w:p>
    <w:p>
      <w:pPr>
        <w:pStyle w:val="Heading1"/>
      </w:pPr>
      <w:r>
        <w:t>十 商业模式与收入路径</w:t>
      </w:r>
    </w:p>
    <w:p>
      <w:pPr>
        <w:widowControl/>
      </w:pPr>
      <w:r>
        <w:rPr>
          <w:b w:val="0"/>
        </w:rPr>
        <w:t>商业路径以粉丝关系和内容影响力为基础。前期集中打磨节目、积累关注和维护社群，直播打赏随公开运营自然发生；约10万主阵地粉丝后，逐步发展月度会员、周边贩售和商业联动。10万是团队设置的经营节点，开通具体功能依平台规则办理。</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154"/>
        <w:gridCol w:w="3515"/>
        <w:gridCol w:w="3798"/>
      </w:tblGrid>
      <w:tr>
        <w:trPr>
          <w:cantSplit/>
          <w:tblHeader/>
        </w:trPr>
        <w:tc>
          <w:tcPr>
            <w:tcW w:type="dxa" w:w="2154"/>
            <w:vAlign w:val="center"/>
            <w:shd w:fill="153E49"/>
            <w:tcMar>
              <w:top w:w="80" w:type="dxa"/>
              <w:left w:w="80" w:type="dxa"/>
              <w:bottom w:w="80" w:type="dxa"/>
              <w:right w:w="80" w:type="dxa"/>
            </w:tcMar>
          </w:tcPr>
          <w:p>
            <w:pPr>
              <w:spacing w:after="20" w:before="20" w:line="269" w:lineRule="auto"/>
            </w:pPr>
            <w:r>
              <w:rPr>
                <w:rFonts w:ascii="Microsoft YaHei" w:hAnsi="Microsoft YaHei" w:eastAsia="Microsoft YaHei"/>
                <w:b/>
                <w:color w:val="FFFFFF"/>
                <w:sz w:val="18"/>
              </w:rPr>
              <w:t>发展阶段</w:t>
            </w:r>
          </w:p>
        </w:tc>
        <w:tc>
          <w:tcPr>
            <w:tcW w:type="dxa" w:w="3515"/>
            <w:vAlign w:val="center"/>
            <w:shd w:fill="153E49"/>
            <w:tcMar>
              <w:top w:w="80" w:type="dxa"/>
              <w:left w:w="80" w:type="dxa"/>
              <w:bottom w:w="80" w:type="dxa"/>
              <w:right w:w="80" w:type="dxa"/>
            </w:tcMar>
          </w:tcPr>
          <w:p>
            <w:pPr>
              <w:spacing w:after="20" w:before="20" w:line="269" w:lineRule="auto"/>
            </w:pPr>
            <w:r>
              <w:rPr>
                <w:rFonts w:ascii="Microsoft YaHei" w:hAnsi="Microsoft YaHei" w:eastAsia="Microsoft YaHei"/>
                <w:b/>
                <w:color w:val="FFFFFF"/>
                <w:sz w:val="18"/>
              </w:rPr>
              <w:t>收入方式</w:t>
            </w:r>
          </w:p>
        </w:tc>
        <w:tc>
          <w:tcPr>
            <w:tcW w:type="dxa" w:w="3798"/>
            <w:vAlign w:val="center"/>
            <w:shd w:fill="153E49"/>
            <w:tcMar>
              <w:top w:w="80" w:type="dxa"/>
              <w:left w:w="80" w:type="dxa"/>
              <w:bottom w:w="80" w:type="dxa"/>
              <w:right w:w="80" w:type="dxa"/>
            </w:tcMar>
          </w:tcPr>
          <w:p>
            <w:pPr>
              <w:spacing w:after="20" w:before="20" w:line="269" w:lineRule="auto"/>
            </w:pPr>
            <w:r>
              <w:rPr>
                <w:rFonts w:ascii="Microsoft YaHei" w:hAnsi="Microsoft YaHei" w:eastAsia="Microsoft YaHei"/>
                <w:b/>
                <w:color w:val="FFFFFF"/>
                <w:sz w:val="18"/>
              </w:rPr>
              <w:t>配套工作</w:t>
            </w:r>
          </w:p>
        </w:tc>
      </w:tr>
      <w:tr>
        <w:trPr>
          <w:cantSplit/>
        </w:trPr>
        <w:tc>
          <w:tcPr>
            <w:tcW w:type="dxa" w:w="2154"/>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起步至2.5万粉丝</w:t>
            </w:r>
          </w:p>
        </w:tc>
        <w:tc>
          <w:tcPr>
            <w:tcW w:type="dxa" w:w="3515"/>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直播礼物、打赏及适合的平台内容激励。</w:t>
            </w:r>
          </w:p>
        </w:tc>
        <w:tc>
          <w:tcPr>
            <w:tcW w:type="dxa" w:w="3798"/>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固定开播、基础社群和持续切片，建立到账与支出记录。</w:t>
            </w:r>
          </w:p>
        </w:tc>
      </w:tr>
      <w:tr>
        <w:trPr>
          <w:cantSplit/>
        </w:trPr>
        <w:tc>
          <w:tcPr>
            <w:tcW w:type="dxa" w:w="2154"/>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2.5万至10万粉丝</w:t>
            </w:r>
          </w:p>
        </w:tc>
        <w:tc>
          <w:tcPr>
            <w:tcW w:type="dxa" w:w="3515"/>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继续积累直播收入，准备会员与周边方案。</w:t>
            </w:r>
          </w:p>
        </w:tc>
        <w:tc>
          <w:tcPr>
            <w:tcW w:type="dxa" w:w="3798"/>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提升回访，调研付费意愿、权益偏好和商品需求。</w:t>
            </w:r>
          </w:p>
        </w:tc>
      </w:tr>
      <w:tr>
        <w:trPr>
          <w:cantSplit/>
        </w:trPr>
        <w:tc>
          <w:tcPr>
            <w:tcW w:type="dxa" w:w="2154"/>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约10万粉丝后</w:t>
            </w:r>
          </w:p>
        </w:tc>
        <w:tc>
          <w:tcPr>
            <w:tcW w:type="dxa" w:w="3515"/>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月度会员、纪念周边、内容合作与品牌联动。</w:t>
            </w:r>
          </w:p>
        </w:tc>
        <w:tc>
          <w:tcPr>
            <w:tcW w:type="dxa" w:w="3798"/>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推出清晰权益，预售控制备货，筛选契合角色的合作。</w:t>
            </w:r>
          </w:p>
        </w:tc>
      </w:tr>
      <w:tr>
        <w:trPr>
          <w:cantSplit/>
        </w:trPr>
        <w:tc>
          <w:tcPr>
            <w:tcW w:type="dxa" w:w="2154"/>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影响力持续扩大</w:t>
            </w:r>
          </w:p>
        </w:tc>
        <w:tc>
          <w:tcPr>
            <w:tcW w:type="dxa" w:w="3515"/>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跨主播联动、游戏推广、角色联动与IP授权。</w:t>
            </w:r>
          </w:p>
        </w:tc>
        <w:tc>
          <w:tcPr>
            <w:tcW w:type="dxa" w:w="3798"/>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整理品牌资料、授权范围、内容样片和社群活动数据。</w:t>
            </w:r>
          </w:p>
        </w:tc>
      </w:tr>
    </w:tbl>
    <w:p>
      <w:pPr>
        <w:spacing w:after="20"/>
      </w:pPr>
    </w:p>
    <w:p>
      <w:pPr>
        <w:pStyle w:val="Heading2"/>
      </w:pPr>
      <w:r>
        <w:t>会员和周边围绕共同经历设计</w:t>
      </w:r>
    </w:p>
    <w:p>
      <w:pPr>
        <w:widowControl/>
      </w:pPr>
      <w:r>
        <w:rPr>
          <w:b w:val="0"/>
        </w:rPr>
        <w:t>会员可围绕表情、纪念徽章、月度幕后内容和活动参与感展开；观众可以持续享受公开节目。周边优先从角色立牌、徽章和纪念卡等小批量产品开始，结合首播、阶段目标和直播名场面设计，采用预售和明确交付时间管理库存。</w:t>
      </w:r>
    </w:p>
    <w:p>
      <w:pPr>
        <w:pStyle w:val="Heading2"/>
      </w:pPr>
      <w:r>
        <w:t>品牌与游戏合作的价值</w:t>
      </w:r>
    </w:p>
    <w:p>
      <w:pPr>
        <w:widowControl/>
      </w:pPr>
      <w:r>
        <w:rPr>
          <w:b w:val="0"/>
        </w:rPr>
        <w:t>合作方看重角色风格与目标人群是否契合、观众是否参与，以及传播能否形成完整内容。团队将持续整理观众画像、切片表现、活动效果和素材权利清单，提供游戏体验回、主题栏目、联合挑战和角色授权等合作方案。合作报价随实际数据和项目范围制定。</w:t>
      </w:r>
    </w:p>
    <w:p>
      <w:pPr>
        <w:pStyle w:val="Heading2"/>
      </w:pPr>
      <w:r>
        <w:t>收入管理</w:t>
      </w:r>
    </w:p>
    <w:p>
      <w:pPr>
        <w:widowControl/>
      </w:pPr>
      <w:r>
        <w:rPr>
          <w:b w:val="0"/>
        </w:rPr>
        <w:t>直播打赏和会员按平台到账口径记录，周边分别记录销售、制作、包装和履约支出，商业合作按合同节点收款。每月复盘收入来源、支出和观众体验，将可用资金优先投入有效的内容与社群运营。</w:t>
      </w:r>
    </w:p>
    <w:p>
      <w:r>
        <w:br w:type="page"/>
      </w:r>
    </w:p>
    <w:p>
      <w:pPr>
        <w:pStyle w:val="Heading1"/>
      </w:pPr>
      <w:r>
        <w:t>十一 实施路线与IP合作</w:t>
      </w:r>
    </w:p>
    <w:p>
      <w:pPr>
        <w:widowControl/>
      </w:pPr>
      <w:r>
        <w:rPr>
          <w:b w:val="0"/>
        </w:rPr>
        <w:t>项目按开发完成、节目成形、社群沉淀、粉丝增长、联动扩圈的顺序推进。技术与运营负责人共同决定每个阶段的完成情况，让研发进展持续转化为观众能感受到的内容。</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211"/>
        <w:gridCol w:w="3798"/>
        <w:gridCol w:w="3458"/>
      </w:tblGrid>
      <w:tr>
        <w:trPr>
          <w:cantSplit/>
          <w:tblHeader/>
        </w:trPr>
        <w:tc>
          <w:tcPr>
            <w:tcW w:type="dxa" w:w="2211"/>
            <w:vAlign w:val="center"/>
            <w:shd w:fill="153E49"/>
            <w:tcMar>
              <w:top w:w="80" w:type="dxa"/>
              <w:left w:w="80" w:type="dxa"/>
              <w:bottom w:w="80" w:type="dxa"/>
              <w:right w:w="80" w:type="dxa"/>
            </w:tcMar>
          </w:tcPr>
          <w:p>
            <w:pPr>
              <w:spacing w:after="20" w:before="20" w:line="269" w:lineRule="auto"/>
            </w:pPr>
            <w:r>
              <w:rPr>
                <w:rFonts w:ascii="Microsoft YaHei" w:hAnsi="Microsoft YaHei" w:eastAsia="Microsoft YaHei"/>
                <w:b/>
                <w:color w:val="FFFFFF"/>
                <w:sz w:val="18"/>
              </w:rPr>
              <w:t>阶段</w:t>
            </w:r>
          </w:p>
        </w:tc>
        <w:tc>
          <w:tcPr>
            <w:tcW w:type="dxa" w:w="3798"/>
            <w:vAlign w:val="center"/>
            <w:shd w:fill="153E49"/>
            <w:tcMar>
              <w:top w:w="80" w:type="dxa"/>
              <w:left w:w="80" w:type="dxa"/>
              <w:bottom w:w="80" w:type="dxa"/>
              <w:right w:w="80" w:type="dxa"/>
            </w:tcMar>
          </w:tcPr>
          <w:p>
            <w:pPr>
              <w:spacing w:after="20" w:before="20" w:line="269" w:lineRule="auto"/>
            </w:pPr>
            <w:r>
              <w:rPr>
                <w:rFonts w:ascii="Microsoft YaHei" w:hAnsi="Microsoft YaHei" w:eastAsia="Microsoft YaHei"/>
                <w:b/>
                <w:color w:val="FFFFFF"/>
                <w:sz w:val="18"/>
              </w:rPr>
              <w:t>工作重点</w:t>
            </w:r>
          </w:p>
        </w:tc>
        <w:tc>
          <w:tcPr>
            <w:tcW w:type="dxa" w:w="3458"/>
            <w:vAlign w:val="center"/>
            <w:shd w:fill="153E49"/>
            <w:tcMar>
              <w:top w:w="80" w:type="dxa"/>
              <w:left w:w="80" w:type="dxa"/>
              <w:bottom w:w="80" w:type="dxa"/>
              <w:right w:w="80" w:type="dxa"/>
            </w:tcMar>
          </w:tcPr>
          <w:p>
            <w:pPr>
              <w:spacing w:after="20" w:before="20" w:line="269" w:lineRule="auto"/>
            </w:pPr>
            <w:r>
              <w:rPr>
                <w:rFonts w:ascii="Microsoft YaHei" w:hAnsi="Microsoft YaHei" w:eastAsia="Microsoft YaHei"/>
                <w:b/>
                <w:color w:val="FFFFFF"/>
                <w:sz w:val="18"/>
              </w:rPr>
              <w:t>阶段成果</w:t>
            </w:r>
          </w:p>
        </w:tc>
      </w:tr>
      <w:tr>
        <w:trPr>
          <w:cantSplit/>
        </w:trPr>
        <w:tc>
          <w:tcPr>
            <w:tcW w:type="dxa" w:w="2211"/>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开发与内部试播</w:t>
            </w:r>
          </w:p>
        </w:tc>
        <w:tc>
          <w:tcPr>
            <w:tcW w:type="dxa" w:w="3798"/>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完善人物、音频、原创原画和Live2D；招募校内观众评价吸引力。</w:t>
            </w:r>
          </w:p>
        </w:tc>
        <w:tc>
          <w:tcPr>
            <w:tcW w:type="dxa" w:w="3458"/>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3场样例、观看反馈、首批切片和完整开播流程。</w:t>
            </w:r>
          </w:p>
        </w:tc>
      </w:tr>
      <w:tr>
        <w:trPr>
          <w:cantSplit/>
        </w:trPr>
        <w:tc>
          <w:tcPr>
            <w:tcW w:type="dxa" w:w="2211"/>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公开运营第1至3个月</w:t>
            </w:r>
          </w:p>
        </w:tc>
        <w:tc>
          <w:tcPr>
            <w:tcW w:type="dxa" w:w="3798"/>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每周五天开播，稳定切片发布，维护粉丝社群。</w:t>
            </w:r>
          </w:p>
        </w:tc>
        <w:tc>
          <w:tcPr>
            <w:tcW w:type="dxa" w:w="3458"/>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争取2.5万关注，形成有辨识度的栏目与回访习惯。</w:t>
            </w:r>
          </w:p>
        </w:tc>
      </w:tr>
      <w:tr>
        <w:trPr>
          <w:cantSplit/>
        </w:trPr>
        <w:tc>
          <w:tcPr>
            <w:tcW w:type="dxa" w:w="2211"/>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第4至6个月</w:t>
            </w:r>
          </w:p>
        </w:tc>
        <w:tc>
          <w:tcPr>
            <w:tcW w:type="dxa" w:w="3798"/>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优化有效栏目，扩大切片传播，开展同量级主播互动。</w:t>
            </w:r>
          </w:p>
        </w:tc>
        <w:tc>
          <w:tcPr>
            <w:tcW w:type="dxa" w:w="3458"/>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争取10万主阵地关注，形成会员与周边需求清单。</w:t>
            </w:r>
          </w:p>
        </w:tc>
      </w:tr>
      <w:tr>
        <w:trPr>
          <w:cantSplit/>
        </w:trPr>
        <w:tc>
          <w:tcPr>
            <w:tcW w:type="dxa" w:w="2211"/>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第7至9个月</w:t>
            </w:r>
          </w:p>
        </w:tc>
        <w:tc>
          <w:tcPr>
            <w:tcW w:type="dxa" w:w="3798"/>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推出会员和首批预售周边，测试双语切片与主题合作。</w:t>
            </w:r>
          </w:p>
        </w:tc>
        <w:tc>
          <w:tcPr>
            <w:tcW w:type="dxa" w:w="3458"/>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验证付费反馈、履约和海外内容吸引力。</w:t>
            </w:r>
          </w:p>
        </w:tc>
      </w:tr>
      <w:tr>
        <w:trPr>
          <w:cantSplit/>
        </w:trPr>
        <w:tc>
          <w:tcPr>
            <w:tcW w:type="dxa" w:w="2211"/>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第10至12个月</w:t>
            </w:r>
          </w:p>
        </w:tc>
        <w:tc>
          <w:tcPr>
            <w:tcW w:type="dxa" w:w="3798"/>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复用有效联动，积累品牌合作案例和游戏授权资料。</w:t>
            </w:r>
          </w:p>
        </w:tc>
        <w:tc>
          <w:tcPr>
            <w:tcW w:type="dxa" w:w="3458"/>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争取15万关注，持续改善运营收支并扩大IP影响力。</w:t>
            </w:r>
          </w:p>
        </w:tc>
      </w:tr>
    </w:tbl>
    <w:p>
      <w:pPr>
        <w:spacing w:after="20"/>
      </w:pPr>
    </w:p>
    <w:p>
      <w:pPr>
        <w:pStyle w:val="Heading2"/>
      </w:pPr>
      <w:r>
        <w:t>虚环体现的跨媒介机会</w:t>
      </w:r>
    </w:p>
    <w:p>
      <w:pPr>
        <w:widowControl/>
      </w:pPr>
      <w:r>
        <w:rPr>
          <w:b w:val="0"/>
        </w:rPr>
        <w:t>腾讯公开招聘资料将《虚环》列为3D动作策略游戏，官方实机视频把现实中的虚拟主播放入平行世界，发展为能够组队养成和参与战斗的偶像角色。[S8] 这条路径表明，直播中的人物、共同记忆和社群文化可以继续延伸到游戏世界。</w:t>
      </w:r>
    </w:p>
    <w:p>
      <w:pPr>
        <w:widowControl/>
      </w:pPr>
      <w:r>
        <w:rPr>
          <w:b w:val="0"/>
        </w:rPr>
        <w:t>姬岁歌的长期规划是先积累稳定受众和明确的角色特征，再争取主播联动、游戏推广、活动客串，逐步发展到角色联动与授权。约10万粉丝后开始系统准备合作资料，粉丝规模、活跃度、角色契合度和项目档期共同决定具体机会。团队将主动接触虚拟娱乐与游戏项目，寻找适合姬岁歌的合作位置。</w:t>
      </w:r>
    </w:p>
    <w:p>
      <w:pPr>
        <w:pStyle w:val="Heading2"/>
      </w:pPr>
      <w:r>
        <w:t>联动继续带动内容与社群</w:t>
      </w:r>
    </w:p>
    <w:p>
      <w:pPr>
        <w:widowControl/>
      </w:pPr>
      <w:r>
        <w:rPr>
          <w:b w:val="0"/>
        </w:rPr>
        <w:t>每次合作都围绕一个观众能参与的主题，产出直播、重点切片和社群活动。新观众通过合作认识角色，老观众通过共同经历增强参与感，新的内容再带来下一轮传播，让影响力持续累积。</w:t>
      </w:r>
    </w:p>
    <w:p>
      <w:r>
        <w:br w:type="page"/>
      </w:r>
    </w:p>
    <w:p>
      <w:pPr>
        <w:pStyle w:val="Heading1"/>
      </w:pPr>
      <w:r>
        <w:t>十二 团队组织与分工</w:t>
      </w:r>
    </w:p>
    <w:p>
      <w:pPr>
        <w:widowControl/>
      </w:pPr>
      <w:r>
        <w:rPr>
          <w:b w:val="0"/>
        </w:rPr>
        <w:t>杨若朝负责技术开发与关键版本验收。姬祥担任项目负责人，负责项目管理，协调研发、视觉、音频和运营排期。团队成员的工作围绕同一场节目衔接，开发结果进入试播，观众反馈进入下一轮制作。</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474"/>
        <w:gridCol w:w="2948"/>
        <w:gridCol w:w="5046"/>
      </w:tblGrid>
      <w:tr>
        <w:trPr>
          <w:cantSplit/>
          <w:tblHeader/>
        </w:trPr>
        <w:tc>
          <w:tcPr>
            <w:tcW w:type="dxa" w:w="1474"/>
            <w:vAlign w:val="center"/>
            <w:shd w:fill="153E49"/>
            <w:tcMar>
              <w:top w:w="80" w:type="dxa"/>
              <w:left w:w="80" w:type="dxa"/>
              <w:bottom w:w="80" w:type="dxa"/>
              <w:right w:w="80" w:type="dxa"/>
            </w:tcMar>
          </w:tcPr>
          <w:p>
            <w:pPr>
              <w:spacing w:after="20" w:before="20" w:line="269" w:lineRule="auto"/>
              <w:jc w:val="center"/>
            </w:pPr>
            <w:r>
              <w:rPr>
                <w:rFonts w:ascii="Microsoft YaHei" w:hAnsi="Microsoft YaHei" w:eastAsia="Microsoft YaHei"/>
                <w:b/>
                <w:color w:val="FFFFFF"/>
                <w:sz w:val="18"/>
              </w:rPr>
              <w:t>成员</w:t>
            </w:r>
          </w:p>
        </w:tc>
        <w:tc>
          <w:tcPr>
            <w:tcW w:type="dxa" w:w="2948"/>
            <w:vAlign w:val="center"/>
            <w:shd w:fill="153E49"/>
            <w:tcMar>
              <w:top w:w="80" w:type="dxa"/>
              <w:left w:w="80" w:type="dxa"/>
              <w:bottom w:w="80" w:type="dxa"/>
              <w:right w:w="80" w:type="dxa"/>
            </w:tcMar>
          </w:tcPr>
          <w:p>
            <w:pPr>
              <w:spacing w:after="20" w:before="20" w:line="269" w:lineRule="auto"/>
            </w:pPr>
            <w:r>
              <w:rPr>
                <w:rFonts w:ascii="Microsoft YaHei" w:hAnsi="Microsoft YaHei" w:eastAsia="Microsoft YaHei"/>
                <w:b/>
                <w:color w:val="FFFFFF"/>
                <w:sz w:val="18"/>
              </w:rPr>
              <w:t>职责</w:t>
            </w:r>
          </w:p>
        </w:tc>
        <w:tc>
          <w:tcPr>
            <w:tcW w:type="dxa" w:w="5046"/>
            <w:vAlign w:val="center"/>
            <w:shd w:fill="153E49"/>
            <w:tcMar>
              <w:top w:w="80" w:type="dxa"/>
              <w:left w:w="80" w:type="dxa"/>
              <w:bottom w:w="80" w:type="dxa"/>
              <w:right w:w="80" w:type="dxa"/>
            </w:tcMar>
          </w:tcPr>
          <w:p>
            <w:pPr>
              <w:spacing w:after="20" w:before="20" w:line="269" w:lineRule="auto"/>
            </w:pPr>
            <w:r>
              <w:rPr>
                <w:rFonts w:ascii="Microsoft YaHei" w:hAnsi="Microsoft YaHei" w:eastAsia="Microsoft YaHei"/>
                <w:b/>
                <w:color w:val="FFFFFF"/>
                <w:sz w:val="18"/>
              </w:rPr>
              <w:t>主要交付</w:t>
            </w:r>
          </w:p>
        </w:tc>
      </w:tr>
      <w:tr>
        <w:trPr>
          <w:cantSplit/>
        </w:trPr>
        <w:tc>
          <w:tcPr>
            <w:tcW w:type="dxa" w:w="1474"/>
            <w:vAlign w:val="center"/>
            <w:shd w:fill="FFFFFF"/>
            <w:tcMar>
              <w:top w:w="80" w:type="dxa"/>
              <w:left w:w="80" w:type="dxa"/>
              <w:bottom w:w="80" w:type="dxa"/>
              <w:right w:w="80" w:type="dxa"/>
            </w:tcMar>
          </w:tcPr>
          <w:p>
            <w:pPr>
              <w:spacing w:after="20" w:before="20" w:line="269" w:lineRule="auto"/>
              <w:jc w:val="center"/>
            </w:pPr>
            <w:r>
              <w:rPr>
                <w:rFonts w:ascii="Microsoft YaHei" w:hAnsi="Microsoft YaHei" w:eastAsia="Microsoft YaHei"/>
                <w:b w:val="0"/>
                <w:color w:val="172B34"/>
                <w:sz w:val="18"/>
              </w:rPr>
              <w:t>杨若朝</w:t>
            </w:r>
          </w:p>
        </w:tc>
        <w:tc>
          <w:tcPr>
            <w:tcW w:type="dxa" w:w="2948"/>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项目负责人 技术开发</w:t>
            </w:r>
          </w:p>
        </w:tc>
        <w:tc>
          <w:tcPr>
            <w:tcW w:type="dxa" w:w="5046"/>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技术路线、核心系统、外部资源协调与关键版本验收。</w:t>
            </w:r>
          </w:p>
        </w:tc>
      </w:tr>
      <w:tr>
        <w:trPr>
          <w:cantSplit/>
        </w:trPr>
        <w:tc>
          <w:tcPr>
            <w:tcW w:type="dxa" w:w="1474"/>
            <w:vAlign w:val="center"/>
            <w:shd w:fill="F2F6F7"/>
            <w:tcMar>
              <w:top w:w="80" w:type="dxa"/>
              <w:left w:w="80" w:type="dxa"/>
              <w:bottom w:w="80" w:type="dxa"/>
              <w:right w:w="80" w:type="dxa"/>
            </w:tcMar>
          </w:tcPr>
          <w:p>
            <w:pPr>
              <w:spacing w:after="20" w:before="20" w:line="269" w:lineRule="auto"/>
              <w:jc w:val="center"/>
            </w:pPr>
            <w:r>
              <w:rPr>
                <w:rFonts w:ascii="Microsoft YaHei" w:hAnsi="Microsoft YaHei" w:eastAsia="Microsoft YaHei"/>
                <w:b w:val="0"/>
                <w:color w:val="172B34"/>
                <w:sz w:val="18"/>
              </w:rPr>
              <w:t>姬祥</w:t>
            </w:r>
          </w:p>
        </w:tc>
        <w:tc>
          <w:tcPr>
            <w:tcW w:type="dxa" w:w="2948"/>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项目负责人 项目管理</w:t>
            </w:r>
          </w:p>
        </w:tc>
        <w:tc>
          <w:tcPr>
            <w:tcW w:type="dxa" w:w="5046"/>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里程碑、轮值和跨工作线协调，组织试播与复盘。</w:t>
            </w:r>
          </w:p>
        </w:tc>
      </w:tr>
      <w:tr>
        <w:trPr>
          <w:cantSplit/>
        </w:trPr>
        <w:tc>
          <w:tcPr>
            <w:tcW w:type="dxa" w:w="1474"/>
            <w:vAlign w:val="center"/>
            <w:shd w:fill="FFFFFF"/>
            <w:tcMar>
              <w:top w:w="80" w:type="dxa"/>
              <w:left w:w="80" w:type="dxa"/>
              <w:bottom w:w="80" w:type="dxa"/>
              <w:right w:w="80" w:type="dxa"/>
            </w:tcMar>
          </w:tcPr>
          <w:p>
            <w:pPr>
              <w:spacing w:after="20" w:before="20" w:line="269" w:lineRule="auto"/>
              <w:jc w:val="center"/>
            </w:pPr>
            <w:r>
              <w:rPr>
                <w:rFonts w:ascii="Microsoft YaHei" w:hAnsi="Microsoft YaHei" w:eastAsia="Microsoft YaHei"/>
                <w:b w:val="0"/>
                <w:color w:val="172B34"/>
                <w:sz w:val="18"/>
              </w:rPr>
              <w:t>徐嘉盛</w:t>
            </w:r>
          </w:p>
        </w:tc>
        <w:tc>
          <w:tcPr>
            <w:tcW w:type="dxa" w:w="2948"/>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技术开发</w:t>
            </w:r>
          </w:p>
        </w:tc>
        <w:tc>
          <w:tcPr>
            <w:tcW w:type="dxa" w:w="5046"/>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模型与工具接入、游戏执行、系统联调。</w:t>
            </w:r>
          </w:p>
        </w:tc>
      </w:tr>
      <w:tr>
        <w:trPr>
          <w:cantSplit/>
        </w:trPr>
        <w:tc>
          <w:tcPr>
            <w:tcW w:type="dxa" w:w="1474"/>
            <w:vAlign w:val="center"/>
            <w:shd w:fill="F2F6F7"/>
            <w:tcMar>
              <w:top w:w="80" w:type="dxa"/>
              <w:left w:w="80" w:type="dxa"/>
              <w:bottom w:w="80" w:type="dxa"/>
              <w:right w:w="80" w:type="dxa"/>
            </w:tcMar>
          </w:tcPr>
          <w:p>
            <w:pPr>
              <w:spacing w:after="20" w:before="20" w:line="269" w:lineRule="auto"/>
              <w:jc w:val="center"/>
            </w:pPr>
            <w:r>
              <w:rPr>
                <w:rFonts w:ascii="Microsoft YaHei" w:hAnsi="Microsoft YaHei" w:eastAsia="Microsoft YaHei"/>
                <w:b w:val="0"/>
                <w:color w:val="172B34"/>
                <w:sz w:val="18"/>
              </w:rPr>
              <w:t>李岱松</w:t>
            </w:r>
          </w:p>
        </w:tc>
        <w:tc>
          <w:tcPr>
            <w:tcW w:type="dxa" w:w="2948"/>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技术开发</w:t>
            </w:r>
          </w:p>
        </w:tc>
        <w:tc>
          <w:tcPr>
            <w:tcW w:type="dxa" w:w="5046"/>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状态与工作台功能、部署维护、测试和异常定位。</w:t>
            </w:r>
          </w:p>
        </w:tc>
      </w:tr>
      <w:tr>
        <w:trPr>
          <w:cantSplit/>
        </w:trPr>
        <w:tc>
          <w:tcPr>
            <w:tcW w:type="dxa" w:w="1474"/>
            <w:vAlign w:val="center"/>
            <w:shd w:fill="FFFFFF"/>
            <w:tcMar>
              <w:top w:w="80" w:type="dxa"/>
              <w:left w:w="80" w:type="dxa"/>
              <w:bottom w:w="80" w:type="dxa"/>
              <w:right w:w="80" w:type="dxa"/>
            </w:tcMar>
          </w:tcPr>
          <w:p>
            <w:pPr>
              <w:spacing w:after="20" w:before="20" w:line="269" w:lineRule="auto"/>
              <w:jc w:val="center"/>
            </w:pPr>
            <w:r>
              <w:rPr>
                <w:rFonts w:ascii="Microsoft YaHei" w:hAnsi="Microsoft YaHei" w:eastAsia="Microsoft YaHei"/>
                <w:b w:val="0"/>
                <w:color w:val="172B34"/>
                <w:sz w:val="18"/>
              </w:rPr>
              <w:t>刘瑞麒</w:t>
            </w:r>
          </w:p>
        </w:tc>
        <w:tc>
          <w:tcPr>
            <w:tcW w:type="dxa" w:w="2948"/>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AI人格化开发与运营</w:t>
            </w:r>
          </w:p>
        </w:tc>
        <w:tc>
          <w:tcPr>
            <w:tcW w:type="dxa" w:w="5046"/>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双人格表达、记忆与节目体验、日常社群维护。</w:t>
            </w:r>
          </w:p>
        </w:tc>
      </w:tr>
      <w:tr>
        <w:trPr>
          <w:cantSplit/>
        </w:trPr>
        <w:tc>
          <w:tcPr>
            <w:tcW w:type="dxa" w:w="1474"/>
            <w:vAlign w:val="center"/>
            <w:shd w:fill="F2F6F7"/>
            <w:tcMar>
              <w:top w:w="80" w:type="dxa"/>
              <w:left w:w="80" w:type="dxa"/>
              <w:bottom w:w="80" w:type="dxa"/>
              <w:right w:w="80" w:type="dxa"/>
            </w:tcMar>
          </w:tcPr>
          <w:p>
            <w:pPr>
              <w:spacing w:after="20" w:before="20" w:line="269" w:lineRule="auto"/>
              <w:jc w:val="center"/>
            </w:pPr>
            <w:r>
              <w:rPr>
                <w:rFonts w:ascii="Microsoft YaHei" w:hAnsi="Microsoft YaHei" w:eastAsia="Microsoft YaHei"/>
                <w:b w:val="0"/>
                <w:color w:val="172B34"/>
                <w:sz w:val="18"/>
              </w:rPr>
              <w:t>张涵</w:t>
            </w:r>
          </w:p>
        </w:tc>
        <w:tc>
          <w:tcPr>
            <w:tcW w:type="dxa" w:w="2948"/>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市场调研与运营</w:t>
            </w:r>
          </w:p>
        </w:tc>
        <w:tc>
          <w:tcPr>
            <w:tcW w:type="dxa" w:w="5046"/>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校内调研、竞品跟踪、观众分析、活动与增长。</w:t>
            </w:r>
          </w:p>
        </w:tc>
      </w:tr>
      <w:tr>
        <w:trPr>
          <w:cantSplit/>
        </w:trPr>
        <w:tc>
          <w:tcPr>
            <w:tcW w:type="dxa" w:w="1474"/>
            <w:vAlign w:val="center"/>
            <w:shd w:fill="FFFFFF"/>
            <w:tcMar>
              <w:top w:w="80" w:type="dxa"/>
              <w:left w:w="80" w:type="dxa"/>
              <w:bottom w:w="80" w:type="dxa"/>
              <w:right w:w="80" w:type="dxa"/>
            </w:tcMar>
          </w:tcPr>
          <w:p>
            <w:pPr>
              <w:spacing w:after="20" w:before="20" w:line="269" w:lineRule="auto"/>
              <w:jc w:val="center"/>
            </w:pPr>
            <w:r>
              <w:rPr>
                <w:rFonts w:ascii="Microsoft YaHei" w:hAnsi="Microsoft YaHei" w:eastAsia="Microsoft YaHei"/>
                <w:b w:val="0"/>
                <w:color w:val="172B34"/>
                <w:sz w:val="18"/>
              </w:rPr>
              <w:t>肖鹏希</w:t>
            </w:r>
          </w:p>
        </w:tc>
        <w:tc>
          <w:tcPr>
            <w:tcW w:type="dxa" w:w="2948"/>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音频模型微调</w:t>
            </w:r>
          </w:p>
        </w:tc>
        <w:tc>
          <w:tcPr>
            <w:tcW w:type="dxa" w:w="5046"/>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声线与语音模型调试、自然度和稳定性评测。</w:t>
            </w:r>
          </w:p>
        </w:tc>
      </w:tr>
      <w:tr>
        <w:trPr>
          <w:cantSplit/>
        </w:trPr>
        <w:tc>
          <w:tcPr>
            <w:tcW w:type="dxa" w:w="1474"/>
            <w:vAlign w:val="center"/>
            <w:shd w:fill="F2F6F7"/>
            <w:tcMar>
              <w:top w:w="80" w:type="dxa"/>
              <w:left w:w="80" w:type="dxa"/>
              <w:bottom w:w="80" w:type="dxa"/>
              <w:right w:w="80" w:type="dxa"/>
            </w:tcMar>
          </w:tcPr>
          <w:p>
            <w:pPr>
              <w:spacing w:after="20" w:before="20" w:line="269" w:lineRule="auto"/>
              <w:jc w:val="center"/>
            </w:pPr>
            <w:r>
              <w:rPr>
                <w:rFonts w:ascii="Microsoft YaHei" w:hAnsi="Microsoft YaHei" w:eastAsia="Microsoft YaHei"/>
                <w:b w:val="0"/>
                <w:color w:val="172B34"/>
                <w:sz w:val="18"/>
              </w:rPr>
              <w:t>吴越</w:t>
            </w:r>
          </w:p>
        </w:tc>
        <w:tc>
          <w:tcPr>
            <w:tcW w:type="dxa" w:w="2948"/>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人物原画 Live2D形象</w:t>
            </w:r>
          </w:p>
        </w:tc>
        <w:tc>
          <w:tcPr>
            <w:tcW w:type="dxa" w:w="5046"/>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角色原画、模型制作协作、表情及直播形象落地。</w:t>
            </w:r>
          </w:p>
        </w:tc>
      </w:tr>
      <w:tr>
        <w:trPr>
          <w:cantSplit/>
        </w:trPr>
        <w:tc>
          <w:tcPr>
            <w:tcW w:type="dxa" w:w="1474"/>
            <w:vAlign w:val="center"/>
            <w:shd w:fill="FFFFFF"/>
            <w:tcMar>
              <w:top w:w="80" w:type="dxa"/>
              <w:left w:w="80" w:type="dxa"/>
              <w:bottom w:w="80" w:type="dxa"/>
              <w:right w:w="80" w:type="dxa"/>
            </w:tcMar>
          </w:tcPr>
          <w:p>
            <w:pPr>
              <w:spacing w:after="20" w:before="20" w:line="269" w:lineRule="auto"/>
              <w:jc w:val="center"/>
            </w:pPr>
            <w:r>
              <w:rPr>
                <w:rFonts w:ascii="Microsoft YaHei" w:hAnsi="Microsoft YaHei" w:eastAsia="Microsoft YaHei"/>
                <w:b w:val="0"/>
                <w:color w:val="172B34"/>
                <w:sz w:val="18"/>
              </w:rPr>
              <w:t>张乐溪</w:t>
            </w:r>
          </w:p>
        </w:tc>
        <w:tc>
          <w:tcPr>
            <w:tcW w:type="dxa" w:w="2948"/>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视频切片剪辑</w:t>
            </w:r>
          </w:p>
        </w:tc>
        <w:tc>
          <w:tcPr>
            <w:tcW w:type="dxa" w:w="5046"/>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高光筛选、重点视频与竖屏版本、封面和系列包装。</w:t>
            </w:r>
          </w:p>
        </w:tc>
      </w:tr>
    </w:tbl>
    <w:p>
      <w:pPr>
        <w:spacing w:after="20"/>
      </w:pPr>
    </w:p>
    <w:p>
      <w:pPr>
        <w:pStyle w:val="Heading2"/>
      </w:pPr>
      <w:r>
        <w:t>工作节奏</w:t>
      </w:r>
    </w:p>
    <w:p>
      <w:pPr>
        <w:widowControl/>
      </w:pPr>
      <w:r>
        <w:rPr>
          <w:b w:val="0"/>
        </w:rPr>
        <w:t>每周一次项目会确认本周节目、内容和版本，每场直播后完成简短复盘。研发问题按对观看体验的影响排序，运营问题按观众反馈与数据排序。项目管理维护任务清单、素材目录、版本和负责人，重要变更在试播中验证。</w:t>
      </w:r>
    </w:p>
    <w:p>
      <w:pPr>
        <w:pStyle w:val="Heading2"/>
      </w:pPr>
      <w:r>
        <w:t>创业组织与成果管理</w:t>
      </w:r>
    </w:p>
    <w:p>
      <w:pPr>
        <w:widowControl/>
      </w:pPr>
      <w:r>
        <w:rPr>
          <w:b w:val="0"/>
        </w:rPr>
        <w:t>团队当前处于未注册、未获得机构投资的种子阶段。随着公开运营及合作推进，逐步明确公司设立、成员投入、知识产权归属和收益分配。报名材料随附杨若朝的清华参赛身份、实际职责及团队权益安排，满足主办方资格审核要求。</w:t>
      </w:r>
    </w:p>
    <w:p>
      <w:r>
        <w:br w:type="page"/>
      </w:r>
    </w:p>
    <w:p>
      <w:pPr>
        <w:pStyle w:val="Heading1"/>
      </w:pPr>
      <w:r>
        <w:t>十三 年度运营预算</w:t>
      </w:r>
    </w:p>
    <w:p>
      <w:pPr>
        <w:widowControl/>
      </w:pPr>
      <w:r>
        <w:rPr>
          <w:b w:val="0"/>
        </w:rPr>
        <w:t>年度预算围绕一个角色IP的持续经营编制，分别管理首播资产与日常运营现金。模型、语音、剪辑、社群和流量是最需要持续关注的支出。团队成员按协作与轮值方式投入，现金预算覆盖必要工具、服务和外包补贴。</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005"/>
        <w:gridCol w:w="1814"/>
        <w:gridCol w:w="4649"/>
      </w:tblGrid>
      <w:tr>
        <w:trPr>
          <w:cantSplit/>
          <w:tblHeader/>
        </w:trPr>
        <w:tc>
          <w:tcPr>
            <w:tcW w:type="dxa" w:w="3005"/>
            <w:vAlign w:val="center"/>
            <w:shd w:fill="153E49"/>
            <w:tcMar>
              <w:top w:w="80" w:type="dxa"/>
              <w:left w:w="80" w:type="dxa"/>
              <w:bottom w:w="80" w:type="dxa"/>
              <w:right w:w="80" w:type="dxa"/>
            </w:tcMar>
          </w:tcPr>
          <w:p>
            <w:pPr>
              <w:spacing w:after="20" w:before="20" w:line="269" w:lineRule="auto"/>
            </w:pPr>
            <w:r>
              <w:rPr>
                <w:rFonts w:ascii="Microsoft YaHei" w:hAnsi="Microsoft YaHei" w:eastAsia="Microsoft YaHei"/>
                <w:b/>
                <w:color w:val="FFFFFF"/>
                <w:sz w:val="18"/>
              </w:rPr>
              <w:t>日常运营项目</w:t>
            </w:r>
          </w:p>
        </w:tc>
        <w:tc>
          <w:tcPr>
            <w:tcW w:type="dxa" w:w="1814"/>
            <w:vAlign w:val="center"/>
            <w:shd w:fill="153E49"/>
            <w:tcMar>
              <w:top w:w="80" w:type="dxa"/>
              <w:left w:w="80" w:type="dxa"/>
              <w:bottom w:w="80" w:type="dxa"/>
              <w:right w:w="80" w:type="dxa"/>
            </w:tcMar>
          </w:tcPr>
          <w:p>
            <w:pPr>
              <w:spacing w:after="20" w:before="20" w:line="269" w:lineRule="auto"/>
            </w:pPr>
            <w:r>
              <w:rPr>
                <w:rFonts w:ascii="Microsoft YaHei" w:hAnsi="Microsoft YaHei" w:eastAsia="Microsoft YaHei"/>
                <w:b/>
                <w:color w:val="FFFFFF"/>
                <w:sz w:val="18"/>
              </w:rPr>
              <w:t>全年预算 元</w:t>
            </w:r>
          </w:p>
        </w:tc>
        <w:tc>
          <w:tcPr>
            <w:tcW w:type="dxa" w:w="4649"/>
            <w:vAlign w:val="center"/>
            <w:shd w:fill="153E49"/>
            <w:tcMar>
              <w:top w:w="80" w:type="dxa"/>
              <w:left w:w="80" w:type="dxa"/>
              <w:bottom w:w="80" w:type="dxa"/>
              <w:right w:w="80" w:type="dxa"/>
            </w:tcMar>
          </w:tcPr>
          <w:p>
            <w:pPr>
              <w:spacing w:after="20" w:before="20" w:line="269" w:lineRule="auto"/>
            </w:pPr>
            <w:r>
              <w:rPr>
                <w:rFonts w:ascii="Microsoft YaHei" w:hAnsi="Microsoft YaHei" w:eastAsia="Microsoft YaHei"/>
                <w:b/>
                <w:color w:val="FFFFFF"/>
                <w:sz w:val="18"/>
              </w:rPr>
              <w:t>使用方式</w:t>
            </w:r>
          </w:p>
        </w:tc>
      </w:tr>
      <w:tr>
        <w:trPr>
          <w:cantSplit/>
        </w:trPr>
        <w:tc>
          <w:tcPr>
            <w:tcW w:type="dxa" w:w="3005"/>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模型API 语音与云服务</w:t>
            </w:r>
          </w:p>
        </w:tc>
        <w:tc>
          <w:tcPr>
            <w:tcW w:type="dxa" w:w="1814"/>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18,000</w:t>
            </w:r>
          </w:p>
        </w:tc>
        <w:tc>
          <w:tcPr>
            <w:tcW w:type="dxa" w:w="4649"/>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平均每月1500元，记录每场用量与语音开销。</w:t>
            </w:r>
          </w:p>
        </w:tc>
      </w:tr>
      <w:tr>
        <w:trPr>
          <w:cantSplit/>
        </w:trPr>
        <w:tc>
          <w:tcPr>
            <w:tcW w:type="dxa" w:w="3005"/>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剪辑与社群协作补贴</w:t>
            </w:r>
          </w:p>
        </w:tc>
        <w:tc>
          <w:tcPr>
            <w:tcW w:type="dxa" w:w="1814"/>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12,000</w:t>
            </w:r>
          </w:p>
        </w:tc>
        <w:tc>
          <w:tcPr>
            <w:tcW w:type="dxa" w:w="4649"/>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平均每月1000元，支持重点视频和社群轮值。</w:t>
            </w:r>
          </w:p>
        </w:tc>
      </w:tr>
      <w:tr>
        <w:trPr>
          <w:cantSplit/>
        </w:trPr>
        <w:tc>
          <w:tcPr>
            <w:tcW w:type="dxa" w:w="3005"/>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流量推广</w:t>
            </w:r>
          </w:p>
        </w:tc>
        <w:tc>
          <w:tcPr>
            <w:tcW w:type="dxa" w:w="1814"/>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18,000</w:t>
            </w:r>
          </w:p>
        </w:tc>
        <w:tc>
          <w:tcPr>
            <w:tcW w:type="dxa" w:w="4649"/>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平均每月1500元，按切片表现分批投放。</w:t>
            </w:r>
          </w:p>
        </w:tc>
      </w:tr>
      <w:tr>
        <w:trPr>
          <w:cantSplit/>
        </w:trPr>
        <w:tc>
          <w:tcPr>
            <w:tcW w:type="dxa" w:w="3005"/>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社群活动与软件杂费</w:t>
            </w:r>
          </w:p>
        </w:tc>
        <w:tc>
          <w:tcPr>
            <w:tcW w:type="dxa" w:w="1814"/>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4,000</w:t>
            </w:r>
          </w:p>
        </w:tc>
        <w:tc>
          <w:tcPr>
            <w:tcW w:type="dxa" w:w="4649"/>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用于小型活动、必要工具及运营素材。</w:t>
            </w:r>
          </w:p>
        </w:tc>
      </w:tr>
      <w:tr>
        <w:trPr>
          <w:cantSplit/>
        </w:trPr>
        <w:tc>
          <w:tcPr>
            <w:tcW w:type="dxa" w:w="3005"/>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日常运营合计</w:t>
            </w:r>
          </w:p>
        </w:tc>
        <w:tc>
          <w:tcPr>
            <w:tcW w:type="dxa" w:w="1814"/>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52,000</w:t>
            </w:r>
          </w:p>
        </w:tc>
        <w:tc>
          <w:tcPr>
            <w:tcW w:type="dxa" w:w="4649"/>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按季度约1.3万元安排，随内容效果调整。</w:t>
            </w:r>
          </w:p>
        </w:tc>
      </w:tr>
    </w:tbl>
    <w:p>
      <w:pPr>
        <w:spacing w:after="20"/>
      </w:pPr>
    </w:p>
    <w:p>
      <w:pPr>
        <w:pStyle w:val="Heading2"/>
      </w:pPr>
      <w:r>
        <w:t>怎样判断一场直播的运营效率</w:t>
      </w:r>
    </w:p>
    <w:p>
      <w:pPr>
        <w:widowControl/>
      </w:pPr>
      <w:r>
        <w:rPr>
          <w:b w:val="0"/>
        </w:rPr>
        <w:t>按每周五天、全年约50周排期，计划约250场直播、500小时播出；对应日常运营现金预算约208元每场、104元每小时。剪辑传播和社群维护一起计入该预算，方便按月评估整套内容工作的投入。公开运营起点和休播安排会影响最终场次数量。</w:t>
      </w:r>
    </w:p>
    <w:p>
      <w:pPr>
        <w:pStyle w:val="Heading2"/>
      </w:pPr>
      <w:r>
        <w:t>优先把钱花到可持续观看上</w:t>
      </w:r>
    </w:p>
    <w:p>
      <w:pPr>
        <w:widowControl/>
      </w:pPr>
      <w:r>
        <w:rPr>
          <w:b w:val="0"/>
        </w:rPr>
        <w:t>投流先选择自然反馈良好的片段，社群预算优先保障日常回应和活动组织。模型和语音开销按每场统计，优先优化对节目帮助较小的重复调用。运营复盘将成本、回访与切片表现放在一起，寻找投入后能持续带来新观众和回访的栏目。</w:t>
      </w:r>
    </w:p>
    <w:p>
      <w:pPr>
        <w:pStyle w:val="Heading2"/>
      </w:pPr>
      <w:r>
        <w:t>团队投入的管理</w:t>
      </w:r>
    </w:p>
    <w:p>
      <w:pPr>
        <w:widowControl/>
      </w:pPr>
      <w:r>
        <w:rPr>
          <w:b w:val="0"/>
        </w:rPr>
        <w:t>已有研发工时和历史开发投入暂列为团队投入；本表核算未来运营现金。后续全职化时，成员薪酬单独编入预算。AI辅助开发工具的未来支出列入首播启动预算，技术维护与内容生产在排期中保留固定时间。</w:t>
      </w:r>
    </w:p>
    <w:p>
      <w:r>
        <w:br w:type="page"/>
      </w:r>
    </w:p>
    <w:p>
      <w:pPr>
        <w:pStyle w:val="Heading1"/>
      </w:pPr>
      <w:r>
        <w:t>十四 首年收入与收支预测</w:t>
      </w:r>
    </w:p>
    <w:p>
      <w:pPr>
        <w:widowControl/>
      </w:pPr>
      <w:r>
        <w:rPr>
          <w:b w:val="0"/>
        </w:rPr>
        <w:t>以下为首个完整运营年度的经营测算。前三个月争取2.5万关注，约六个月达到10万主阵地关注，随后推出会员、预售周边和商业合作；年末累计关注目标15万。金额按平台结算后的礼物与会员收入、周边销售额和商业合作收款编制。</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891"/>
        <w:gridCol w:w="1644"/>
        <w:gridCol w:w="1644"/>
        <w:gridCol w:w="1644"/>
        <w:gridCol w:w="1644"/>
      </w:tblGrid>
      <w:tr>
        <w:trPr>
          <w:cantSplit/>
          <w:tblHeader/>
        </w:trPr>
        <w:tc>
          <w:tcPr>
            <w:tcW w:type="dxa" w:w="2891"/>
            <w:vAlign w:val="center"/>
            <w:shd w:fill="153E49"/>
            <w:tcMar>
              <w:top w:w="80" w:type="dxa"/>
              <w:left w:w="80" w:type="dxa"/>
              <w:bottom w:w="80" w:type="dxa"/>
              <w:right w:w="80" w:type="dxa"/>
            </w:tcMar>
          </w:tcPr>
          <w:p>
            <w:pPr>
              <w:spacing w:after="20" w:before="20" w:line="269" w:lineRule="auto"/>
            </w:pPr>
            <w:r>
              <w:rPr>
                <w:rFonts w:ascii="Microsoft YaHei" w:hAnsi="Microsoft YaHei" w:eastAsia="Microsoft YaHei"/>
                <w:b/>
                <w:color w:val="FFFFFF"/>
                <w:sz w:val="18"/>
              </w:rPr>
              <w:t>项目 单位元</w:t>
            </w:r>
          </w:p>
        </w:tc>
        <w:tc>
          <w:tcPr>
            <w:tcW w:type="dxa" w:w="1644"/>
            <w:vAlign w:val="center"/>
            <w:shd w:fill="153E49"/>
            <w:tcMar>
              <w:top w:w="80" w:type="dxa"/>
              <w:left w:w="80" w:type="dxa"/>
              <w:bottom w:w="80" w:type="dxa"/>
              <w:right w:w="80" w:type="dxa"/>
            </w:tcMar>
          </w:tcPr>
          <w:p>
            <w:pPr>
              <w:spacing w:after="20" w:before="20" w:line="269" w:lineRule="auto"/>
            </w:pPr>
            <w:r>
              <w:rPr>
                <w:rFonts w:ascii="Microsoft YaHei" w:hAnsi="Microsoft YaHei" w:eastAsia="Microsoft YaHei"/>
                <w:b/>
                <w:color w:val="FFFFFF"/>
                <w:sz w:val="18"/>
              </w:rPr>
              <w:t>第1季度</w:t>
            </w:r>
          </w:p>
        </w:tc>
        <w:tc>
          <w:tcPr>
            <w:tcW w:type="dxa" w:w="1644"/>
            <w:vAlign w:val="center"/>
            <w:shd w:fill="153E49"/>
            <w:tcMar>
              <w:top w:w="80" w:type="dxa"/>
              <w:left w:w="80" w:type="dxa"/>
              <w:bottom w:w="80" w:type="dxa"/>
              <w:right w:w="80" w:type="dxa"/>
            </w:tcMar>
          </w:tcPr>
          <w:p>
            <w:pPr>
              <w:spacing w:after="20" w:before="20" w:line="269" w:lineRule="auto"/>
            </w:pPr>
            <w:r>
              <w:rPr>
                <w:rFonts w:ascii="Microsoft YaHei" w:hAnsi="Microsoft YaHei" w:eastAsia="Microsoft YaHei"/>
                <w:b/>
                <w:color w:val="FFFFFF"/>
                <w:sz w:val="18"/>
              </w:rPr>
              <w:t>第2季度</w:t>
            </w:r>
          </w:p>
        </w:tc>
        <w:tc>
          <w:tcPr>
            <w:tcW w:type="dxa" w:w="1644"/>
            <w:vAlign w:val="center"/>
            <w:shd w:fill="153E49"/>
            <w:tcMar>
              <w:top w:w="80" w:type="dxa"/>
              <w:left w:w="80" w:type="dxa"/>
              <w:bottom w:w="80" w:type="dxa"/>
              <w:right w:w="80" w:type="dxa"/>
            </w:tcMar>
          </w:tcPr>
          <w:p>
            <w:pPr>
              <w:spacing w:after="20" w:before="20" w:line="269" w:lineRule="auto"/>
            </w:pPr>
            <w:r>
              <w:rPr>
                <w:rFonts w:ascii="Microsoft YaHei" w:hAnsi="Microsoft YaHei" w:eastAsia="Microsoft YaHei"/>
                <w:b/>
                <w:color w:val="FFFFFF"/>
                <w:sz w:val="18"/>
              </w:rPr>
              <w:t>第3季度</w:t>
            </w:r>
          </w:p>
        </w:tc>
        <w:tc>
          <w:tcPr>
            <w:tcW w:type="dxa" w:w="1644"/>
            <w:vAlign w:val="center"/>
            <w:shd w:fill="153E49"/>
            <w:tcMar>
              <w:top w:w="80" w:type="dxa"/>
              <w:left w:w="80" w:type="dxa"/>
              <w:bottom w:w="80" w:type="dxa"/>
              <w:right w:w="80" w:type="dxa"/>
            </w:tcMar>
          </w:tcPr>
          <w:p>
            <w:pPr>
              <w:spacing w:after="20" w:before="20" w:line="269" w:lineRule="auto"/>
            </w:pPr>
            <w:r>
              <w:rPr>
                <w:rFonts w:ascii="Microsoft YaHei" w:hAnsi="Microsoft YaHei" w:eastAsia="Microsoft YaHei"/>
                <w:b/>
                <w:color w:val="FFFFFF"/>
                <w:sz w:val="18"/>
              </w:rPr>
              <w:t>第4季度</w:t>
            </w:r>
          </w:p>
        </w:tc>
      </w:tr>
      <w:tr>
        <w:trPr>
          <w:cantSplit/>
        </w:trPr>
        <w:tc>
          <w:tcPr>
            <w:tcW w:type="dxa" w:w="2891"/>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直播打赏到账</w:t>
            </w:r>
          </w:p>
        </w:tc>
        <w:tc>
          <w:tcPr>
            <w:tcW w:type="dxa" w:w="1644"/>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1,200</w:t>
            </w:r>
          </w:p>
        </w:tc>
        <w:tc>
          <w:tcPr>
            <w:tcW w:type="dxa" w:w="1644"/>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3,000</w:t>
            </w:r>
          </w:p>
        </w:tc>
        <w:tc>
          <w:tcPr>
            <w:tcW w:type="dxa" w:w="1644"/>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5,300</w:t>
            </w:r>
          </w:p>
        </w:tc>
        <w:tc>
          <w:tcPr>
            <w:tcW w:type="dxa" w:w="1644"/>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7,900</w:t>
            </w:r>
          </w:p>
        </w:tc>
      </w:tr>
      <w:tr>
        <w:trPr>
          <w:cantSplit/>
        </w:trPr>
        <w:tc>
          <w:tcPr>
            <w:tcW w:type="dxa" w:w="2891"/>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月度会员到账</w:t>
            </w:r>
          </w:p>
        </w:tc>
        <w:tc>
          <w:tcPr>
            <w:tcW w:type="dxa" w:w="1644"/>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0</w:t>
            </w:r>
          </w:p>
        </w:tc>
        <w:tc>
          <w:tcPr>
            <w:tcW w:type="dxa" w:w="1644"/>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0</w:t>
            </w:r>
          </w:p>
        </w:tc>
        <w:tc>
          <w:tcPr>
            <w:tcW w:type="dxa" w:w="1644"/>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5,250</w:t>
            </w:r>
          </w:p>
        </w:tc>
        <w:tc>
          <w:tcPr>
            <w:tcW w:type="dxa" w:w="1644"/>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14,000</w:t>
            </w:r>
          </w:p>
        </w:tc>
      </w:tr>
      <w:tr>
        <w:trPr>
          <w:cantSplit/>
        </w:trPr>
        <w:tc>
          <w:tcPr>
            <w:tcW w:type="dxa" w:w="2891"/>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周边销售收入</w:t>
            </w:r>
          </w:p>
        </w:tc>
        <w:tc>
          <w:tcPr>
            <w:tcW w:type="dxa" w:w="1644"/>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0</w:t>
            </w:r>
          </w:p>
        </w:tc>
        <w:tc>
          <w:tcPr>
            <w:tcW w:type="dxa" w:w="1644"/>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0</w:t>
            </w:r>
          </w:p>
        </w:tc>
        <w:tc>
          <w:tcPr>
            <w:tcW w:type="dxa" w:w="1644"/>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5,000</w:t>
            </w:r>
          </w:p>
        </w:tc>
        <w:tc>
          <w:tcPr>
            <w:tcW w:type="dxa" w:w="1644"/>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10,000</w:t>
            </w:r>
          </w:p>
        </w:tc>
      </w:tr>
      <w:tr>
        <w:trPr>
          <w:cantSplit/>
        </w:trPr>
        <w:tc>
          <w:tcPr>
            <w:tcW w:type="dxa" w:w="2891"/>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商业合作收入</w:t>
            </w:r>
          </w:p>
        </w:tc>
        <w:tc>
          <w:tcPr>
            <w:tcW w:type="dxa" w:w="1644"/>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0</w:t>
            </w:r>
          </w:p>
        </w:tc>
        <w:tc>
          <w:tcPr>
            <w:tcW w:type="dxa" w:w="1644"/>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0</w:t>
            </w:r>
          </w:p>
        </w:tc>
        <w:tc>
          <w:tcPr>
            <w:tcW w:type="dxa" w:w="1644"/>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0</w:t>
            </w:r>
          </w:p>
        </w:tc>
        <w:tc>
          <w:tcPr>
            <w:tcW w:type="dxa" w:w="1644"/>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10,000</w:t>
            </w:r>
          </w:p>
        </w:tc>
      </w:tr>
      <w:tr>
        <w:trPr>
          <w:cantSplit/>
        </w:trPr>
        <w:tc>
          <w:tcPr>
            <w:tcW w:type="dxa" w:w="2891"/>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收入合计</w:t>
            </w:r>
          </w:p>
        </w:tc>
        <w:tc>
          <w:tcPr>
            <w:tcW w:type="dxa" w:w="1644"/>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1,200</w:t>
            </w:r>
          </w:p>
        </w:tc>
        <w:tc>
          <w:tcPr>
            <w:tcW w:type="dxa" w:w="1644"/>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3,000</w:t>
            </w:r>
          </w:p>
        </w:tc>
        <w:tc>
          <w:tcPr>
            <w:tcW w:type="dxa" w:w="1644"/>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15,550</w:t>
            </w:r>
          </w:p>
        </w:tc>
        <w:tc>
          <w:tcPr>
            <w:tcW w:type="dxa" w:w="1644"/>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41,900</w:t>
            </w:r>
          </w:p>
        </w:tc>
      </w:tr>
      <w:tr>
        <w:trPr>
          <w:cantSplit/>
        </w:trPr>
        <w:tc>
          <w:tcPr>
            <w:tcW w:type="dxa" w:w="2891"/>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日常运营现金</w:t>
            </w:r>
          </w:p>
        </w:tc>
        <w:tc>
          <w:tcPr>
            <w:tcW w:type="dxa" w:w="1644"/>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13,000</w:t>
            </w:r>
          </w:p>
        </w:tc>
        <w:tc>
          <w:tcPr>
            <w:tcW w:type="dxa" w:w="1644"/>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13,000</w:t>
            </w:r>
          </w:p>
        </w:tc>
        <w:tc>
          <w:tcPr>
            <w:tcW w:type="dxa" w:w="1644"/>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13,000</w:t>
            </w:r>
          </w:p>
        </w:tc>
        <w:tc>
          <w:tcPr>
            <w:tcW w:type="dxa" w:w="1644"/>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13,000</w:t>
            </w:r>
          </w:p>
        </w:tc>
      </w:tr>
      <w:tr>
        <w:trPr>
          <w:cantSplit/>
        </w:trPr>
        <w:tc>
          <w:tcPr>
            <w:tcW w:type="dxa" w:w="2891"/>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周边制作及履约</w:t>
            </w:r>
          </w:p>
        </w:tc>
        <w:tc>
          <w:tcPr>
            <w:tcW w:type="dxa" w:w="1644"/>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0</w:t>
            </w:r>
          </w:p>
        </w:tc>
        <w:tc>
          <w:tcPr>
            <w:tcW w:type="dxa" w:w="1644"/>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0</w:t>
            </w:r>
          </w:p>
        </w:tc>
        <w:tc>
          <w:tcPr>
            <w:tcW w:type="dxa" w:w="1644"/>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3,500</w:t>
            </w:r>
          </w:p>
        </w:tc>
        <w:tc>
          <w:tcPr>
            <w:tcW w:type="dxa" w:w="1644"/>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7,000</w:t>
            </w:r>
          </w:p>
        </w:tc>
      </w:tr>
      <w:tr>
        <w:trPr>
          <w:cantSplit/>
        </w:trPr>
        <w:tc>
          <w:tcPr>
            <w:tcW w:type="dxa" w:w="2891"/>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运营收支余额</w:t>
            </w:r>
          </w:p>
        </w:tc>
        <w:tc>
          <w:tcPr>
            <w:tcW w:type="dxa" w:w="1644"/>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-11,800</w:t>
            </w:r>
          </w:p>
        </w:tc>
        <w:tc>
          <w:tcPr>
            <w:tcW w:type="dxa" w:w="1644"/>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-10,000</w:t>
            </w:r>
          </w:p>
        </w:tc>
        <w:tc>
          <w:tcPr>
            <w:tcW w:type="dxa" w:w="1644"/>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-950</w:t>
            </w:r>
          </w:p>
        </w:tc>
        <w:tc>
          <w:tcPr>
            <w:tcW w:type="dxa" w:w="1644"/>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21,900</w:t>
            </w:r>
          </w:p>
        </w:tc>
      </w:tr>
    </w:tbl>
    <w:p>
      <w:pPr>
        <w:spacing w:after="20"/>
      </w:pPr>
    </w:p>
    <w:p>
      <w:pPr>
        <w:widowControl/>
      </w:pPr>
      <w:r>
        <w:rPr>
          <w:b w:val="0"/>
        </w:rPr>
        <w:t>全年收入目标61,650元，日常运营及周边履约支出62,500元，运营现金余额为-850元。首播资产和工具投入25,000元另列，计入后首年现金缺口25,850元。模型先争取覆盖日常运营，再通过会员留存、周边和联动提高回流资金。</w:t>
      </w:r>
    </w:p>
    <w:p>
      <w:pPr>
        <w:pStyle w:val="Heading2"/>
      </w:pPr>
      <w:r>
        <w:t>测算参数</w:t>
      </w:r>
    </w:p>
    <w:p>
      <w:pPr>
        <w:widowControl/>
      </w:pPr>
      <w:r>
        <w:rPr>
          <w:b w:val="0"/>
        </w:rPr>
        <w:t>打赏月度到账目标依次为200、400、600、800、1000、1200、1500、1800、2000、2300、2600、3000元。会员从第7个月开始，月均人数依次为20、35、50、70、90、120人，按每人每月净到账50元测算，共385个会员月。周边全年销售目标1.5万元，制作及履约按70%安排；商业合作规划2次，每次5000元。以上参数按真实结算、平台规则和合作报价更新。</w:t>
      </w:r>
    </w:p>
    <w:p>
      <w:pPr>
        <w:pStyle w:val="Heading2"/>
      </w:pPr>
      <w:r>
        <w:t>按增长进展调整投入</w:t>
      </w:r>
    </w:p>
    <w:p>
      <w:pPr>
        <w:widowControl/>
      </w:pPr>
      <w:r>
        <w:rPr>
          <w:b w:val="0"/>
        </w:rPr>
        <w:t>若10万关注节点推迟，会员、周边与合作同步顺延。保守安排按全年8000元打赏、4万元日常运营预算测算，连同2.5万元启动投入需约5.7万元资金。基准安排的季度累计现金缺口峰值约4.78万元，流动资金按这个节奏预留。</w:t>
      </w:r>
    </w:p>
    <w:p>
      <w:r>
        <w:br w:type="page"/>
      </w:r>
    </w:p>
    <w:p>
      <w:pPr>
        <w:pStyle w:val="Heading1"/>
      </w:pPr>
      <w:r>
        <w:t>十五 启动资金与使用计划</w:t>
      </w:r>
    </w:p>
    <w:p>
      <w:pPr>
        <w:widowControl/>
      </w:pPr>
      <w:r>
        <w:rPr>
          <w:b w:val="0"/>
        </w:rPr>
        <w:t>计划争取10万元启动支持及配套资源。资金优先用于原创形象落地和持续运营，让技术成果尽快进入真实观看与社群反馈。启动投入、年度运营和周边履约分项管理，项目负责人及项目管理共同确认付款与交付。</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835"/>
        <w:gridCol w:w="1814"/>
        <w:gridCol w:w="4819"/>
      </w:tblGrid>
      <w:tr>
        <w:trPr>
          <w:cantSplit/>
          <w:tblHeader/>
        </w:trPr>
        <w:tc>
          <w:tcPr>
            <w:tcW w:type="dxa" w:w="2835"/>
            <w:vAlign w:val="center"/>
            <w:shd w:fill="153E49"/>
            <w:tcMar>
              <w:top w:w="80" w:type="dxa"/>
              <w:left w:w="80" w:type="dxa"/>
              <w:bottom w:w="80" w:type="dxa"/>
              <w:right w:w="80" w:type="dxa"/>
            </w:tcMar>
          </w:tcPr>
          <w:p>
            <w:pPr>
              <w:spacing w:after="20" w:before="20" w:line="269" w:lineRule="auto"/>
            </w:pPr>
            <w:r>
              <w:rPr>
                <w:rFonts w:ascii="Microsoft YaHei" w:hAnsi="Microsoft YaHei" w:eastAsia="Microsoft YaHei"/>
                <w:b/>
                <w:color w:val="FFFFFF"/>
                <w:sz w:val="18"/>
              </w:rPr>
              <w:t>资金用途</w:t>
            </w:r>
          </w:p>
        </w:tc>
        <w:tc>
          <w:tcPr>
            <w:tcW w:type="dxa" w:w="1814"/>
            <w:vAlign w:val="center"/>
            <w:shd w:fill="153E49"/>
            <w:tcMar>
              <w:top w:w="80" w:type="dxa"/>
              <w:left w:w="80" w:type="dxa"/>
              <w:bottom w:w="80" w:type="dxa"/>
              <w:right w:w="80" w:type="dxa"/>
            </w:tcMar>
          </w:tcPr>
          <w:p>
            <w:pPr>
              <w:spacing w:after="20" w:before="20" w:line="269" w:lineRule="auto"/>
            </w:pPr>
            <w:r>
              <w:rPr>
                <w:rFonts w:ascii="Microsoft YaHei" w:hAnsi="Microsoft YaHei" w:eastAsia="Microsoft YaHei"/>
                <w:b/>
                <w:color w:val="FFFFFF"/>
                <w:sz w:val="18"/>
              </w:rPr>
              <w:t>预算 元</w:t>
            </w:r>
          </w:p>
        </w:tc>
        <w:tc>
          <w:tcPr>
            <w:tcW w:type="dxa" w:w="4819"/>
            <w:vAlign w:val="center"/>
            <w:shd w:fill="153E49"/>
            <w:tcMar>
              <w:top w:w="80" w:type="dxa"/>
              <w:left w:w="80" w:type="dxa"/>
              <w:bottom w:w="80" w:type="dxa"/>
              <w:right w:w="80" w:type="dxa"/>
            </w:tcMar>
          </w:tcPr>
          <w:p>
            <w:pPr>
              <w:spacing w:after="20" w:before="20" w:line="269" w:lineRule="auto"/>
            </w:pPr>
            <w:r>
              <w:rPr>
                <w:rFonts w:ascii="Microsoft YaHei" w:hAnsi="Microsoft YaHei" w:eastAsia="Microsoft YaHei"/>
                <w:b/>
                <w:color w:val="FFFFFF"/>
                <w:sz w:val="18"/>
              </w:rPr>
              <w:t>对应成果</w:t>
            </w:r>
          </w:p>
        </w:tc>
      </w:tr>
      <w:tr>
        <w:trPr>
          <w:cantSplit/>
        </w:trPr>
        <w:tc>
          <w:tcPr>
            <w:tcW w:type="dxa" w:w="2835"/>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人物原画与视觉素材</w:t>
            </w:r>
          </w:p>
        </w:tc>
        <w:tc>
          <w:tcPr>
            <w:tcW w:type="dxa" w:w="1814"/>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8,000</w:t>
            </w:r>
          </w:p>
        </w:tc>
        <w:tc>
          <w:tcPr>
            <w:tcW w:type="dxa" w:w="4819"/>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角色设定、原画、直播与切片视觉规范。</w:t>
            </w:r>
          </w:p>
        </w:tc>
      </w:tr>
      <w:tr>
        <w:trPr>
          <w:cantSplit/>
        </w:trPr>
        <w:tc>
          <w:tcPr>
            <w:tcW w:type="dxa" w:w="2835"/>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Live2D定制与表情</w:t>
            </w:r>
          </w:p>
        </w:tc>
        <w:tc>
          <w:tcPr>
            <w:tcW w:type="dxa" w:w="1814"/>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14,000</w:t>
            </w:r>
          </w:p>
        </w:tc>
        <w:tc>
          <w:tcPr>
            <w:tcW w:type="dxa" w:w="4819"/>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可用于首播的模型、表情和状态切换。</w:t>
            </w:r>
          </w:p>
        </w:tc>
      </w:tr>
      <w:tr>
        <w:trPr>
          <w:cantSplit/>
        </w:trPr>
        <w:tc>
          <w:tcPr>
            <w:tcW w:type="dxa" w:w="2835"/>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AI辅助开发工具</w:t>
            </w:r>
          </w:p>
        </w:tc>
        <w:tc>
          <w:tcPr>
            <w:tcW w:type="dxa" w:w="1814"/>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3,000</w:t>
            </w:r>
          </w:p>
        </w:tc>
        <w:tc>
          <w:tcPr>
            <w:tcW w:type="dxa" w:w="4819"/>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开发模型与工具额度，用于联调、排错和小功能迭代。</w:t>
            </w:r>
          </w:p>
        </w:tc>
      </w:tr>
      <w:tr>
        <w:trPr>
          <w:cantSplit/>
        </w:trPr>
        <w:tc>
          <w:tcPr>
            <w:tcW w:type="dxa" w:w="2835"/>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年度日常运营</w:t>
            </w:r>
          </w:p>
        </w:tc>
        <w:tc>
          <w:tcPr>
            <w:tcW w:type="dxa" w:w="1814"/>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52,000</w:t>
            </w:r>
          </w:p>
        </w:tc>
        <w:tc>
          <w:tcPr>
            <w:tcW w:type="dxa" w:w="4819"/>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模型语音、剪辑社群、流量推广和活动。</w:t>
            </w:r>
          </w:p>
        </w:tc>
      </w:tr>
      <w:tr>
        <w:trPr>
          <w:cantSplit/>
        </w:trPr>
        <w:tc>
          <w:tcPr>
            <w:tcW w:type="dxa" w:w="2835"/>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周边制作与履约周转</w:t>
            </w:r>
          </w:p>
        </w:tc>
        <w:tc>
          <w:tcPr>
            <w:tcW w:type="dxa" w:w="1814"/>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10,500</w:t>
            </w:r>
          </w:p>
        </w:tc>
        <w:tc>
          <w:tcPr>
            <w:tcW w:type="dxa" w:w="4819"/>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两批预售商品的制作、包装、交付与售后。</w:t>
            </w:r>
          </w:p>
        </w:tc>
      </w:tr>
      <w:tr>
        <w:trPr>
          <w:cantSplit/>
        </w:trPr>
        <w:tc>
          <w:tcPr>
            <w:tcW w:type="dxa" w:w="2835"/>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机动资金</w:t>
            </w:r>
          </w:p>
        </w:tc>
        <w:tc>
          <w:tcPr>
            <w:tcW w:type="dxa" w:w="1814"/>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12,500</w:t>
            </w:r>
          </w:p>
        </w:tc>
        <w:tc>
          <w:tcPr>
            <w:tcW w:type="dxa" w:w="4819"/>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应对形象返修、服务扩容、临时运营和退款。</w:t>
            </w:r>
          </w:p>
        </w:tc>
      </w:tr>
      <w:tr>
        <w:trPr>
          <w:cantSplit/>
        </w:trPr>
        <w:tc>
          <w:tcPr>
            <w:tcW w:type="dxa" w:w="2835"/>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合计</w:t>
            </w:r>
          </w:p>
        </w:tc>
        <w:tc>
          <w:tcPr>
            <w:tcW w:type="dxa" w:w="1814"/>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100,000</w:t>
            </w:r>
          </w:p>
        </w:tc>
        <w:tc>
          <w:tcPr>
            <w:tcW w:type="dxa" w:w="4819"/>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按里程碑与运营效果分批使用。</w:t>
            </w:r>
          </w:p>
        </w:tc>
      </w:tr>
    </w:tbl>
    <w:p>
      <w:pPr>
        <w:spacing w:after="20"/>
      </w:pPr>
    </w:p>
    <w:p>
      <w:pPr>
        <w:pStyle w:val="Heading2"/>
      </w:pPr>
      <w:r>
        <w:t>首播资产先完成明确交付</w:t>
      </w:r>
    </w:p>
    <w:p>
      <w:pPr>
        <w:widowControl/>
      </w:pPr>
      <w:r>
        <w:rPr>
          <w:b w:val="0"/>
        </w:rPr>
        <w:t>原画与Live2D按设定确认、制作验收和文件交付管理，合同明确商用、直播、剪辑、周边及合作所需的权利范围。音频模型微调和声线使用同步落实授权与素材管理。吴越、肖鹏希与技术人员共同验收形象和音频在真实直播场景中的表现。</w:t>
      </w:r>
    </w:p>
    <w:p>
      <w:pPr>
        <w:pStyle w:val="Heading2"/>
      </w:pPr>
      <w:r>
        <w:t>收入回流与资源使用</w:t>
      </w:r>
    </w:p>
    <w:p>
      <w:pPr>
        <w:widowControl/>
      </w:pPr>
      <w:r>
        <w:rPr>
          <w:b w:val="0"/>
        </w:rPr>
        <w:t>直播、会员和商品回款优先补充后续运营周转，流量预算按实际转化投入。算力支持用于降低稳定播出和评测开销，办公与校友资源用于推进跨工作线协作、校内调研和内容合作。项目在获得资助前按已落实资金安排采购与支出。</w:t>
      </w:r>
    </w:p>
    <w:p>
      <w:pPr>
        <w:pStyle w:val="Heading2"/>
      </w:pPr>
      <w:r>
        <w:t>后续资本规划</w:t>
      </w:r>
    </w:p>
    <w:p>
      <w:pPr>
        <w:widowControl/>
      </w:pPr>
      <w:r>
        <w:rPr>
          <w:b w:val="0"/>
        </w:rPr>
        <w:t>公开运营积累稳定粉丝与收支数据后，再讨论公司化、全职团队和外部融资。下一阶段重点展示观众回访、有效关注成本、会员续费、商品履约与联动效果，让投入规模随经营证据扩大。</w:t>
      </w:r>
    </w:p>
    <w:p>
      <w:r>
        <w:br w:type="page"/>
      </w:r>
    </w:p>
    <w:p>
      <w:pPr>
        <w:pStyle w:val="Heading1"/>
      </w:pPr>
      <w:r>
        <w:t>十六 内容资产与运营保障</w:t>
      </w:r>
    </w:p>
    <w:p>
      <w:pPr>
        <w:pStyle w:val="Heading2"/>
      </w:pPr>
      <w:r>
        <w:t>内部试播先评价吸引力</w:t>
      </w:r>
    </w:p>
    <w:p>
      <w:pPr>
        <w:widowControl/>
      </w:pPr>
      <w:r>
        <w:rPr>
          <w:b w:val="0"/>
        </w:rPr>
        <w:t>技术链路完成后，安排校内观众参与内部试播，围绕角色记忆点、人机互动、游戏节目和分享意愿进行评价。导演把观看反馈对应到具体片段，研发处理影响体验的问题，运营保留能让观众继续观看的栏目，剪辑挑选真正有传播潜力的内容。</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098"/>
        <w:gridCol w:w="4535"/>
        <w:gridCol w:w="2835"/>
      </w:tblGrid>
      <w:tr>
        <w:trPr>
          <w:cantSplit/>
          <w:tblHeader/>
        </w:trPr>
        <w:tc>
          <w:tcPr>
            <w:tcW w:type="dxa" w:w="2098"/>
            <w:vAlign w:val="center"/>
            <w:shd w:fill="153E49"/>
            <w:tcMar>
              <w:top w:w="80" w:type="dxa"/>
              <w:left w:w="80" w:type="dxa"/>
              <w:bottom w:w="80" w:type="dxa"/>
              <w:right w:w="80" w:type="dxa"/>
            </w:tcMar>
          </w:tcPr>
          <w:p>
            <w:pPr>
              <w:spacing w:after="20" w:before="20" w:line="269" w:lineRule="auto"/>
            </w:pPr>
            <w:r>
              <w:rPr>
                <w:rFonts w:ascii="Microsoft YaHei" w:hAnsi="Microsoft YaHei" w:eastAsia="Microsoft YaHei"/>
                <w:b/>
                <w:color w:val="FFFFFF"/>
                <w:sz w:val="18"/>
              </w:rPr>
              <w:t>管理对象</w:t>
            </w:r>
          </w:p>
        </w:tc>
        <w:tc>
          <w:tcPr>
            <w:tcW w:type="dxa" w:w="4535"/>
            <w:vAlign w:val="center"/>
            <w:shd w:fill="153E49"/>
            <w:tcMar>
              <w:top w:w="80" w:type="dxa"/>
              <w:left w:w="80" w:type="dxa"/>
              <w:bottom w:w="80" w:type="dxa"/>
              <w:right w:w="80" w:type="dxa"/>
            </w:tcMar>
          </w:tcPr>
          <w:p>
            <w:pPr>
              <w:spacing w:after="20" w:before="20" w:line="269" w:lineRule="auto"/>
            </w:pPr>
            <w:r>
              <w:rPr>
                <w:rFonts w:ascii="Microsoft YaHei" w:hAnsi="Microsoft YaHei" w:eastAsia="Microsoft YaHei"/>
                <w:b/>
                <w:color w:val="FFFFFF"/>
                <w:sz w:val="18"/>
              </w:rPr>
              <w:t>执行安排</w:t>
            </w:r>
          </w:p>
        </w:tc>
        <w:tc>
          <w:tcPr>
            <w:tcW w:type="dxa" w:w="2835"/>
            <w:vAlign w:val="center"/>
            <w:shd w:fill="153E49"/>
            <w:tcMar>
              <w:top w:w="80" w:type="dxa"/>
              <w:left w:w="80" w:type="dxa"/>
              <w:bottom w:w="80" w:type="dxa"/>
              <w:right w:w="80" w:type="dxa"/>
            </w:tcMar>
          </w:tcPr>
          <w:p>
            <w:pPr>
              <w:spacing w:after="20" w:before="20" w:line="269" w:lineRule="auto"/>
            </w:pPr>
            <w:r>
              <w:rPr>
                <w:rFonts w:ascii="Microsoft YaHei" w:hAnsi="Microsoft YaHei" w:eastAsia="Microsoft YaHei"/>
                <w:b/>
                <w:color w:val="FFFFFF"/>
                <w:sz w:val="18"/>
              </w:rPr>
              <w:t>负责人或工作线</w:t>
            </w:r>
          </w:p>
        </w:tc>
      </w:tr>
      <w:tr>
        <w:trPr>
          <w:cantSplit/>
        </w:trPr>
        <w:tc>
          <w:tcPr>
            <w:tcW w:type="dxa" w:w="2098"/>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直播稳定与应急</w:t>
            </w:r>
          </w:p>
        </w:tc>
        <w:tc>
          <w:tcPr>
            <w:tcW w:type="dxa" w:w="4535"/>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播前检查语音、模型、游戏和推流；导演保留暂停、取消和真人接管入口。</w:t>
            </w:r>
          </w:p>
        </w:tc>
        <w:tc>
          <w:tcPr>
            <w:tcW w:type="dxa" w:w="2835"/>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技术开发 项目管理</w:t>
            </w:r>
          </w:p>
        </w:tc>
      </w:tr>
      <w:tr>
        <w:trPr>
          <w:cantSplit/>
        </w:trPr>
        <w:tc>
          <w:tcPr>
            <w:tcW w:type="dxa" w:w="2098"/>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角色与内容质量</w:t>
            </w:r>
          </w:p>
        </w:tc>
        <w:tc>
          <w:tcPr>
            <w:tcW w:type="dxa" w:w="4535"/>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固定人物表达样本，复核重要台词、双人格归属和游戏结果；每周复盘。</w:t>
            </w:r>
          </w:p>
        </w:tc>
        <w:tc>
          <w:tcPr>
            <w:tcW w:type="dxa" w:w="2835"/>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刘瑞麒 主持与导演</w:t>
            </w:r>
          </w:p>
        </w:tc>
      </w:tr>
      <w:tr>
        <w:trPr>
          <w:cantSplit/>
        </w:trPr>
        <w:tc>
          <w:tcPr>
            <w:tcW w:type="dxa" w:w="2098"/>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社群体验</w:t>
            </w:r>
          </w:p>
        </w:tc>
        <w:tc>
          <w:tcPr>
            <w:tcW w:type="dxa" w:w="4535"/>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建立群规与轮值，及时回应问题，管理观众投稿和二创授权。</w:t>
            </w:r>
          </w:p>
        </w:tc>
        <w:tc>
          <w:tcPr>
            <w:tcW w:type="dxa" w:w="2835"/>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刘瑞麒 张涵</w:t>
            </w:r>
          </w:p>
        </w:tc>
      </w:tr>
      <w:tr>
        <w:trPr>
          <w:cantSplit/>
        </w:trPr>
        <w:tc>
          <w:tcPr>
            <w:tcW w:type="dxa" w:w="2098"/>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素材与版权</w:t>
            </w:r>
          </w:p>
        </w:tc>
        <w:tc>
          <w:tcPr>
            <w:tcW w:type="dxa" w:w="4535"/>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原画、模型、声音、音乐和游戏素材建立来源及使用范围清单。</w:t>
            </w:r>
          </w:p>
        </w:tc>
        <w:tc>
          <w:tcPr>
            <w:tcW w:type="dxa" w:w="2835"/>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吴越 肖鹏希 项目管理</w:t>
            </w:r>
          </w:p>
        </w:tc>
      </w:tr>
      <w:tr>
        <w:trPr>
          <w:cantSplit/>
        </w:trPr>
        <w:tc>
          <w:tcPr>
            <w:tcW w:type="dxa" w:w="2098"/>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商业履约</w:t>
            </w:r>
          </w:p>
        </w:tc>
        <w:tc>
          <w:tcPr>
            <w:tcW w:type="dxa" w:w="4535"/>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明确会员权益、周边交期与售后，合作按合同确定交付和授权。</w:t>
            </w:r>
          </w:p>
        </w:tc>
        <w:tc>
          <w:tcPr>
            <w:tcW w:type="dxa" w:w="2835"/>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项目管理 市场运营</w:t>
            </w:r>
          </w:p>
        </w:tc>
      </w:tr>
      <w:tr>
        <w:trPr>
          <w:cantSplit/>
        </w:trPr>
        <w:tc>
          <w:tcPr>
            <w:tcW w:type="dxa" w:w="2098"/>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数据与平台要求</w:t>
            </w:r>
          </w:p>
        </w:tc>
        <w:tc>
          <w:tcPr>
            <w:tcW w:type="dxa" w:w="4535"/>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观众数据按需收集、分权保管，落实内容标识和账号权限管理。</w:t>
            </w:r>
          </w:p>
        </w:tc>
        <w:tc>
          <w:tcPr>
            <w:tcW w:type="dxa" w:w="2835"/>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技术开发 运营</w:t>
            </w:r>
          </w:p>
        </w:tc>
      </w:tr>
    </w:tbl>
    <w:p>
      <w:pPr>
        <w:spacing w:after="20"/>
      </w:pPr>
    </w:p>
    <w:p>
      <w:pPr>
        <w:pStyle w:val="Heading2"/>
      </w:pPr>
      <w:r>
        <w:t>AI身份和观众关系</w:t>
      </w:r>
    </w:p>
    <w:p>
      <w:pPr>
        <w:widowControl/>
      </w:pPr>
      <w:r>
        <w:rPr>
          <w:b w:val="0"/>
        </w:rPr>
        <w:t>在账号简介、直播说明和适当画面位置清晰说明AI角色与人类搭档的分工，让观众了解节目的创作方式。社群以共同兴趣、创作和观看体验为中心，付费内容按清晰权益提供，重视未成年人保护和观众自主选择。</w:t>
      </w:r>
    </w:p>
    <w:p>
      <w:pPr>
        <w:pStyle w:val="Heading2"/>
      </w:pPr>
      <w:r>
        <w:t>上线前的规则核对</w:t>
      </w:r>
    </w:p>
    <w:p>
      <w:pPr>
        <w:widowControl/>
      </w:pPr>
      <w:r>
        <w:rPr>
          <w:b w:val="0"/>
        </w:rPr>
        <w:t>国内运营按生成合成内容标识及相关服务规则落实流程，持续情感互动功能结合具体设计评估适用要求。[S11] 海外分发按所在地、平台准入、变现和AI内容标识规则办理；TikTok官方提供创作者标识机制，YouTube会员功能设有相应资格与内容要求。[S10]</w:t>
      </w:r>
    </w:p>
    <w:p>
      <w:r>
        <w:br w:type="page"/>
      </w:r>
    </w:p>
    <w:p>
      <w:pPr>
        <w:pStyle w:val="Heading1"/>
      </w:pPr>
      <w:r>
        <w:t>十七 项目资料与技术证据</w:t>
      </w:r>
    </w:p>
    <w:p>
      <w:pPr>
        <w:pStyle w:val="Heading2"/>
      </w:pPr>
      <w:r>
        <w:t>内部资料</w:t>
      </w:r>
    </w:p>
    <w:p>
      <w:pPr>
        <w:widowControl/>
      </w:pPr>
      <w:r>
        <w:rPr>
          <w:b w:val="0"/>
        </w:rPr>
        <w:t>[I1] 项目说明，2026年10月19日。记录课程实践、架构、人格语音、游戏联调及工作线。</w:t>
      </w:r>
    </w:p>
    <w:p>
      <w:pPr>
        <w:widowControl/>
      </w:pPr>
      <w:r>
        <w:rPr>
          <w:b w:val="0"/>
        </w:rPr>
        <w:t>[I2] 姬岁歌人格与说话设计，2026年10月19日v0.3。提供人物关系、表达差异、切换设计和导演流程。</w:t>
      </w:r>
    </w:p>
    <w:p>
      <w:pPr>
        <w:widowControl/>
      </w:pPr>
      <w:r>
        <w:rPr>
          <w:b w:val="0"/>
        </w:rPr>
        <w:t>[I3] 团队本轮确认的九人名单、职责与自营IP运营安排，2026年10月20日。包括每周五天20:00开播、切片传播、社群维护和约10万粉丝的商业化升级节点。</w:t>
      </w:r>
    </w:p>
    <w:p>
      <w:pPr>
        <w:pStyle w:val="Heading2"/>
      </w:pPr>
      <w:r>
        <w:t>工程证据与后续归档</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984"/>
        <w:gridCol w:w="4422"/>
        <w:gridCol w:w="3061"/>
      </w:tblGrid>
      <w:tr>
        <w:trPr>
          <w:cantSplit/>
          <w:tblHeader/>
        </w:trPr>
        <w:tc>
          <w:tcPr>
            <w:tcW w:type="dxa" w:w="1984"/>
            <w:vAlign w:val="center"/>
            <w:shd w:fill="153E49"/>
            <w:tcMar>
              <w:top w:w="80" w:type="dxa"/>
              <w:left w:w="80" w:type="dxa"/>
              <w:bottom w:w="80" w:type="dxa"/>
              <w:right w:w="80" w:type="dxa"/>
            </w:tcMar>
          </w:tcPr>
          <w:p>
            <w:pPr>
              <w:spacing w:after="20" w:before="20" w:line="269" w:lineRule="auto"/>
            </w:pPr>
            <w:r>
              <w:rPr>
                <w:rFonts w:ascii="Microsoft YaHei" w:hAnsi="Microsoft YaHei" w:eastAsia="Microsoft YaHei"/>
                <w:b/>
                <w:color w:val="FFFFFF"/>
                <w:sz w:val="18"/>
              </w:rPr>
              <w:t>证据</w:t>
            </w:r>
          </w:p>
        </w:tc>
        <w:tc>
          <w:tcPr>
            <w:tcW w:type="dxa" w:w="4422"/>
            <w:vAlign w:val="center"/>
            <w:shd w:fill="153E49"/>
            <w:tcMar>
              <w:top w:w="80" w:type="dxa"/>
              <w:left w:w="80" w:type="dxa"/>
              <w:bottom w:w="80" w:type="dxa"/>
              <w:right w:w="80" w:type="dxa"/>
            </w:tcMar>
          </w:tcPr>
          <w:p>
            <w:pPr>
              <w:spacing w:after="20" w:before="20" w:line="269" w:lineRule="auto"/>
            </w:pPr>
            <w:r>
              <w:rPr>
                <w:rFonts w:ascii="Microsoft YaHei" w:hAnsi="Microsoft YaHei" w:eastAsia="Microsoft YaHei"/>
                <w:b/>
                <w:color w:val="FFFFFF"/>
                <w:sz w:val="18"/>
              </w:rPr>
              <w:t>记录位置</w:t>
            </w:r>
          </w:p>
        </w:tc>
        <w:tc>
          <w:tcPr>
            <w:tcW w:type="dxa" w:w="3061"/>
            <w:vAlign w:val="center"/>
            <w:shd w:fill="153E49"/>
            <w:tcMar>
              <w:top w:w="80" w:type="dxa"/>
              <w:left w:w="80" w:type="dxa"/>
              <w:bottom w:w="80" w:type="dxa"/>
              <w:right w:w="80" w:type="dxa"/>
            </w:tcMar>
          </w:tcPr>
          <w:p>
            <w:pPr>
              <w:spacing w:after="20" w:before="20" w:line="269" w:lineRule="auto"/>
            </w:pPr>
            <w:r>
              <w:rPr>
                <w:rFonts w:ascii="Microsoft YaHei" w:hAnsi="Microsoft YaHei" w:eastAsia="Microsoft YaHei"/>
                <w:b/>
                <w:color w:val="FFFFFF"/>
                <w:sz w:val="18"/>
              </w:rPr>
              <w:t>用途</w:t>
            </w:r>
          </w:p>
        </w:tc>
      </w:tr>
      <w:tr>
        <w:trPr>
          <w:cantSplit/>
        </w:trPr>
        <w:tc>
          <w:tcPr>
            <w:tcW w:type="dxa" w:w="1984"/>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Minecraft API与执行链</w:t>
            </w:r>
          </w:p>
        </w:tc>
        <w:tc>
          <w:tcPr>
            <w:tcW w:type="dxa" w:w="4422"/>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docs/minecraft-deepseek.md；logs/minecraft-deepseek-live-run.json</w:t>
            </w:r>
          </w:p>
        </w:tc>
        <w:tc>
          <w:tcPr>
            <w:tcW w:type="dxa" w:w="3061"/>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核对模型接入、动作执行和真实库存变化。</w:t>
            </w:r>
          </w:p>
        </w:tc>
      </w:tr>
      <w:tr>
        <w:trPr>
          <w:cantSplit/>
        </w:trPr>
        <w:tc>
          <w:tcPr>
            <w:tcW w:type="dxa" w:w="1984"/>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杀戮尖塔2快照</w:t>
            </w:r>
          </w:p>
        </w:tc>
        <w:tc>
          <w:tcPr>
            <w:tcW w:type="dxa" w:w="4422"/>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output/sts2/streamer-acceptance.json</w:t>
            </w:r>
          </w:p>
        </w:tc>
        <w:tc>
          <w:tcPr>
            <w:tcW w:type="dxa" w:w="3061"/>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2026年10月20日13:27 UTC快照，记录动作、层数和口播回执。</w:t>
            </w:r>
          </w:p>
        </w:tc>
      </w:tr>
      <w:tr>
        <w:trPr>
          <w:cantSplit/>
        </w:trPr>
        <w:tc>
          <w:tcPr>
            <w:tcW w:type="dxa" w:w="1984"/>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Flappy Bird验收</w:t>
            </w:r>
          </w:p>
        </w:tc>
        <w:tc>
          <w:tcPr>
            <w:tcW w:type="dxa" w:w="4422"/>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output/demo-release-20261018/evidence/flappy-bird/下的acceptance.json、endurance.json</w:t>
            </w:r>
          </w:p>
        </w:tc>
        <w:tc>
          <w:tcPr>
            <w:tcW w:type="dxa" w:w="3061"/>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核对预训练策略与保护层的评测条件和结果。</w:t>
            </w:r>
          </w:p>
        </w:tc>
      </w:tr>
      <w:tr>
        <w:trPr>
          <w:cantSplit/>
        </w:trPr>
        <w:tc>
          <w:tcPr>
            <w:tcW w:type="dxa" w:w="1984"/>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系统与演示梳理</w:t>
            </w:r>
          </w:p>
        </w:tc>
        <w:tc>
          <w:tcPr>
            <w:tcW w:type="dxa" w:w="4422"/>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README.md；docs/demo-summary-20261018.md</w:t>
            </w:r>
          </w:p>
        </w:tc>
        <w:tc>
          <w:tcPr>
            <w:tcW w:type="dxa" w:w="3061"/>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了解模块边界、历史进展和演示入口。</w:t>
            </w:r>
          </w:p>
        </w:tc>
      </w:tr>
      <w:tr>
        <w:trPr>
          <w:cantSplit/>
        </w:trPr>
        <w:tc>
          <w:tcPr>
            <w:tcW w:type="dxa" w:w="1984"/>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试播与运营档案</w:t>
            </w:r>
          </w:p>
        </w:tc>
        <w:tc>
          <w:tcPr>
            <w:tcW w:type="dxa" w:w="4422"/>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后续按场次保存录屏、日志、切片时间戳、观看反馈和结算单。</w:t>
            </w:r>
          </w:p>
        </w:tc>
        <w:tc>
          <w:tcPr>
            <w:tcW w:type="dxa" w:w="3061"/>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将节目效果、增长和收支形成连续记录。</w:t>
            </w:r>
          </w:p>
        </w:tc>
      </w:tr>
    </w:tbl>
    <w:p>
      <w:pPr>
        <w:spacing w:after="20"/>
      </w:pPr>
    </w:p>
    <w:p>
      <w:pPr>
        <w:pStyle w:val="Heading2"/>
      </w:pPr>
      <w:r>
        <w:t>报名与创业资料准备</w:t>
      </w:r>
    </w:p>
    <w:p>
      <w:pPr>
        <w:widowControl/>
      </w:pPr>
      <w:r>
        <w:rPr>
          <w:b w:val="0"/>
        </w:rPr>
        <w:t>项目按种子组、第四赛道AI for X组织材料。负责人杨若朝的清华身份、核心职责及符合赛事要求的团队权益安排随报名材料落实；团队尚未注册公司、尚未获得机构投资。项目管理统一保存成员确认、角色资产、素材授权及未来合作协议。</w:t>
      </w:r>
    </w:p>
    <w:p>
      <w:pPr>
        <w:widowControl/>
      </w:pPr>
      <w:r>
        <w:rPr>
          <w:b w:val="0"/>
        </w:rPr>
        <w:t>经营计划中的观众、收入和预算采用首年目标口径，后续每月用实际平台数据和收支记录更新。公开案例的规模和时间口径见下一章，团队竞品观察另行保留调研底稿。</w:t>
      </w:r>
    </w:p>
    <w:p>
      <w:r>
        <w:br w:type="page"/>
      </w:r>
    </w:p>
    <w:p>
      <w:pPr>
        <w:pStyle w:val="Heading1"/>
      </w:pPr>
      <w:r>
        <w:t>十八 公开资料与数据来源</w:t>
      </w:r>
    </w:p>
    <w:p>
      <w:pPr>
        <w:widowControl/>
      </w:pPr>
      <w:r>
        <w:rPr>
          <w:b w:val="0"/>
        </w:rPr>
        <w:t>公开资料检索更新至2026年10月21日。账号规模采用页面公开快照的约数，历史里程碑保留原公布时间。</w:t>
      </w:r>
    </w:p>
    <w:p>
      <w:pPr>
        <w:widowControl/>
        <w:spacing w:after="40"/>
      </w:pPr>
      <w:r>
        <w:rPr>
          <w:b w:val="0"/>
          <w:sz w:val="18"/>
        </w:rPr>
        <w:t>[S1] YouTube文化趋势团队，2025年4月17日。2024年300个虚拟创作者样本在视频、直播和Shorts中获得超过150亿次观看，美国超过10亿次。</w:t>
      </w:r>
    </w:p>
    <w:p>
      <w:pPr>
        <w:widowControl/>
        <w:spacing w:after="100"/>
      </w:pPr>
      <w:r>
        <w:rPr>
          <w:b w:val="0"/>
          <w:sz w:val="16"/>
        </w:rPr>
        <w:t>https://blog.youtube/culture-and-trends/youtube-culture-trends-report-virtual-creators/</w:t>
      </w:r>
    </w:p>
    <w:p>
      <w:pPr>
        <w:widowControl/>
        <w:spacing w:after="40"/>
      </w:pPr>
      <w:r>
        <w:rPr>
          <w:b w:val="0"/>
          <w:sz w:val="18"/>
        </w:rPr>
        <w:t>[S2] Vedal AI官方站。展示Neuro-sama与Evil Neuro，以及Twitch、YouTube、社群、音乐和官方商店入口。</w:t>
      </w:r>
    </w:p>
    <w:p>
      <w:pPr>
        <w:widowControl/>
        <w:spacing w:after="100"/>
      </w:pPr>
      <w:r>
        <w:rPr>
          <w:b w:val="0"/>
          <w:sz w:val="16"/>
        </w:rPr>
        <w:t>https://vedal.ai/</w:t>
      </w:r>
    </w:p>
    <w:p>
      <w:pPr>
        <w:widowControl/>
        <w:spacing w:after="40"/>
      </w:pPr>
      <w:r>
        <w:rPr>
          <w:b w:val="0"/>
          <w:sz w:val="18"/>
        </w:rPr>
        <w:t>[S3] Vedal和Neuro-sama官方Bilibili账号。平台公开搜索快照显示约113万粉丝；账号简介为AI VTuber Neuro-sama官方频道。</w:t>
      </w:r>
    </w:p>
    <w:p>
      <w:pPr>
        <w:widowControl/>
        <w:spacing w:after="100"/>
      </w:pPr>
      <w:r>
        <w:rPr>
          <w:b w:val="0"/>
          <w:sz w:val="16"/>
        </w:rPr>
        <w:t>https://space.bilibili.com/3546729368520811</w:t>
      </w:r>
    </w:p>
    <w:p>
      <w:pPr>
        <w:widowControl/>
        <w:spacing w:after="40"/>
      </w:pPr>
      <w:r>
        <w:rPr>
          <w:b w:val="0"/>
          <w:sz w:val="18"/>
        </w:rPr>
        <w:t>[S4] Lumi和Nox创作者视频，2026年7月17日，讲述双AI同台直播两个月的调度与改进；配套开源仓库展示实时引擎。</w:t>
      </w:r>
    </w:p>
    <w:p>
      <w:pPr>
        <w:widowControl/>
        <w:spacing w:after="100"/>
      </w:pPr>
      <w:r>
        <w:rPr>
          <w:b w:val="0"/>
          <w:sz w:val="16"/>
        </w:rPr>
        <w:t>https://www.bilibili.com/video/BV1BVKj6FEde/</w:t>
      </w:r>
    </w:p>
    <w:p>
      <w:pPr>
        <w:widowControl/>
        <w:spacing w:after="100"/>
      </w:pPr>
      <w:r>
        <w:rPr>
          <w:b w:val="0"/>
          <w:sz w:val="16"/>
        </w:rPr>
        <w:t>https://github.com/MIO-456/Lumi_Nox</w:t>
      </w:r>
    </w:p>
    <w:p>
      <w:pPr>
        <w:widowControl/>
        <w:spacing w:after="40"/>
      </w:pPr>
      <w:r>
        <w:rPr>
          <w:b w:val="0"/>
          <w:sz w:val="18"/>
        </w:rPr>
        <w:t>[S5] Lumi和Nox官方账号2026年8月直播回放页面。公开快照显示约2.5万粉丝、每晚八点左右直播及社群入口。</w:t>
      </w:r>
    </w:p>
    <w:p>
      <w:pPr>
        <w:widowControl/>
        <w:spacing w:after="100"/>
      </w:pPr>
      <w:r>
        <w:rPr>
          <w:b w:val="0"/>
          <w:sz w:val="16"/>
        </w:rPr>
        <w:t>https://www.bilibili.com/video/BV1z9ux6eE9z/</w:t>
      </w:r>
    </w:p>
    <w:p>
      <w:pPr>
        <w:widowControl/>
        <w:spacing w:after="40"/>
      </w:pPr>
      <w:r>
        <w:rPr>
          <w:b w:val="0"/>
          <w:sz w:val="18"/>
        </w:rPr>
        <w:t>[S6] hololive官方于2022年6月16日公布Gawr Gura突破400万YouTube订阅；官方商店设有对应纪念商品。</w:t>
      </w:r>
    </w:p>
    <w:p>
      <w:pPr>
        <w:widowControl/>
        <w:spacing w:after="100"/>
      </w:pPr>
      <w:r>
        <w:rPr>
          <w:b w:val="0"/>
          <w:sz w:val="16"/>
        </w:rPr>
        <w:t>https://hololive.hololivepro.com/en/news/20220616-02-2/</w:t>
      </w:r>
    </w:p>
    <w:p>
      <w:pPr>
        <w:widowControl/>
        <w:spacing w:after="100"/>
      </w:pPr>
      <w:r>
        <w:rPr>
          <w:b w:val="0"/>
          <w:sz w:val="16"/>
        </w:rPr>
        <w:t>https://shop.hololivepro.com/en/products/gawrgura_4mil</w:t>
      </w:r>
    </w:p>
    <w:p>
      <w:pPr>
        <w:widowControl/>
        <w:spacing w:after="40"/>
      </w:pPr>
      <w:r>
        <w:rPr>
          <w:b w:val="0"/>
          <w:sz w:val="18"/>
        </w:rPr>
        <w:t>[S7] 星瞳官方Bilibili账号，平台公开搜索快照约113.5万粉丝；2026年官方视频展示BW粉丝活动。</w:t>
      </w:r>
    </w:p>
    <w:p>
      <w:pPr>
        <w:widowControl/>
        <w:spacing w:after="100"/>
      </w:pPr>
      <w:r>
        <w:rPr>
          <w:b w:val="0"/>
          <w:sz w:val="16"/>
        </w:rPr>
        <w:t>https://space.bilibili.com/401315430</w:t>
      </w:r>
    </w:p>
    <w:p>
      <w:pPr>
        <w:widowControl/>
        <w:spacing w:after="100"/>
      </w:pPr>
      <w:r>
        <w:rPr>
          <w:b w:val="0"/>
          <w:sz w:val="16"/>
        </w:rPr>
        <w:t>https://www.bilibili.com/list/401315430/?bvid=BV15LNb6WEoD</w:t>
      </w:r>
    </w:p>
    <w:p>
      <w:pPr>
        <w:widowControl/>
        <w:spacing w:after="40"/>
      </w:pPr>
      <w:r>
        <w:rPr>
          <w:b w:val="0"/>
          <w:sz w:val="18"/>
        </w:rPr>
        <w:t>[S8] 腾讯招聘2026年9月18日更新的虚环岗位；虚环官方2025年8月4日PV02，说明平行世界、主播角色、战队养成与战斗设计。</w:t>
      </w:r>
    </w:p>
    <w:p>
      <w:pPr>
        <w:widowControl/>
        <w:spacing w:after="100"/>
      </w:pPr>
      <w:r>
        <w:rPr>
          <w:b w:val="0"/>
          <w:sz w:val="16"/>
        </w:rPr>
        <w:t>https://careers.tencent.com/jobdesc.html?postId=2088165114518876160</w:t>
      </w:r>
    </w:p>
    <w:p>
      <w:pPr>
        <w:widowControl/>
        <w:spacing w:after="100"/>
      </w:pPr>
      <w:r>
        <w:rPr>
          <w:b w:val="0"/>
          <w:sz w:val="16"/>
        </w:rPr>
        <w:t>https://www.bilibili.com/video/BV1zQhjz6EsR/</w:t>
      </w:r>
    </w:p>
    <w:p>
      <w:r>
        <w:br w:type="page"/>
      </w:r>
    </w:p>
    <w:p>
      <w:pPr>
        <w:pStyle w:val="Heading1"/>
      </w:pPr>
      <w:r>
        <w:t>公开资料与数据来源 续</w:t>
      </w:r>
    </w:p>
    <w:p>
      <w:pPr>
        <w:widowControl/>
        <w:spacing w:after="40"/>
      </w:pPr>
      <w:r>
        <w:rPr>
          <w:b w:val="0"/>
          <w:sz w:val="18"/>
        </w:rPr>
        <w:t>[S9] 哔哩哔哩2025年第四季度及全年未经审计业绩，2026年3月5日披露。第四季度MAU为3.66亿、DAU为1.13亿。</w:t>
      </w:r>
    </w:p>
    <w:p>
      <w:pPr>
        <w:widowControl/>
        <w:spacing w:after="100"/>
      </w:pPr>
      <w:r>
        <w:rPr>
          <w:b w:val="0"/>
          <w:sz w:val="16"/>
        </w:rPr>
        <w:t>https://www.hkexnews.hk/listedco/listconews/sehk/2026/0305/2026030501412.pdf</w:t>
      </w:r>
    </w:p>
    <w:p>
      <w:pPr>
        <w:widowControl/>
        <w:spacing w:after="40"/>
      </w:pPr>
      <w:r>
        <w:rPr>
          <w:b w:val="0"/>
          <w:sz w:val="18"/>
        </w:rPr>
        <w:t>[S10] TikTok AI生成内容标识说明与YouTube频道会员资格和权益规则。</w:t>
      </w:r>
    </w:p>
    <w:p>
      <w:pPr>
        <w:widowControl/>
        <w:spacing w:after="100"/>
      </w:pPr>
      <w:r>
        <w:rPr>
          <w:b w:val="0"/>
          <w:sz w:val="16"/>
        </w:rPr>
        <w:t>https://support.tiktok.com/en/using-tiktok/creating-videos/ai-generated-content</w:t>
      </w:r>
    </w:p>
    <w:p>
      <w:pPr>
        <w:widowControl/>
        <w:spacing w:after="100"/>
      </w:pPr>
      <w:r>
        <w:rPr>
          <w:b w:val="0"/>
          <w:sz w:val="16"/>
        </w:rPr>
        <w:t>https://support.google.com/youtube/answer/7636690?hl=en</w:t>
      </w:r>
    </w:p>
    <w:p>
      <w:pPr>
        <w:widowControl/>
        <w:spacing w:after="40"/>
      </w:pPr>
      <w:r>
        <w:rPr>
          <w:b w:val="0"/>
          <w:sz w:val="18"/>
        </w:rPr>
        <w:t>[S11] 国家互联网信息办公室公开的人工智能生成合成内容标识办法与人工智能拟人化互动服务管理暂行办法，施行时间分别为2025年9月1日、2026年7月15日。</w:t>
      </w:r>
    </w:p>
    <w:p>
      <w:pPr>
        <w:widowControl/>
        <w:spacing w:after="100"/>
      </w:pPr>
      <w:r>
        <w:rPr>
          <w:b w:val="0"/>
          <w:sz w:val="16"/>
        </w:rPr>
        <w:t>https://www.cac.gov.cn/2025-03/14/c_1743654684782215.htm</w:t>
      </w:r>
    </w:p>
    <w:p>
      <w:pPr>
        <w:widowControl/>
        <w:spacing w:after="100"/>
      </w:pPr>
      <w:r>
        <w:rPr>
          <w:b w:val="0"/>
          <w:sz w:val="16"/>
        </w:rPr>
        <w:t>https://www.cac.gov.cn/2026-04/10/c_1777558395078289.htm</w:t>
      </w:r>
    </w:p>
    <w:p>
      <w:pPr>
        <w:pStyle w:val="Heading2"/>
      </w:pPr>
      <w:r>
        <w:t>经营测算口径</w:t>
      </w:r>
    </w:p>
    <w:p>
      <w:pPr>
        <w:widowControl/>
      </w:pPr>
      <w:r>
        <w:rPr>
          <w:b w:val="0"/>
        </w:rPr>
        <w:t>粉丝增长模型：200条重点切片×1.5万平均播放＝300万次播放；按1.5次人均观看、7.5%关注转化安排，得到约200万目标触达与15万年末关注目标。10万粉丝为团队设定的商业化升级节点。</w:t>
      </w:r>
    </w:p>
    <w:p>
      <w:pPr>
        <w:widowControl/>
      </w:pPr>
      <w:r>
        <w:rPr>
          <w:b w:val="0"/>
        </w:rPr>
        <w:t>基准收入模型：全年打赏到账17,400元；385个会员月×50元净到账＝19,250元；周边销售15,000元；商业合作10,000元，合计61,650元。日常运营52,000元，周边制作履约10,500元，运营收支余额-850元。</w:t>
      </w:r>
    </w:p>
    <w:p>
      <w:pPr>
        <w:widowControl/>
      </w:pPr>
      <w:r>
        <w:rPr>
          <w:b w:val="0"/>
        </w:rPr>
        <w:t>启动资产和工具25,000元，计入后全年现金缺口25,850元。10万元资金用途合计为25,000元首播投入、52,000元日常运营、10,500元周边周转与12,500元机动资金。历史研发工时暂列团队投入。</w:t>
      </w:r>
    </w:p>
    <w:p>
      <w:r>
        <w:br w:type="page"/>
      </w:r>
    </w:p>
    <w:p>
      <w:pPr>
        <w:pStyle w:val="Heading1"/>
      </w:pPr>
      <w:r>
        <w:t>市场调研补充来源 普通VUP与组织关系</w:t>
      </w:r>
    </w:p>
    <w:p>
      <w:pPr>
        <w:widowControl/>
        <w:spacing w:after="40"/>
      </w:pPr>
      <w:r>
        <w:rPr>
          <w:b w:val="0"/>
          <w:sz w:val="18"/>
        </w:rPr>
        <w:t>[R1] Wei与Tyson，Virtual Stars Real Fans，WWW 2025。研究2022年6月至2023年8月的B站VUP与会员行为；正文引用研究覆盖范围、首次会员记录及次月续费。</w:t>
      </w:r>
    </w:p>
    <w:p>
      <w:pPr>
        <w:widowControl/>
        <w:spacing w:after="100"/>
      </w:pPr>
      <w:r>
        <w:rPr>
          <w:b w:val="0"/>
          <w:sz w:val="16"/>
        </w:rPr>
        <w:t>https://arxiv.org/html/2502.01553v1</w:t>
      </w:r>
    </w:p>
    <w:p>
      <w:pPr>
        <w:widowControl/>
        <w:spacing w:after="40"/>
      </w:pPr>
      <w:r>
        <w:rPr>
          <w:b w:val="0"/>
          <w:sz w:val="18"/>
        </w:rPr>
        <w:t>[R2] Bilibili花火官方平台说明：公会服务包括接单、执行和结算。用于区分平台经纪合作与IP运营形态。</w:t>
      </w:r>
    </w:p>
    <w:p>
      <w:pPr>
        <w:widowControl/>
        <w:spacing w:after="100"/>
      </w:pPr>
      <w:r>
        <w:rPr>
          <w:b w:val="0"/>
          <w:sz w:val="16"/>
        </w:rPr>
        <w:t>https://huahuo.bilibili.com/</w:t>
      </w:r>
    </w:p>
    <w:p>
      <w:pPr>
        <w:widowControl/>
        <w:spacing w:after="40"/>
      </w:pPr>
      <w:r>
        <w:rPr>
          <w:b w:val="0"/>
          <w:sz w:val="18"/>
        </w:rPr>
        <w:t>[R3] hanser本人B站音频页面的账号快照，显示约507.1万粉丝。</w:t>
      </w:r>
    </w:p>
    <w:p>
      <w:pPr>
        <w:widowControl/>
        <w:spacing w:after="100"/>
      </w:pPr>
      <w:r>
        <w:rPr>
          <w:b w:val="0"/>
          <w:sz w:val="16"/>
        </w:rPr>
        <w:t>https://www.bilibili.com/audio/au12292</w:t>
      </w:r>
    </w:p>
    <w:p>
      <w:pPr>
        <w:widowControl/>
        <w:spacing w:after="40"/>
      </w:pPr>
      <w:r>
        <w:rPr>
          <w:b w:val="0"/>
          <w:sz w:val="18"/>
        </w:rPr>
        <w:t>[R4] VirtuaReal官方企划页展示Star合作创作者。组织合作按公开记录标注，具体合同在后续访谈核对。</w:t>
      </w:r>
    </w:p>
    <w:p>
      <w:pPr>
        <w:widowControl/>
        <w:spacing w:after="100"/>
      </w:pPr>
      <w:r>
        <w:rPr>
          <w:b w:val="0"/>
          <w:sz w:val="16"/>
        </w:rPr>
        <w:t>https://vrp.moe/en</w:t>
      </w:r>
    </w:p>
    <w:p>
      <w:pPr>
        <w:widowControl/>
        <w:spacing w:after="40"/>
      </w:pPr>
      <w:r>
        <w:rPr>
          <w:b w:val="0"/>
          <w:sz w:val="18"/>
        </w:rPr>
        <w:t>[R5] 小缘官方账号与作品页。B站公开搜索快照约155.1万粉丝；官方投稿提供直播和社群入口。</w:t>
      </w:r>
    </w:p>
    <w:p>
      <w:pPr>
        <w:widowControl/>
        <w:spacing w:after="100"/>
      </w:pPr>
      <w:r>
        <w:rPr>
          <w:b w:val="0"/>
          <w:sz w:val="16"/>
        </w:rPr>
        <w:t>https://space.bilibili.com/5055</w:t>
      </w:r>
    </w:p>
    <w:p>
      <w:pPr>
        <w:widowControl/>
        <w:spacing w:after="100"/>
      </w:pPr>
      <w:r>
        <w:rPr>
          <w:b w:val="0"/>
          <w:sz w:val="16"/>
        </w:rPr>
        <w:t>https://www.bilibili.com/video/BV1rU4y1Z7WP/</w:t>
      </w:r>
    </w:p>
    <w:p>
      <w:pPr>
        <w:widowControl/>
        <w:spacing w:after="40"/>
      </w:pPr>
      <w:r>
        <w:rPr>
          <w:b w:val="0"/>
          <w:sz w:val="18"/>
        </w:rPr>
        <w:t>[R6] 泠鸢yousa本人B站音频页面账号快照约341.9万粉丝；创作者专辑商店可查音乐作品。</w:t>
      </w:r>
    </w:p>
    <w:p>
      <w:pPr>
        <w:widowControl/>
        <w:spacing w:after="100"/>
      </w:pPr>
      <w:r>
        <w:rPr>
          <w:b w:val="0"/>
          <w:sz w:val="16"/>
        </w:rPr>
        <w:t>https://www.bilibili.com/audio/au236852</w:t>
      </w:r>
    </w:p>
    <w:p>
      <w:pPr>
        <w:widowControl/>
        <w:spacing w:after="100"/>
      </w:pPr>
      <w:r>
        <w:rPr>
          <w:b w:val="0"/>
          <w:sz w:val="16"/>
        </w:rPr>
        <w:t>https://www.dizzylab.net/l/泠鸢yousa/</w:t>
      </w:r>
    </w:p>
    <w:p>
      <w:pPr>
        <w:widowControl/>
        <w:spacing w:after="40"/>
      </w:pPr>
      <w:r>
        <w:rPr>
          <w:b w:val="0"/>
          <w:sz w:val="18"/>
        </w:rPr>
        <w:t>[R7] 兰音本人2023年10月10日动态说明与虚研科技合作成立工作室；公开官网展示约221万B站粉丝。</w:t>
      </w:r>
    </w:p>
    <w:p>
      <w:pPr>
        <w:widowControl/>
        <w:spacing w:after="100"/>
      </w:pPr>
      <w:r>
        <w:rPr>
          <w:b w:val="0"/>
          <w:sz w:val="16"/>
        </w:rPr>
        <w:t>https://www.bilibili.com/opus/850697850134200354</w:t>
      </w:r>
    </w:p>
    <w:p>
      <w:pPr>
        <w:widowControl/>
        <w:spacing w:after="100"/>
      </w:pPr>
      <w:r>
        <w:rPr>
          <w:b w:val="0"/>
          <w:sz w:val="16"/>
        </w:rPr>
        <w:t>https://lanyinreine.com/</w:t>
      </w:r>
    </w:p>
    <w:p>
      <w:r>
        <w:br w:type="page"/>
      </w:r>
    </w:p>
    <w:p>
      <w:pPr>
        <w:pStyle w:val="Heading1"/>
      </w:pPr>
      <w:r>
        <w:t>市场调研补充来源 角色社群与AI主播</w:t>
      </w:r>
    </w:p>
    <w:p>
      <w:pPr>
        <w:widowControl/>
        <w:spacing w:after="40"/>
      </w:pPr>
      <w:r>
        <w:rPr>
          <w:b w:val="0"/>
          <w:sz w:val="18"/>
        </w:rPr>
        <w:t>[R8] 永雏塔菲本人微博简介标注个人势；B站公开搜索快照约275.7万粉丝。</w:t>
      </w:r>
    </w:p>
    <w:p>
      <w:pPr>
        <w:widowControl/>
        <w:spacing w:after="100"/>
      </w:pPr>
      <w:r>
        <w:rPr>
          <w:b w:val="0"/>
          <w:sz w:val="16"/>
        </w:rPr>
        <w:t>https://weibo.com/7618923072/P961345fc</w:t>
      </w:r>
    </w:p>
    <w:p>
      <w:pPr>
        <w:widowControl/>
        <w:spacing w:after="100"/>
      </w:pPr>
      <w:r>
        <w:rPr>
          <w:b w:val="0"/>
          <w:sz w:val="16"/>
        </w:rPr>
        <w:t>https://space.bilibili.com/1265680561</w:t>
      </w:r>
    </w:p>
    <w:p>
      <w:pPr>
        <w:widowControl/>
        <w:spacing w:after="40"/>
      </w:pPr>
      <w:r>
        <w:rPr>
          <w:b w:val="0"/>
          <w:sz w:val="18"/>
        </w:rPr>
        <w:t>[R9] 雫るる本人2019年7月17日B站限定自我介绍，页面账号快照约116.2万粉丝，视频说明包含中文表达。</w:t>
      </w:r>
    </w:p>
    <w:p>
      <w:pPr>
        <w:widowControl/>
        <w:spacing w:after="100"/>
      </w:pPr>
      <w:r>
        <w:rPr>
          <w:b w:val="0"/>
          <w:sz w:val="16"/>
        </w:rPr>
        <w:t>https://www.bilibili.com/video/BV1vt411g7uH/</w:t>
      </w:r>
    </w:p>
    <w:p>
      <w:pPr>
        <w:widowControl/>
        <w:spacing w:after="40"/>
      </w:pPr>
      <w:r>
        <w:rPr>
          <w:b w:val="0"/>
          <w:sz w:val="18"/>
        </w:rPr>
        <w:t>[R10] MeUmy成员访谈记载双人组合与内容创作；B站官方账号公开搜索快照咩栗约102.7万、呜米约97.2万，近期公开专辑与合唱内容。</w:t>
      </w:r>
    </w:p>
    <w:p>
      <w:pPr>
        <w:widowControl/>
        <w:spacing w:after="100"/>
      </w:pPr>
      <w:r>
        <w:rPr>
          <w:b w:val="0"/>
          <w:sz w:val="16"/>
        </w:rPr>
        <w:t>https://youxichaguan.com/archives/154819</w:t>
      </w:r>
    </w:p>
    <w:p>
      <w:pPr>
        <w:widowControl/>
        <w:spacing w:after="100"/>
      </w:pPr>
      <w:r>
        <w:rPr>
          <w:b w:val="0"/>
          <w:sz w:val="16"/>
        </w:rPr>
        <w:t>https://space.bilibili.com/745493</w:t>
      </w:r>
    </w:p>
    <w:p>
      <w:pPr>
        <w:widowControl/>
        <w:spacing w:after="100"/>
      </w:pPr>
      <w:r>
        <w:rPr>
          <w:b w:val="0"/>
          <w:sz w:val="16"/>
        </w:rPr>
        <w:t>https://space.bilibili.com/617459493</w:t>
      </w:r>
    </w:p>
    <w:p>
      <w:pPr>
        <w:widowControl/>
        <w:spacing w:after="40"/>
      </w:pPr>
      <w:r>
        <w:rPr>
          <w:b w:val="0"/>
          <w:sz w:val="18"/>
        </w:rPr>
        <w:t>[R11] hololive官方2026年2月28日400万订阅纪念商品及2026年9月EP发布信息，确认宝钟马琳所属与作品商业化。</w:t>
      </w:r>
    </w:p>
    <w:p>
      <w:pPr>
        <w:widowControl/>
        <w:spacing w:after="100"/>
      </w:pPr>
      <w:r>
        <w:rPr>
          <w:b w:val="0"/>
          <w:sz w:val="16"/>
        </w:rPr>
        <w:t>https://shop.hololivepro.com/products/houshoumarine_subscribers_4m</w:t>
      </w:r>
    </w:p>
    <w:p>
      <w:pPr>
        <w:widowControl/>
        <w:spacing w:after="100"/>
      </w:pPr>
      <w:r>
        <w:rPr>
          <w:b w:val="0"/>
          <w:sz w:val="16"/>
        </w:rPr>
        <w:t>https://hololivepro.com/news/20260901-01-300/</w:t>
      </w:r>
    </w:p>
    <w:p>
      <w:pPr>
        <w:widowControl/>
        <w:spacing w:after="40"/>
      </w:pPr>
      <w:r>
        <w:rPr>
          <w:b w:val="0"/>
          <w:sz w:val="18"/>
        </w:rPr>
        <w:t>[R12] Lumi_Nox公开README与架构文档：双实时语音、发言仲裁、记忆、游戏与公开范围。读取日期2026年10月21日。</w:t>
      </w:r>
    </w:p>
    <w:p>
      <w:pPr>
        <w:widowControl/>
        <w:spacing w:after="100"/>
      </w:pPr>
      <w:r>
        <w:rPr>
          <w:b w:val="0"/>
          <w:sz w:val="16"/>
        </w:rPr>
        <w:t>https://github.com/MIO-456/Lumi_Nox</w:t>
      </w:r>
    </w:p>
    <w:p>
      <w:pPr>
        <w:widowControl/>
        <w:spacing w:after="100"/>
      </w:pPr>
      <w:r>
        <w:rPr>
          <w:b w:val="0"/>
          <w:sz w:val="16"/>
        </w:rPr>
        <w:t>https://github.com/MIO-456/Lumi_Nox/blob/main/docs/ARCHITECTURE.md</w:t>
      </w:r>
    </w:p>
    <w:p>
      <w:pPr>
        <w:pStyle w:val="Heading2"/>
      </w:pPr>
      <w:r>
        <w:t>本项目补充工程索引</w:t>
      </w:r>
    </w:p>
    <w:p>
      <w:pPr>
        <w:widowControl/>
      </w:pPr>
      <w:r>
        <w:rPr>
          <w:b w:val="0"/>
        </w:rPr>
        <w:t>[I4] src/brain.js、src/brain/memory-candidates.js、src/brain/memory.js、src/api/studio.js、tests/dual-persona-runtime.js及tests/memory-grounding-retrieval.js。用于核对记忆来源、人工确认、状态归属和中断处理。</w:t>
      </w:r>
    </w:p>
    <w:p>
      <w:pPr>
        <w:widowControl/>
      </w:pPr>
      <w:r>
        <w:rPr>
          <w:b w:val="0"/>
        </w:rPr>
        <w:t>[I5] output/sts2/streamer-acceptance.json与Minecraft库存日志。现有动作和口播快照的录屏与记录按统一场次继续整理；产品样例脚本在内部试播中执行。</w:t>
      </w:r>
    </w:p>
    <w:sectPr w:rsidR="00FC693F" w:rsidRPr="0006063C" w:rsidSect="00034616">
      <w:headerReference w:type="default" r:id="rId9"/>
      <w:footerReference w:type="default" r:id="rId10"/>
      <w:pgSz w:w="11906" w:h="16838"/>
      <w:pgMar w:top="1191" w:right="1219" w:bottom="1077" w:left="1219" w:header="482"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2026年10月21日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6"/>
      </w:rPr>
      <w:t>潮生智能    姬岁歌AI虚拟主播商业计划书</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Microsoft YaHei" w:hAnsi="Microsoft YaHei" w:eastAsia="Microsoft YaHei"/>
      <w:b w:val="0"/>
      <w:i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80" w:line="276" w:lineRule="auto"/>
      <w:outlineLvl w:val="0"/>
    </w:pPr>
    <w:rPr>
      <w:rFonts w:asciiTheme="majorHAnsi" w:eastAsiaTheme="majorEastAsia" w:hAnsiTheme="majorHAnsi" w:cstheme="majorBidi" w:ascii="Microsoft YaHei" w:hAnsi="Microsoft YaHei" w:eastAsia="Microsoft YaHei"/>
      <w:b/>
      <w:bCs/>
      <w:i w:val="0"/>
      <w:color w:val="000000"/>
      <w:sz w:val="34"/>
      <w:szCs w:val="28"/>
    </w:rPr>
  </w:style>
  <w:style w:type="paragraph" w:styleId="Heading2">
    <w:name w:val="heading 2"/>
    <w:basedOn w:val="Normal"/>
    <w:next w:val="Normal"/>
    <w:link w:val="Heading2Char"/>
    <w:uiPriority w:val="9"/>
    <w:unhideWhenUsed/>
    <w:qFormat/>
    <w:rsid w:val="00FC693F"/>
    <w:pPr>
      <w:keepNext/>
      <w:keepLines/>
      <w:spacing w:before="180" w:after="100" w:line="276" w:lineRule="auto"/>
      <w:outlineLvl w:val="1"/>
    </w:pPr>
    <w:rPr>
      <w:rFonts w:asciiTheme="majorHAnsi" w:eastAsiaTheme="majorEastAsia" w:hAnsiTheme="majorHAnsi" w:cstheme="majorBidi" w:ascii="Microsoft YaHei" w:hAnsi="Microsoft YaHei" w:eastAsia="Microsoft YaHei"/>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00" w:line="276" w:lineRule="auto"/>
      <w:outlineLvl w:val="2"/>
    </w:pPr>
    <w:rPr>
      <w:rFonts w:asciiTheme="majorHAnsi" w:eastAsiaTheme="majorEastAsia" w:hAnsiTheme="majorHAnsi" w:cstheme="majorBidi" w:ascii="Microsoft YaHei" w:hAnsi="Microsoft YaHei" w:eastAsia="Microsoft YaHei"/>
      <w:b/>
      <w:bCs/>
      <w:i w:val="0"/>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76" w:lineRule="auto"/>
      <w:contextualSpacing/>
    </w:pPr>
    <w:rPr>
      <w:rFonts w:asciiTheme="majorHAnsi" w:eastAsiaTheme="majorEastAsia" w:hAnsiTheme="majorHAnsi" w:cstheme="majorBidi" w:ascii="Microsoft YaHei" w:hAnsi="Microsoft YaHei" w:eastAsia="Microsoft YaHei"/>
      <w:b/>
      <w:i w:val="0"/>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00" w:line="276" w:lineRule="auto"/>
    </w:pPr>
    <w:rPr>
      <w:rFonts w:asciiTheme="majorHAnsi" w:eastAsiaTheme="majorEastAsia" w:hAnsiTheme="majorHAnsi" w:cstheme="majorBidi" w:ascii="Microsoft YaHei" w:hAnsi="Microsoft YaHei" w:eastAsia="Microsoft YaHei"/>
      <w:b w:val="0"/>
      <w:i w:val="0"/>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潮生智能商业计划书</dc:title>
  <dc:subject>姬岁歌AI虚拟主播与互动内容IP 昆山杯种子组 第四赛道AI for X</dc:subject>
  <dc:creator>潮生智能团队</dc:creator>
  <cp:keywords>姬岁歌 AI虚拟主播 人机共同直播 社群运营 互动内容IP</cp:keywords>
  <dc:description>generated by python-docx</dc:description>
  <cp:lastModifiedBy/>
  <cp:revision>1</cp:revision>
  <dcterms:created xsi:type="dcterms:W3CDTF">2013-12-23T23:15:00Z</dcterms:created>
  <dcterms:modified xsi:type="dcterms:W3CDTF">2013-12-23T23:15:00Z</dcterms:modified>
  <cp:category/>
</cp:coreProperties>
</file>