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ourier New" w:cs="Courier New" w:eastAsia="Courier New" w:hAnsi="Courier New"/>
          <w:b/>
          <w:bCs/>
          <w:color w:val="12A397"/>
          <w:spacing w:val="80"/>
          <w:sz w:val="17"/>
          <w:szCs w:val="17"/>
        </w:rPr>
        <w:t xml:space="preserve">WORKSHOP BRIEFING DOCUMENT</w:t>
      </w:r>
    </w:p>
    <w:p>
      <w:pPr>
        <w:pBdr>
          <w:top w:val="single" w:color="0E7A70" w:sz="36" w:space="1"/>
        </w:pBdr>
        <w:shd w:fill="0B1629" w:val="clear"/>
        <w:spacing w:after="0" w:before="0"/>
      </w:pPr>
      <w:r>
        <w:rPr>
          <w:rFonts w:ascii="Arial" w:cs="Arial" w:eastAsia="Arial" w:hAnsi="Arial"/>
          <w:b/>
          <w:bCs/>
          <w:color w:val="FFFFFF"/>
          <w:sz w:val="72"/>
          <w:szCs w:val="72"/>
        </w:rPr>
        <w:t xml:space="preserve">Agentic AI Systems</w:t>
      </w:r>
      <w:r>
        <w:rPr>
          <w:rFonts w:ascii="Arial" w:cs="Arial" w:eastAsia="Arial" w:hAnsi="Arial"/>
          <w:b/>
          <w:bCs/>
          <w:color w:val="12A397"/>
          <w:sz w:val="72"/>
          <w:szCs w:val="72"/>
        </w:rPr>
        <w:t xml:space="preserve"> &amp; Antarious AI</w:t>
      </w:r>
    </w:p>
    <w:p>
      <w:pPr>
        <w:shd w:fill="0B1629" w:val="clear"/>
        <w:spacing w:after="0" w:before="0"/>
      </w:pPr>
      <w:r>
        <w:rPr>
          <w:rFonts w:ascii="Arial" w:cs="Arial" w:eastAsia="Arial" w:hAnsi="Arial"/>
          <w:color w:val="AAAAAA"/>
          <w:sz w:val="22"/>
          <w:szCs w:val="22"/>
        </w:rPr>
        <w:t xml:space="preserve">A 2.5-hour executive training and hands-on workshop on Agentic AI — designed for PKSF leadership and programme professionals, aligned to microfinance and development programme operations.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EDBD3" w:sz="1"/>
              <w:left w:val="single" w:color="DEDBD3" w:sz="1"/>
              <w:bottom w:val="single" w:color="DEDBD3" w:sz="1"/>
              <w:right w:val="single" w:color="DEDBD3" w:sz="1"/>
            </w:tcBorders>
            <w:shd w:fill="14263F" w:val="clear"/>
            <w:tcMar>
              <w:top w:type="dxa" w:w="120"/>
              <w:left w:type="dxa" w:w="160"/>
              <w:bottom w:type="dxa" w:w="120"/>
              <w:right w:type="dxa" w:w="100"/>
            </w:tcMar>
          </w:tcPr>
          <w:p>
            <w:pPr>
              <w:spacing w:after="40" w:before="0"/>
            </w:pPr>
            <w:r>
              <w:rPr>
                <w:rFonts w:ascii="Arial" w:cs="Arial" w:eastAsia="Arial" w:hAnsi="Arial"/>
                <w:b/>
                <w:bCs/>
                <w:color w:val="FFFFFF"/>
                <w:sz w:val="36"/>
                <w:szCs w:val="36"/>
              </w:rPr>
              <w:t xml:space="preserve">April 2026</w:t>
            </w:r>
          </w:p>
          <w:p>
            <w:pPr>
              <w:spacing w:after="0" w:before="0"/>
            </w:pPr>
            <w:r>
              <w:rPr>
                <w:rFonts w:ascii="Courier New" w:cs="Courier New" w:eastAsia="Courier New" w:hAnsi="Courier New"/>
                <w:color w:val="777777"/>
                <w:spacing w:val="40"/>
                <w:sz w:val="15"/>
                <w:szCs w:val="15"/>
              </w:rPr>
              <w:t xml:space="preserve">PROPOSED MONTH · DATE TBC</w:t>
            </w:r>
          </w:p>
        </w:tc>
        <w:tc>
          <w:tcPr>
            <w:tcW w:type="dxa" w:w="2340"/>
            <w:tcBorders>
              <w:top w:val="single" w:color="DEDBD3" w:sz="1"/>
              <w:left w:val="single" w:color="DEDBD3" w:sz="1"/>
              <w:bottom w:val="single" w:color="DEDBD3" w:sz="1"/>
              <w:right w:val="single" w:color="DEDBD3" w:sz="1"/>
            </w:tcBorders>
            <w:shd w:fill="14263F" w:val="clear"/>
            <w:tcMar>
              <w:top w:type="dxa" w:w="120"/>
              <w:left w:type="dxa" w:w="160"/>
              <w:bottom w:type="dxa" w:w="120"/>
              <w:right w:type="dxa" w:w="100"/>
            </w:tcMar>
          </w:tcPr>
          <w:p>
            <w:pPr>
              <w:spacing w:after="40" w:before="0"/>
            </w:pPr>
            <w:r>
              <w:rPr>
                <w:rFonts w:ascii="Arial" w:cs="Arial" w:eastAsia="Arial" w:hAnsi="Arial"/>
                <w:b/>
                <w:bCs/>
                <w:color w:val="FFFFFF"/>
                <w:sz w:val="36"/>
                <w:szCs w:val="36"/>
              </w:rPr>
              <w:t xml:space="preserve">2.5 hrs</w:t>
            </w:r>
          </w:p>
          <w:p>
            <w:pPr>
              <w:spacing w:after="0" w:before="0"/>
            </w:pPr>
            <w:r>
              <w:rPr>
                <w:rFonts w:ascii="Courier New" w:cs="Courier New" w:eastAsia="Courier New" w:hAnsi="Courier New"/>
                <w:color w:val="777777"/>
                <w:spacing w:val="40"/>
                <w:sz w:val="15"/>
                <w:szCs w:val="15"/>
              </w:rPr>
              <w:t xml:space="preserve">TOTAL DURATION</w:t>
            </w:r>
          </w:p>
        </w:tc>
        <w:tc>
          <w:tcPr>
            <w:tcW w:type="dxa" w:w="2340"/>
            <w:tcBorders>
              <w:top w:val="single" w:color="DEDBD3" w:sz="1"/>
              <w:left w:val="single" w:color="DEDBD3" w:sz="1"/>
              <w:bottom w:val="single" w:color="DEDBD3" w:sz="1"/>
              <w:right w:val="single" w:color="DEDBD3" w:sz="1"/>
            </w:tcBorders>
            <w:shd w:fill="14263F" w:val="clear"/>
            <w:tcMar>
              <w:top w:type="dxa" w:w="120"/>
              <w:left w:type="dxa" w:w="160"/>
              <w:bottom w:type="dxa" w:w="120"/>
              <w:right w:type="dxa" w:w="100"/>
            </w:tcMar>
          </w:tcPr>
          <w:p>
            <w:pPr>
              <w:spacing w:after="40" w:before="0"/>
            </w:pPr>
            <w:r>
              <w:rPr>
                <w:rFonts w:ascii="Arial" w:cs="Arial" w:eastAsia="Arial" w:hAnsi="Arial"/>
                <w:b/>
                <w:bCs/>
                <w:color w:val="FFFFFF"/>
                <w:sz w:val="36"/>
                <w:szCs w:val="36"/>
              </w:rPr>
              <w:t xml:space="preserve">40</w:t>
            </w:r>
          </w:p>
          <w:p>
            <w:pPr>
              <w:spacing w:after="0" w:before="0"/>
            </w:pPr>
            <w:r>
              <w:rPr>
                <w:rFonts w:ascii="Courier New" w:cs="Courier New" w:eastAsia="Courier New" w:hAnsi="Courier New"/>
                <w:color w:val="777777"/>
                <w:spacing w:val="40"/>
                <w:sz w:val="15"/>
                <w:szCs w:val="15"/>
              </w:rPr>
              <w:t xml:space="preserve">PARTICIPANTS</w:t>
            </w:r>
          </w:p>
        </w:tc>
        <w:tc>
          <w:tcPr>
            <w:tcW w:type="dxa" w:w="2340"/>
            <w:tcBorders>
              <w:top w:val="single" w:color="DEDBD3" w:sz="1"/>
              <w:left w:val="single" w:color="DEDBD3" w:sz="1"/>
              <w:bottom w:val="single" w:color="DEDBD3" w:sz="1"/>
              <w:right w:val="single" w:color="DEDBD3" w:sz="1"/>
            </w:tcBorders>
            <w:shd w:fill="14263F" w:val="clear"/>
            <w:tcMar>
              <w:top w:type="dxa" w:w="120"/>
              <w:left w:type="dxa" w:w="160"/>
              <w:bottom w:type="dxa" w:w="120"/>
              <w:right w:type="dxa" w:w="100"/>
            </w:tcMar>
          </w:tcPr>
          <w:p>
            <w:pPr>
              <w:spacing w:after="40" w:before="0"/>
            </w:pPr>
            <w:r>
              <w:rPr>
                <w:rFonts w:ascii="Arial" w:cs="Arial" w:eastAsia="Arial" w:hAnsi="Arial"/>
                <w:b/>
                <w:bCs/>
                <w:color w:val="FFFFFF"/>
                <w:sz w:val="36"/>
                <w:szCs w:val="36"/>
              </w:rPr>
              <w:t xml:space="preserve">9</w:t>
            </w:r>
          </w:p>
          <w:p>
            <w:pPr>
              <w:spacing w:after="0" w:before="0"/>
            </w:pPr>
            <w:r>
              <w:rPr>
                <w:rFonts w:ascii="Courier New" w:cs="Courier New" w:eastAsia="Courier New" w:hAnsi="Courier New"/>
                <w:color w:val="777777"/>
                <w:spacing w:val="40"/>
                <w:sz w:val="15"/>
                <w:szCs w:val="15"/>
              </w:rPr>
              <w:t xml:space="preserve">AI AGENTS FOR PKSF</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8F44" w:sz="1"/>
              <w:left w:val="single" w:color="C48F44" w:sz="1"/>
              <w:bottom w:val="single" w:color="C48F44" w:sz="1"/>
              <w:right w:val="single" w:color="C48F44" w:sz="1"/>
            </w:tcBorders>
            <w:shd w:fill="FBF0E0" w:val="clear"/>
            <w:tcMar>
              <w:top w:type="dxa" w:w="120"/>
              <w:left w:type="dxa" w:w="160"/>
              <w:bottom w:type="dxa" w:w="120"/>
              <w:right w:type="dxa" w:w="160"/>
            </w:tcMar>
          </w:tcPr>
          <w:p>
            <w:pPr>
              <w:spacing w:after="0" w:before="0"/>
            </w:pPr>
            <w:r>
              <w:rPr>
                <w:rFonts w:ascii="Arial" w:cs="Arial" w:eastAsia="Arial" w:hAnsi="Arial"/>
                <w:b/>
                <w:bCs/>
                <w:color w:val="9A6F30"/>
                <w:sz w:val="20"/>
                <w:szCs w:val="20"/>
              </w:rPr>
              <w:t xml:space="preserve">📅  DATE IS TENTATIVE  — </w:t>
            </w:r>
            <w:r>
              <w:rPr>
                <w:rFonts w:ascii="Arial" w:cs="Arial" w:eastAsia="Arial" w:hAnsi="Arial"/>
                <w:color w:val="3A3A48"/>
                <w:sz w:val="20"/>
                <w:szCs w:val="20"/>
              </w:rPr>
              <w:t xml:space="preserve">The proposed date of April 28, 2026 is subject to confirmation. Final confirmation will be communicated once venue and logistics are arranged. All curriculum content and session structure are ready to proceed.</w:t>
            </w:r>
          </w:p>
        </w:tc>
      </w:tr>
    </w:tbl>
    <w:p>
      <w:pPr>
        <w:spacing w:after="80" w:before="0"/>
      </w:pPr>
    </w:p>
    <w:p>
      <w:pPr>
        <w:spacing w:after="0" w:before="80"/>
      </w:pPr>
      <w:r>
        <w:rPr>
          <w:rFonts w:ascii="Courier New" w:cs="Courier New" w:eastAsia="Courier New" w:hAnsi="Courier New"/>
          <w:b/>
          <w:bCs/>
          <w:color w:val="0E7A70"/>
          <w:sz w:val="19"/>
          <w:szCs w:val="19"/>
        </w:rPr>
        <w:t xml:space="preserve">Palli Karma-Sahayak Foundation (PKSF)</w:t>
      </w:r>
      <w:r>
        <w:rPr>
          <w:rFonts w:ascii="Arial" w:cs="Arial" w:eastAsia="Arial" w:hAnsi="Arial"/>
          <w:color w:val="7A7A88"/>
          <w:sz w:val="19"/>
          <w:szCs w:val="19"/>
        </w:rPr>
        <w:t xml:space="preserve">   ·   </w:t>
      </w:r>
      <w:r>
        <w:rPr>
          <w:rFonts w:ascii="Courier New" w:cs="Courier New" w:eastAsia="Courier New" w:hAnsi="Courier New"/>
          <w:b/>
          <w:bCs/>
          <w:color w:val="9A6F30"/>
          <w:sz w:val="19"/>
          <w:szCs w:val="19"/>
        </w:rPr>
        <w:t xml:space="preserve">Antarious AI  ·  Velondra Group</w:t>
      </w:r>
    </w:p>
    <w:p>
      <w:pPr>
        <w:pBdr>
          <w:bottom w:val="single" w:color="DEDBD3" w:sz="4" w:space="1"/>
        </w:pBdr>
        <w:spacing w:after="200" w:before="200"/>
      </w:pPr>
    </w:p>
    <w:p>
      <w:pPr>
        <w:spacing w:after="80" w:before="320"/>
      </w:pPr>
      <w:r>
        <w:rPr>
          <w:rFonts w:ascii="Arial" w:cs="Arial" w:eastAsia="Arial" w:hAnsi="Arial"/>
          <w:b/>
          <w:bCs/>
          <w:color w:val="0E7A70"/>
          <w:spacing w:val="60"/>
          <w:sz w:val="18"/>
          <w:szCs w:val="18"/>
        </w:rPr>
        <w:t xml:space="preserve">WORKSHOP OBJECTIVES</w:t>
      </w:r>
    </w:p>
    <w:p>
      <w:pPr>
        <w:pStyle w:val="Heading1"/>
        <w:spacing w:after="160" w:before="80"/>
      </w:pPr>
      <w:r>
        <w:rPr>
          <w:rFonts w:ascii="Arial" w:cs="Arial" w:eastAsia="Arial" w:hAnsi="Arial"/>
          <w:b/>
          <w:bCs/>
          <w:color w:val="0B1629"/>
          <w:sz w:val="44"/>
          <w:szCs w:val="44"/>
        </w:rPr>
        <w:t xml:space="preserve">What participants will leave knowing and able to do</w:t>
      </w:r>
    </w:p>
    <w:p>
      <w:pPr>
        <w:spacing w:after="120" w:before="0"/>
      </w:pPr>
      <w:r>
        <w:rPr>
          <w:rFonts w:ascii="Arial" w:cs="Arial" w:eastAsia="Arial" w:hAnsi="Arial"/>
          <w:color w:val="3A3A48"/>
          <w:sz w:val="22"/>
          <w:szCs w:val="22"/>
        </w:rPr>
        <w:t xml:space="preserve">By the end of this 2.5-hour session, all 40 PKSF executives and programme professionals will have a grounded understanding of Agentic AI systems and the hands-on ability to operate Antarious AI — customised for PKSF's specific operational workflows.</w:t>
      </w:r>
    </w:p>
    <w:p>
      <w:pPr>
        <w:spacing w:after="80" w:before="0"/>
      </w:pPr>
    </w:p>
    <w:p>
      <w:pPr>
        <w:pStyle w:val="ListParagraph"/>
        <w:numPr>
          <w:ilvl w:val="0"/>
          <w:numId w:val="2"/>
        </w:numPr>
        <w:spacing w:after="40" w:before="40"/>
      </w:pPr>
      <w:r>
        <w:rPr>
          <w:rFonts w:ascii="Arial" w:cs="Arial" w:eastAsia="Arial" w:hAnsi="Arial"/>
          <w:color w:val="3A3A48"/>
          <w:sz w:val="21"/>
          <w:szCs w:val="21"/>
        </w:rPr>
        <w:t xml:space="preserve">Understand what Agentic AI is and how it differs fundamentally from conventional AI tools and traditional software</w:t>
      </w:r>
    </w:p>
    <w:p>
      <w:pPr>
        <w:pStyle w:val="ListParagraph"/>
        <w:numPr>
          <w:ilvl w:val="0"/>
          <w:numId w:val="2"/>
        </w:numPr>
        <w:spacing w:after="40" w:before="40"/>
      </w:pPr>
      <w:r>
        <w:rPr>
          <w:rFonts w:ascii="Arial" w:cs="Arial" w:eastAsia="Arial" w:hAnsi="Arial"/>
          <w:color w:val="3A3A48"/>
          <w:sz w:val="21"/>
          <w:szCs w:val="21"/>
        </w:rPr>
        <w:t xml:space="preserve">Understand the role of Chatbots and Virtual Assistants — and how they fit into the broader AI landscape as conversational interfaces</w:t>
      </w:r>
    </w:p>
    <w:p>
      <w:pPr>
        <w:pStyle w:val="ListParagraph"/>
        <w:numPr>
          <w:ilvl w:val="0"/>
          <w:numId w:val="2"/>
        </w:numPr>
        <w:spacing w:after="40" w:before="40"/>
      </w:pPr>
      <w:r>
        <w:rPr>
          <w:rFonts w:ascii="Arial" w:cs="Arial" w:eastAsia="Arial" w:hAnsi="Arial"/>
          <w:color w:val="3A3A48"/>
          <w:sz w:val="21"/>
          <w:szCs w:val="21"/>
        </w:rPr>
        <w:t xml:space="preserve">Understand the architecture of multi-agent systems — how agents observe, reason, execute, escalate, and learn</w:t>
      </w:r>
    </w:p>
    <w:p>
      <w:pPr>
        <w:pStyle w:val="ListParagraph"/>
        <w:numPr>
          <w:ilvl w:val="0"/>
          <w:numId w:val="2"/>
        </w:numPr>
        <w:spacing w:after="40" w:before="40"/>
      </w:pPr>
      <w:r>
        <w:rPr>
          <w:rFonts w:ascii="Arial" w:cs="Arial" w:eastAsia="Arial" w:hAnsi="Arial"/>
          <w:color w:val="3A3A48"/>
          <w:sz w:val="21"/>
          <w:szCs w:val="21"/>
        </w:rPr>
        <w:t xml:space="preserve">Understand AI Agents and Automated Decision Making — how autonomous agents make structured decisions and when human oversight applies</w:t>
      </w:r>
    </w:p>
    <w:p>
      <w:pPr>
        <w:pStyle w:val="ListParagraph"/>
        <w:numPr>
          <w:ilvl w:val="0"/>
          <w:numId w:val="2"/>
        </w:numPr>
        <w:spacing w:after="40" w:before="40"/>
      </w:pPr>
      <w:r>
        <w:rPr>
          <w:rFonts w:ascii="Arial" w:cs="Arial" w:eastAsia="Arial" w:hAnsi="Arial"/>
          <w:color w:val="3A3A48"/>
          <w:sz w:val="21"/>
          <w:szCs w:val="21"/>
        </w:rPr>
        <w:t xml:space="preserve">Identify specific PKSF workflows where Agentic AI creates measurable impact — M&amp;E reporting, PO monitoring, beneficiary analytics, and donor communications</w:t>
      </w:r>
    </w:p>
    <w:p>
      <w:pPr>
        <w:pStyle w:val="ListParagraph"/>
        <w:numPr>
          <w:ilvl w:val="0"/>
          <w:numId w:val="2"/>
        </w:numPr>
        <w:spacing w:after="40" w:before="40"/>
      </w:pPr>
      <w:r>
        <w:rPr>
          <w:rFonts w:ascii="Arial" w:cs="Arial" w:eastAsia="Arial" w:hAnsi="Arial"/>
          <w:color w:val="3A3A48"/>
          <w:sz w:val="21"/>
          <w:szCs w:val="21"/>
        </w:rPr>
        <w:t xml:space="preserve">Understand Antarious AI's 9 PKSF-specific agents and how each maps to real programme management responsibilities</w:t>
      </w:r>
    </w:p>
    <w:p>
      <w:pPr>
        <w:pStyle w:val="ListParagraph"/>
        <w:numPr>
          <w:ilvl w:val="0"/>
          <w:numId w:val="2"/>
        </w:numPr>
        <w:spacing w:after="40" w:before="40"/>
      </w:pPr>
      <w:r>
        <w:rPr>
          <w:rFonts w:ascii="Arial" w:cs="Arial" w:eastAsia="Arial" w:hAnsi="Arial"/>
          <w:color w:val="3A3A48"/>
          <w:sz w:val="21"/>
          <w:szCs w:val="21"/>
        </w:rPr>
        <w:t xml:space="preserve">Complete hands-on tasks using the live Antarious AI system — querying data, generating reports, reviewing and approving agent outputs</w:t>
      </w:r>
    </w:p>
    <w:p>
      <w:pPr>
        <w:pStyle w:val="ListParagraph"/>
        <w:numPr>
          <w:ilvl w:val="0"/>
          <w:numId w:val="2"/>
        </w:numPr>
        <w:spacing w:after="40" w:before="40"/>
      </w:pPr>
      <w:r>
        <w:rPr>
          <w:rFonts w:ascii="Arial" w:cs="Arial" w:eastAsia="Arial" w:hAnsi="Arial"/>
          <w:color w:val="3A3A48"/>
          <w:sz w:val="21"/>
          <w:szCs w:val="21"/>
        </w:rPr>
        <w:t xml:space="preserve">Leave with the confidence to use Antarious AI independently and introduce it to their teams</w:t>
      </w:r>
    </w:p>
    <w:p>
      <w:pPr>
        <w:pBdr>
          <w:bottom w:val="single" w:color="DEDBD3" w:sz="4" w:space="1"/>
        </w:pBdr>
        <w:spacing w:after="200" w:before="200"/>
      </w:pPr>
    </w:p>
    <w:p>
      <w:pPr>
        <w:spacing w:after="80" w:before="320"/>
      </w:pPr>
      <w:r>
        <w:rPr>
          <w:rFonts w:ascii="Arial" w:cs="Arial" w:eastAsia="Arial" w:hAnsi="Arial"/>
          <w:b/>
          <w:bCs/>
          <w:color w:val="0E7A70"/>
          <w:spacing w:val="60"/>
          <w:sz w:val="18"/>
          <w:szCs w:val="18"/>
        </w:rPr>
        <w:t xml:space="preserve">FULL WORKSHOP SCHEDULE</w:t>
      </w:r>
    </w:p>
    <w:p>
      <w:pPr>
        <w:pStyle w:val="Heading1"/>
        <w:spacing w:after="160" w:before="80"/>
      </w:pPr>
      <w:r>
        <w:rPr>
          <w:rFonts w:ascii="Arial" w:cs="Arial" w:eastAsia="Arial" w:hAnsi="Arial"/>
          <w:b/>
          <w:bCs/>
          <w:color w:val="0B1629"/>
          <w:sz w:val="44"/>
          <w:szCs w:val="44"/>
        </w:rPr>
        <w:t xml:space="preserve">Session timeline — 2 hours 30 minutes</w:t>
      </w:r>
    </w:p>
    <w:p>
      <w:pPr>
        <w:spacing w:after="120" w:before="0"/>
      </w:pPr>
      <w:r>
        <w:rPr>
          <w:rFonts w:ascii="Arial" w:cs="Arial" w:eastAsia="Arial" w:hAnsi="Arial"/>
          <w:color w:val="3A3A48"/>
          <w:sz w:val="22"/>
          <w:szCs w:val="22"/>
        </w:rPr>
        <w:t xml:space="preserve">Two distinct parts. The first 1 hour 30 minutes is structured training covering Agentic AI concepts and the Antarious AI platform. The final 1 hour is guided, live hands-on practice for all participants on the actual system.</w:t>
      </w:r>
    </w:p>
    <w:p>
      <w:pPr>
        <w:spacing w:after="120" w:before="0"/>
      </w:pPr>
    </w:p>
    <w:p>
      <w:pPr>
        <w:pBdr>
          <w:bottom w:val="single" w:color="DEDBD3" w:sz="2" w:space="1"/>
        </w:pBdr>
        <w:spacing w:after="140" w:before="0"/>
      </w:pPr>
      <w:r>
        <w:rPr>
          <w:rFonts w:ascii="Courier New" w:cs="Courier New" w:eastAsia="Courier New" w:hAnsi="Courier New"/>
          <w:b/>
          <w:bCs/>
          <w:color w:val="7A7A88"/>
          <w:spacing w:val="40"/>
          <w:sz w:val="17"/>
          <w:szCs w:val="17"/>
        </w:rPr>
        <w:t xml:space="preserve">PART ONE  ·  TRAINING SESSION  ·  1 HOUR 30 MINUTES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DEDBD3" w:sz="1"/>
              <w:left w:val="single" w:color="DEDBD3" w:sz="1"/>
              <w:bottom w:val="single" w:color="DEDBD3" w:sz="1"/>
              <w:right w:val="single" w:color="DEDBD3" w:sz="1"/>
            </w:tcBorders>
            <w:shd w:fill="14263F" w:val="clear"/>
            <w:tcMar>
              <w:top w:type="dxa" w:w="120"/>
              <w:left w:type="dxa" w:w="160"/>
              <w:bottom w:type="dxa" w:w="120"/>
              <w:right w:type="dxa" w:w="120"/>
            </w:tcMar>
            <w:vAlign w:val="center"/>
          </w:tcPr>
          <w:p>
            <w:pPr>
              <w:jc w:val="center"/>
            </w:pPr>
            <w:r>
              <w:rPr>
                <w:rFonts w:ascii="Courier New" w:cs="Courier New" w:eastAsia="Courier New" w:hAnsi="Courier New"/>
                <w:b/>
                <w:bCs/>
                <w:color w:val="FFFFFF"/>
                <w:sz w:val="20"/>
                <w:szCs w:val="20"/>
              </w:rPr>
              <w:t xml:space="preserve">00:00</w:t>
            </w:r>
          </w:p>
        </w:tc>
        <w:tc>
          <w:tcPr>
            <w:tcW w:type="dxa" w:w="6560"/>
            <w:tcBorders>
              <w:top w:val="single" w:color="DEDBD3" w:sz="1"/>
              <w:left w:val="single" w:color="DEDBD3" w:sz="1"/>
              <w:bottom w:val="single" w:color="DEDBD3" w:sz="1"/>
              <w:right w:val="single" w:color="DEDBD3" w:sz="1"/>
            </w:tcBorders>
            <w:shd w:fill="14263F" w:val="clear"/>
            <w:tcMar>
              <w:top w:type="dxa" w:w="120"/>
              <w:left w:type="dxa" w:w="160"/>
              <w:bottom w:type="dxa" w:w="120"/>
              <w:right w:type="dxa" w:w="120"/>
            </w:tcMar>
          </w:tcPr>
          <w:p>
            <w:pPr>
              <w:spacing w:after="40" w:before="0"/>
            </w:pPr>
            <w:r>
              <w:rPr>
                <w:rFonts w:ascii="Arial" w:cs="Arial" w:eastAsia="Arial" w:hAnsi="Arial"/>
                <w:b/>
                <w:bCs/>
                <w:color w:val="FFFFFF"/>
                <w:sz w:val="24"/>
                <w:szCs w:val="24"/>
              </w:rPr>
              <w:t xml:space="preserve">Welcome, Introductions &amp; Context Setting</w:t>
            </w:r>
          </w:p>
          <w:p>
            <w:pPr>
              <w:spacing w:after="0" w:before="0"/>
            </w:pPr>
            <w:r>
              <w:rPr>
                <w:rFonts w:ascii="Arial" w:cs="Arial" w:eastAsia="Arial" w:hAnsi="Arial"/>
                <w:color w:val="AAAAAA"/>
                <w:sz w:val="17"/>
                <w:szCs w:val="17"/>
              </w:rPr>
              <w:t xml:space="preserve">Opening · Facilitated</w:t>
            </w:r>
          </w:p>
        </w:tc>
        <w:tc>
          <w:tcPr>
            <w:tcW w:type="dxa" w:w="1600"/>
            <w:tcBorders>
              <w:top w:val="single" w:color="DEDBD3" w:sz="1"/>
              <w:left w:val="single" w:color="DEDBD3" w:sz="1"/>
              <w:bottom w:val="single" w:color="DEDBD3" w:sz="1"/>
              <w:right w:val="single" w:color="DEDBD3" w:sz="1"/>
            </w:tcBorders>
            <w:shd w:fill="14263F" w:val="clear"/>
            <w:tcMar>
              <w:top w:type="dxa" w:w="120"/>
              <w:left w:type="dxa" w:w="120"/>
              <w:bottom w:type="dxa" w:w="120"/>
              <w:right w:type="dxa" w:w="120"/>
            </w:tcMar>
            <w:vAlign w:val="center"/>
          </w:tcPr>
          <w:p>
            <w:pPr>
              <w:jc w:val="center"/>
            </w:pPr>
            <w:r>
              <w:rPr>
                <w:rFonts w:ascii="Courier New" w:cs="Courier New" w:eastAsia="Courier New" w:hAnsi="Courier New"/>
                <w:b/>
                <w:bCs/>
                <w:color w:val="AAAAAA"/>
                <w:sz w:val="20"/>
                <w:szCs w:val="20"/>
              </w:rPr>
              <w:t xml:space="preserve">10 min</w:t>
            </w:r>
          </w:p>
        </w:tc>
      </w:tr>
      <w:tr>
        <w:tc>
          <w:tcPr>
            <w:tcW w:type="dxa" w:w="1200"/>
            <w:tcBorders>
              <w:top w:val="single" w:color="DEDBD3" w:sz="1"/>
              <w:left w:val="single" w:color="DEDBD3" w:sz="1"/>
              <w:bottom w:val="single" w:color="DEDBD3" w:sz="1"/>
              <w:right w:val="single" w:color="DEDBD3" w:sz="1"/>
            </w:tcBorders>
            <w:shd w:fill="F5F4F0" w:val="clear"/>
            <w:tcMar>
              <w:top w:type="dxa" w:w="60"/>
              <w:left w:type="dxa" w:w="100"/>
              <w:bottom w:type="dxa" w:w="60"/>
              <w:right w:type="dxa" w:w="100"/>
            </w:tcMar>
          </w:tcPr>
          <w:p/>
        </w:tc>
        <w:tc>
          <w:tcPr>
            <w:tcW w:type="dxa" w:w="8160"/>
            <w:tcBorders>
              <w:top w:val="single" w:color="DEDBD3" w:sz="1"/>
              <w:left w:val="single" w:color="DEDBD3" w:sz="1"/>
              <w:bottom w:val="single" w:color="DEDBD3" w:sz="1"/>
              <w:right w:val="single" w:color="DEDBD3" w:sz="1"/>
            </w:tcBorders>
            <w:shd w:fill="F5F4F0" w:val="clear"/>
            <w:tcMar>
              <w:top w:type="dxa" w:w="100"/>
              <w:left w:type="dxa" w:w="160"/>
              <w:bottom w:type="dxa" w:w="100"/>
              <w:right w:type="dxa" w:w="160"/>
            </w:tcMar>
          </w:tcPr>
          <w:p>
            <w:pPr>
              <w:spacing w:after="40" w:before="40"/>
            </w:pPr>
            <w:r>
              <w:rPr>
                <w:rFonts w:ascii="Arial" w:cs="Arial" w:eastAsia="Arial" w:hAnsi="Arial"/>
                <w:color w:val="3A3A48"/>
                <w:sz w:val="19"/>
                <w:szCs w:val="19"/>
              </w:rPr>
              <w:t xml:space="preserve">› Welcome by PKSF leadership and introduction of the session facilitator</w:t>
            </w:r>
          </w:p>
          <w:p>
            <w:pPr>
              <w:spacing w:after="40" w:before="40"/>
            </w:pPr>
            <w:r>
              <w:rPr>
                <w:rFonts w:ascii="Arial" w:cs="Arial" w:eastAsia="Arial" w:hAnsi="Arial"/>
                <w:color w:val="3A3A48"/>
                <w:sz w:val="19"/>
                <w:szCs w:val="19"/>
              </w:rPr>
              <w:t xml:space="preserve">› Overview of why PKSF is exploring Agentic AI — the programme management case</w:t>
            </w:r>
          </w:p>
          <w:p>
            <w:pPr>
              <w:spacing w:after="40" w:before="40"/>
            </w:pPr>
            <w:r>
              <w:rPr>
                <w:rFonts w:ascii="Arial" w:cs="Arial" w:eastAsia="Arial" w:hAnsi="Arial"/>
                <w:color w:val="3A3A48"/>
                <w:sz w:val="19"/>
                <w:szCs w:val="19"/>
              </w:rPr>
              <w:t xml:space="preserve">› Workshop structure, session format, and how the hands-on component works</w:t>
            </w:r>
          </w:p>
        </w:tc>
      </w:tr>
    </w:tbl>
    <w:p>
      <w:pPr>
        <w:spacing w:after="4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DEDBD3" w:sz="1"/>
              <w:left w:val="single" w:color="DEDBD3" w:sz="1"/>
              <w:bottom w:val="single" w:color="DEDBD3" w:sz="1"/>
              <w:right w:val="single" w:color="DEDBD3" w:sz="1"/>
            </w:tcBorders>
            <w:shd w:fill="0E7A70" w:val="clear"/>
            <w:tcMar>
              <w:top w:type="dxa" w:w="120"/>
              <w:left w:type="dxa" w:w="160"/>
              <w:bottom w:type="dxa" w:w="120"/>
              <w:right w:type="dxa" w:w="120"/>
            </w:tcMar>
            <w:vAlign w:val="center"/>
          </w:tcPr>
          <w:p>
            <w:pPr>
              <w:jc w:val="center"/>
            </w:pPr>
            <w:r>
              <w:rPr>
                <w:rFonts w:ascii="Courier New" w:cs="Courier New" w:eastAsia="Courier New" w:hAnsi="Courier New"/>
                <w:b/>
                <w:bCs/>
                <w:color w:val="FFFFFF"/>
                <w:sz w:val="20"/>
                <w:szCs w:val="20"/>
              </w:rPr>
              <w:t xml:space="preserve">00:10</w:t>
            </w:r>
          </w:p>
        </w:tc>
        <w:tc>
          <w:tcPr>
            <w:tcW w:type="dxa" w:w="6560"/>
            <w:tcBorders>
              <w:top w:val="single" w:color="DEDBD3" w:sz="1"/>
              <w:left w:val="single" w:color="DEDBD3" w:sz="1"/>
              <w:bottom w:val="single" w:color="DEDBD3" w:sz="1"/>
              <w:right w:val="single" w:color="DEDBD3" w:sz="1"/>
            </w:tcBorders>
            <w:shd w:fill="0E7A70" w:val="clear"/>
            <w:tcMar>
              <w:top w:type="dxa" w:w="120"/>
              <w:left w:type="dxa" w:w="160"/>
              <w:bottom w:type="dxa" w:w="120"/>
              <w:right w:type="dxa" w:w="120"/>
            </w:tcMar>
          </w:tcPr>
          <w:p>
            <w:pPr>
              <w:spacing w:after="40" w:before="0"/>
            </w:pPr>
            <w:r>
              <w:rPr>
                <w:rFonts w:ascii="Arial" w:cs="Arial" w:eastAsia="Arial" w:hAnsi="Arial"/>
                <w:b/>
                <w:bCs/>
                <w:color w:val="FFFFFF"/>
                <w:sz w:val="24"/>
                <w:szCs w:val="24"/>
              </w:rPr>
              <w:t xml:space="preserve">Module 1 — What is Agentic AI?</w:t>
            </w:r>
          </w:p>
          <w:p>
            <w:pPr>
              <w:spacing w:after="0" w:before="0"/>
            </w:pPr>
            <w:r>
              <w:rPr>
                <w:rFonts w:ascii="Arial" w:cs="Arial" w:eastAsia="Arial" w:hAnsi="Arial"/>
                <w:color w:val="AAAAAA"/>
                <w:sz w:val="17"/>
                <w:szCs w:val="17"/>
              </w:rPr>
              <w:t xml:space="preserve">Foundation · No prior AI knowledge assumed</w:t>
            </w:r>
          </w:p>
        </w:tc>
        <w:tc>
          <w:tcPr>
            <w:tcW w:type="dxa" w:w="1600"/>
            <w:tcBorders>
              <w:top w:val="single" w:color="DEDBD3" w:sz="1"/>
              <w:left w:val="single" w:color="DEDBD3" w:sz="1"/>
              <w:bottom w:val="single" w:color="DEDBD3" w:sz="1"/>
              <w:right w:val="single" w:color="DEDBD3" w:sz="1"/>
            </w:tcBorders>
            <w:shd w:fill="0E7A70" w:val="clear"/>
            <w:tcMar>
              <w:top w:type="dxa" w:w="120"/>
              <w:left w:type="dxa" w:w="120"/>
              <w:bottom w:type="dxa" w:w="120"/>
              <w:right w:type="dxa" w:w="120"/>
            </w:tcMar>
            <w:vAlign w:val="center"/>
          </w:tcPr>
          <w:p>
            <w:pPr>
              <w:jc w:val="center"/>
            </w:pPr>
            <w:r>
              <w:rPr>
                <w:rFonts w:ascii="Courier New" w:cs="Courier New" w:eastAsia="Courier New" w:hAnsi="Courier New"/>
                <w:b/>
                <w:bCs/>
                <w:color w:val="AAAAAA"/>
                <w:sz w:val="20"/>
                <w:szCs w:val="20"/>
              </w:rPr>
              <w:t xml:space="preserve">15 min</w:t>
            </w:r>
          </w:p>
        </w:tc>
      </w:tr>
      <w:tr>
        <w:tc>
          <w:tcPr>
            <w:tcW w:type="dxa" w:w="1200"/>
            <w:tcBorders>
              <w:top w:val="single" w:color="DEDBD3" w:sz="1"/>
              <w:left w:val="single" w:color="DEDBD3" w:sz="1"/>
              <w:bottom w:val="single" w:color="DEDBD3" w:sz="1"/>
              <w:right w:val="single" w:color="DEDBD3" w:sz="1"/>
            </w:tcBorders>
            <w:shd w:fill="F5F4F0" w:val="clear"/>
            <w:tcMar>
              <w:top w:type="dxa" w:w="60"/>
              <w:left w:type="dxa" w:w="100"/>
              <w:bottom w:type="dxa" w:w="60"/>
              <w:right w:type="dxa" w:w="100"/>
            </w:tcMar>
          </w:tcPr>
          <w:p/>
        </w:tc>
        <w:tc>
          <w:tcPr>
            <w:tcW w:type="dxa" w:w="8160"/>
            <w:tcBorders>
              <w:top w:val="single" w:color="DEDBD3" w:sz="1"/>
              <w:left w:val="single" w:color="DEDBD3" w:sz="1"/>
              <w:bottom w:val="single" w:color="DEDBD3" w:sz="1"/>
              <w:right w:val="single" w:color="DEDBD3" w:sz="1"/>
            </w:tcBorders>
            <w:shd w:fill="F5F4F0" w:val="clear"/>
            <w:tcMar>
              <w:top w:type="dxa" w:w="100"/>
              <w:left w:type="dxa" w:w="160"/>
              <w:bottom w:type="dxa" w:w="100"/>
              <w:right w:type="dxa" w:w="160"/>
            </w:tcMar>
          </w:tcPr>
          <w:p>
            <w:pPr>
              <w:spacing w:after="40" w:before="40"/>
            </w:pPr>
            <w:r>
              <w:rPr>
                <w:rFonts w:ascii="Arial" w:cs="Arial" w:eastAsia="Arial" w:hAnsi="Arial"/>
                <w:color w:val="3A3A48"/>
                <w:sz w:val="19"/>
                <w:szCs w:val="19"/>
              </w:rPr>
              <w:t xml:space="preserve">› AI vs traditional software — the fundamental difference in how each operates</w:t>
            </w:r>
          </w:p>
          <w:p>
            <w:pPr>
              <w:spacing w:after="40" w:before="40"/>
            </w:pPr>
            <w:r>
              <w:rPr>
                <w:rFonts w:ascii="Arial" w:cs="Arial" w:eastAsia="Arial" w:hAnsi="Arial"/>
                <w:color w:val="3A3A48"/>
                <w:sz w:val="19"/>
                <w:szCs w:val="19"/>
              </w:rPr>
              <w:t xml:space="preserve">› The spectrum: chatbot → AI assistant → AI agent → agentic system</w:t>
            </w:r>
          </w:p>
          <w:p>
            <w:pPr>
              <w:spacing w:after="40" w:before="40"/>
            </w:pPr>
            <w:r>
              <w:rPr>
                <w:rFonts w:ascii="Arial" w:cs="Arial" w:eastAsia="Arial" w:hAnsi="Arial"/>
                <w:color w:val="3A3A48"/>
                <w:sz w:val="19"/>
                <w:szCs w:val="19"/>
              </w:rPr>
              <w:t xml:space="preserve">› What makes an AI 'agentic' — autonomy, persistent memory, tool use, goal-seeking</w:t>
            </w:r>
          </w:p>
          <w:p>
            <w:pPr>
              <w:spacing w:after="40" w:before="40"/>
            </w:pPr>
            <w:r>
              <w:rPr>
                <w:rFonts w:ascii="Arial" w:cs="Arial" w:eastAsia="Arial" w:hAnsi="Arial"/>
                <w:color w:val="3A3A48"/>
                <w:sz w:val="19"/>
                <w:szCs w:val="19"/>
              </w:rPr>
              <w:t xml:space="preserve">› Real-world examples relevant to a development organisation context</w:t>
            </w:r>
          </w:p>
        </w:tc>
      </w:tr>
    </w:tbl>
    <w:p>
      <w:pPr>
        <w:spacing w:after="4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DEDBD3" w:sz="1"/>
              <w:left w:val="single" w:color="DEDBD3" w:sz="1"/>
              <w:bottom w:val="single" w:color="DEDBD3" w:sz="1"/>
              <w:right w:val="single" w:color="DEDBD3" w:sz="1"/>
            </w:tcBorders>
            <w:shd w:fill="0E7A70" w:val="clear"/>
            <w:tcMar>
              <w:top w:type="dxa" w:w="120"/>
              <w:left w:type="dxa" w:w="160"/>
              <w:bottom w:type="dxa" w:w="120"/>
              <w:right w:type="dxa" w:w="120"/>
            </w:tcMar>
            <w:vAlign w:val="center"/>
          </w:tcPr>
          <w:p>
            <w:pPr>
              <w:jc w:val="center"/>
            </w:pPr>
            <w:r>
              <w:rPr>
                <w:rFonts w:ascii="Courier New" w:cs="Courier New" w:eastAsia="Courier New" w:hAnsi="Courier New"/>
                <w:b/>
                <w:bCs/>
                <w:color w:val="FFFFFF"/>
                <w:sz w:val="20"/>
                <w:szCs w:val="20"/>
              </w:rPr>
              <w:t xml:space="preserve">00:25</w:t>
            </w:r>
          </w:p>
        </w:tc>
        <w:tc>
          <w:tcPr>
            <w:tcW w:type="dxa" w:w="6560"/>
            <w:tcBorders>
              <w:top w:val="single" w:color="DEDBD3" w:sz="1"/>
              <w:left w:val="single" w:color="DEDBD3" w:sz="1"/>
              <w:bottom w:val="single" w:color="DEDBD3" w:sz="1"/>
              <w:right w:val="single" w:color="DEDBD3" w:sz="1"/>
            </w:tcBorders>
            <w:shd w:fill="0E7A70" w:val="clear"/>
            <w:tcMar>
              <w:top w:type="dxa" w:w="120"/>
              <w:left w:type="dxa" w:w="160"/>
              <w:bottom w:type="dxa" w:w="120"/>
              <w:right w:type="dxa" w:w="120"/>
            </w:tcMar>
          </w:tcPr>
          <w:p>
            <w:pPr>
              <w:spacing w:after="40" w:before="0"/>
            </w:pPr>
            <w:r>
              <w:rPr>
                <w:rFonts w:ascii="Arial" w:cs="Arial" w:eastAsia="Arial" w:hAnsi="Arial"/>
                <w:b/>
                <w:bCs/>
                <w:color w:val="FFFFFF"/>
                <w:sz w:val="24"/>
                <w:szCs w:val="24"/>
              </w:rPr>
              <w:t xml:space="preserve">Module 2 — Chatbots &amp; Virtual Assistants</w:t>
            </w:r>
          </w:p>
          <w:p>
            <w:pPr>
              <w:spacing w:after="0" w:before="0"/>
            </w:pPr>
            <w:r>
              <w:rPr>
                <w:rFonts w:ascii="Arial" w:cs="Arial" w:eastAsia="Arial" w:hAnsi="Arial"/>
                <w:color w:val="AAAAAA"/>
                <w:sz w:val="17"/>
                <w:szCs w:val="17"/>
              </w:rPr>
              <w:t xml:space="preserve">Understanding Conversational AI · From Rule-Based to LLM-Powered</w:t>
            </w:r>
          </w:p>
        </w:tc>
        <w:tc>
          <w:tcPr>
            <w:tcW w:type="dxa" w:w="1600"/>
            <w:tcBorders>
              <w:top w:val="single" w:color="DEDBD3" w:sz="1"/>
              <w:left w:val="single" w:color="DEDBD3" w:sz="1"/>
              <w:bottom w:val="single" w:color="DEDBD3" w:sz="1"/>
              <w:right w:val="single" w:color="DEDBD3" w:sz="1"/>
            </w:tcBorders>
            <w:shd w:fill="0E7A70" w:val="clear"/>
            <w:tcMar>
              <w:top w:type="dxa" w:w="120"/>
              <w:left w:type="dxa" w:w="120"/>
              <w:bottom w:type="dxa" w:w="120"/>
              <w:right w:type="dxa" w:w="120"/>
            </w:tcMar>
            <w:vAlign w:val="center"/>
          </w:tcPr>
          <w:p>
            <w:pPr>
              <w:jc w:val="center"/>
            </w:pPr>
            <w:r>
              <w:rPr>
                <w:rFonts w:ascii="Courier New" w:cs="Courier New" w:eastAsia="Courier New" w:hAnsi="Courier New"/>
                <w:b/>
                <w:bCs/>
                <w:color w:val="AAAAAA"/>
                <w:sz w:val="20"/>
                <w:szCs w:val="20"/>
              </w:rPr>
              <w:t xml:space="preserve">15 min</w:t>
            </w:r>
          </w:p>
        </w:tc>
      </w:tr>
      <w:tr>
        <w:tc>
          <w:tcPr>
            <w:tcW w:type="dxa" w:w="1200"/>
            <w:tcBorders>
              <w:top w:val="single" w:color="DEDBD3" w:sz="1"/>
              <w:left w:val="single" w:color="DEDBD3" w:sz="1"/>
              <w:bottom w:val="single" w:color="DEDBD3" w:sz="1"/>
              <w:right w:val="single" w:color="DEDBD3" w:sz="1"/>
            </w:tcBorders>
            <w:shd w:fill="F5F4F0" w:val="clear"/>
            <w:tcMar>
              <w:top w:type="dxa" w:w="60"/>
              <w:left w:type="dxa" w:w="100"/>
              <w:bottom w:type="dxa" w:w="60"/>
              <w:right w:type="dxa" w:w="100"/>
            </w:tcMar>
          </w:tcPr>
          <w:p/>
        </w:tc>
        <w:tc>
          <w:tcPr>
            <w:tcW w:type="dxa" w:w="8160"/>
            <w:tcBorders>
              <w:top w:val="single" w:color="DEDBD3" w:sz="1"/>
              <w:left w:val="single" w:color="DEDBD3" w:sz="1"/>
              <w:bottom w:val="single" w:color="DEDBD3" w:sz="1"/>
              <w:right w:val="single" w:color="DEDBD3" w:sz="1"/>
            </w:tcBorders>
            <w:shd w:fill="F5F4F0" w:val="clear"/>
            <w:tcMar>
              <w:top w:type="dxa" w:w="100"/>
              <w:left w:type="dxa" w:w="160"/>
              <w:bottom w:type="dxa" w:w="100"/>
              <w:right w:type="dxa" w:w="160"/>
            </w:tcMar>
          </w:tcPr>
          <w:p>
            <w:pPr>
              <w:spacing w:after="40" w:before="40"/>
            </w:pPr>
            <w:r>
              <w:rPr>
                <w:rFonts w:ascii="Arial" w:cs="Arial" w:eastAsia="Arial" w:hAnsi="Arial"/>
                <w:color w:val="3A3A48"/>
                <w:sz w:val="19"/>
                <w:szCs w:val="19"/>
              </w:rPr>
              <w:t xml:space="preserve">› What chatbots and virtual assistants are — and how they work</w:t>
            </w:r>
          </w:p>
          <w:p>
            <w:pPr>
              <w:spacing w:after="40" w:before="40"/>
            </w:pPr>
            <w:r>
              <w:rPr>
                <w:rFonts w:ascii="Arial" w:cs="Arial" w:eastAsia="Arial" w:hAnsi="Arial"/>
                <w:color w:val="3A3A48"/>
                <w:sz w:val="19"/>
                <w:szCs w:val="19"/>
              </w:rPr>
              <w:t xml:space="preserve">› Rule-based vs AI-powered chatbots — the generational leap explained</w:t>
            </w:r>
          </w:p>
          <w:p>
            <w:pPr>
              <w:spacing w:after="40" w:before="40"/>
            </w:pPr>
            <w:r>
              <w:rPr>
                <w:rFonts w:ascii="Arial" w:cs="Arial" w:eastAsia="Arial" w:hAnsi="Arial"/>
                <w:color w:val="3A3A48"/>
                <w:sz w:val="19"/>
                <w:szCs w:val="19"/>
              </w:rPr>
              <w:t xml:space="preserve">› Real-world deployment examples: customer service, helpdesks, internal tools</w:t>
            </w:r>
          </w:p>
          <w:p>
            <w:pPr>
              <w:spacing w:after="40" w:before="40"/>
            </w:pPr>
            <w:r>
              <w:rPr>
                <w:rFonts w:ascii="Arial" w:cs="Arial" w:eastAsia="Arial" w:hAnsi="Arial"/>
                <w:color w:val="3A3A48"/>
                <w:sz w:val="19"/>
                <w:szCs w:val="19"/>
              </w:rPr>
              <w:t xml:space="preserve">› How chatbots serve as the 'front door' to more complex AI systems</w:t>
            </w:r>
          </w:p>
          <w:p>
            <w:pPr>
              <w:spacing w:after="40" w:before="40"/>
            </w:pPr>
            <w:r>
              <w:rPr>
                <w:rFonts w:ascii="Arial" w:cs="Arial" w:eastAsia="Arial" w:hAnsi="Arial"/>
                <w:color w:val="3A3A48"/>
                <w:sz w:val="19"/>
                <w:szCs w:val="19"/>
              </w:rPr>
              <w:t xml:space="preserve">› Limitations of chatbots and where AI agents take over</w:t>
            </w:r>
          </w:p>
        </w:tc>
      </w:tr>
    </w:tbl>
    <w:p>
      <w:pPr>
        <w:spacing w:after="4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DEDBD3" w:sz="1"/>
              <w:left w:val="single" w:color="DEDBD3" w:sz="1"/>
              <w:bottom w:val="single" w:color="DEDBD3" w:sz="1"/>
              <w:right w:val="single" w:color="DEDBD3" w:sz="1"/>
            </w:tcBorders>
            <w:shd w:fill="0E7A70" w:val="clear"/>
            <w:tcMar>
              <w:top w:type="dxa" w:w="120"/>
              <w:left w:type="dxa" w:w="160"/>
              <w:bottom w:type="dxa" w:w="120"/>
              <w:right w:type="dxa" w:w="120"/>
            </w:tcMar>
            <w:vAlign w:val="center"/>
          </w:tcPr>
          <w:p>
            <w:pPr>
              <w:jc w:val="center"/>
            </w:pPr>
            <w:r>
              <w:rPr>
                <w:rFonts w:ascii="Courier New" w:cs="Courier New" w:eastAsia="Courier New" w:hAnsi="Courier New"/>
                <w:b/>
                <w:bCs/>
                <w:color w:val="FFFFFF"/>
                <w:sz w:val="20"/>
                <w:szCs w:val="20"/>
              </w:rPr>
              <w:t xml:space="preserve">00:40</w:t>
            </w:r>
          </w:p>
        </w:tc>
        <w:tc>
          <w:tcPr>
            <w:tcW w:type="dxa" w:w="6560"/>
            <w:tcBorders>
              <w:top w:val="single" w:color="DEDBD3" w:sz="1"/>
              <w:left w:val="single" w:color="DEDBD3" w:sz="1"/>
              <w:bottom w:val="single" w:color="DEDBD3" w:sz="1"/>
              <w:right w:val="single" w:color="DEDBD3" w:sz="1"/>
            </w:tcBorders>
            <w:shd w:fill="0E7A70" w:val="clear"/>
            <w:tcMar>
              <w:top w:type="dxa" w:w="120"/>
              <w:left w:type="dxa" w:w="160"/>
              <w:bottom w:type="dxa" w:w="120"/>
              <w:right w:type="dxa" w:w="120"/>
            </w:tcMar>
          </w:tcPr>
          <w:p>
            <w:pPr>
              <w:spacing w:after="40" w:before="0"/>
            </w:pPr>
            <w:r>
              <w:rPr>
                <w:rFonts w:ascii="Arial" w:cs="Arial" w:eastAsia="Arial" w:hAnsi="Arial"/>
                <w:b/>
                <w:bCs/>
                <w:color w:val="FFFFFF"/>
                <w:sz w:val="24"/>
                <w:szCs w:val="24"/>
              </w:rPr>
              <w:t xml:space="preserve">Module 3 — How AI Agents Think and Act</w:t>
            </w:r>
          </w:p>
          <w:p>
            <w:pPr>
              <w:spacing w:after="0" w:before="0"/>
            </w:pPr>
            <w:r>
              <w:rPr>
                <w:rFonts w:ascii="Arial" w:cs="Arial" w:eastAsia="Arial" w:hAnsi="Arial"/>
                <w:color w:val="AAAAAA"/>
                <w:sz w:val="17"/>
                <w:szCs w:val="17"/>
              </w:rPr>
              <w:t xml:space="preserve">Core Mechanics · The Agent Loop</w:t>
            </w:r>
          </w:p>
        </w:tc>
        <w:tc>
          <w:tcPr>
            <w:tcW w:type="dxa" w:w="1600"/>
            <w:tcBorders>
              <w:top w:val="single" w:color="DEDBD3" w:sz="1"/>
              <w:left w:val="single" w:color="DEDBD3" w:sz="1"/>
              <w:bottom w:val="single" w:color="DEDBD3" w:sz="1"/>
              <w:right w:val="single" w:color="DEDBD3" w:sz="1"/>
            </w:tcBorders>
            <w:shd w:fill="0E7A70" w:val="clear"/>
            <w:tcMar>
              <w:top w:type="dxa" w:w="120"/>
              <w:left w:type="dxa" w:w="120"/>
              <w:bottom w:type="dxa" w:w="120"/>
              <w:right w:type="dxa" w:w="120"/>
            </w:tcMar>
            <w:vAlign w:val="center"/>
          </w:tcPr>
          <w:p>
            <w:pPr>
              <w:jc w:val="center"/>
            </w:pPr>
            <w:r>
              <w:rPr>
                <w:rFonts w:ascii="Courier New" w:cs="Courier New" w:eastAsia="Courier New" w:hAnsi="Courier New"/>
                <w:b/>
                <w:bCs/>
                <w:color w:val="AAAAAA"/>
                <w:sz w:val="20"/>
                <w:szCs w:val="20"/>
              </w:rPr>
              <w:t xml:space="preserve">20 min</w:t>
            </w:r>
          </w:p>
        </w:tc>
      </w:tr>
      <w:tr>
        <w:tc>
          <w:tcPr>
            <w:tcW w:type="dxa" w:w="1200"/>
            <w:tcBorders>
              <w:top w:val="single" w:color="DEDBD3" w:sz="1"/>
              <w:left w:val="single" w:color="DEDBD3" w:sz="1"/>
              <w:bottom w:val="single" w:color="DEDBD3" w:sz="1"/>
              <w:right w:val="single" w:color="DEDBD3" w:sz="1"/>
            </w:tcBorders>
            <w:shd w:fill="F5F4F0" w:val="clear"/>
            <w:tcMar>
              <w:top w:type="dxa" w:w="60"/>
              <w:left w:type="dxa" w:w="100"/>
              <w:bottom w:type="dxa" w:w="60"/>
              <w:right w:type="dxa" w:w="100"/>
            </w:tcMar>
          </w:tcPr>
          <w:p/>
        </w:tc>
        <w:tc>
          <w:tcPr>
            <w:tcW w:type="dxa" w:w="8160"/>
            <w:tcBorders>
              <w:top w:val="single" w:color="DEDBD3" w:sz="1"/>
              <w:left w:val="single" w:color="DEDBD3" w:sz="1"/>
              <w:bottom w:val="single" w:color="DEDBD3" w:sz="1"/>
              <w:right w:val="single" w:color="DEDBD3" w:sz="1"/>
            </w:tcBorders>
            <w:shd w:fill="F5F4F0" w:val="clear"/>
            <w:tcMar>
              <w:top w:type="dxa" w:w="100"/>
              <w:left w:type="dxa" w:w="160"/>
              <w:bottom w:type="dxa" w:w="100"/>
              <w:right w:type="dxa" w:w="160"/>
            </w:tcMar>
          </w:tcPr>
          <w:p>
            <w:pPr>
              <w:spacing w:after="40" w:before="40"/>
            </w:pPr>
            <w:r>
              <w:rPr>
                <w:rFonts w:ascii="Arial" w:cs="Arial" w:eastAsia="Arial" w:hAnsi="Arial"/>
                <w:color w:val="3A3A48"/>
                <w:sz w:val="19"/>
                <w:szCs w:val="19"/>
              </w:rPr>
              <w:t xml:space="preserve">› The 6-step Agent Loop: Observe → Analyse → Plan → Execute → Escalate → Learn</w:t>
            </w:r>
          </w:p>
          <w:p>
            <w:pPr>
              <w:spacing w:after="40" w:before="40"/>
            </w:pPr>
            <w:r>
              <w:rPr>
                <w:rFonts w:ascii="Arial" w:cs="Arial" w:eastAsia="Arial" w:hAnsi="Arial"/>
                <w:color w:val="3A3A48"/>
                <w:sz w:val="19"/>
                <w:szCs w:val="19"/>
              </w:rPr>
              <w:t xml:space="preserve">› Persistent memory — how agents retain context and improve across sessions</w:t>
            </w:r>
          </w:p>
          <w:p>
            <w:pPr>
              <w:spacing w:after="40" w:before="40"/>
            </w:pPr>
            <w:r>
              <w:rPr>
                <w:rFonts w:ascii="Arial" w:cs="Arial" w:eastAsia="Arial" w:hAnsi="Arial"/>
                <w:color w:val="3A3A48"/>
                <w:sz w:val="19"/>
                <w:szCs w:val="19"/>
              </w:rPr>
              <w:t xml:space="preserve">› Tool use and integrations — how agents connect to live data and act in real systems</w:t>
            </w:r>
          </w:p>
          <w:p>
            <w:pPr>
              <w:spacing w:after="40" w:before="40"/>
            </w:pPr>
            <w:r>
              <w:rPr>
                <w:rFonts w:ascii="Arial" w:cs="Arial" w:eastAsia="Arial" w:hAnsi="Arial"/>
                <w:color w:val="3A3A48"/>
                <w:sz w:val="19"/>
                <w:szCs w:val="19"/>
              </w:rPr>
              <w:t xml:space="preserve">› Human-in-the-loop — the approval gates that ensure humans remain in control</w:t>
            </w:r>
          </w:p>
          <w:p>
            <w:pPr>
              <w:spacing w:after="40" w:before="40"/>
            </w:pPr>
            <w:r>
              <w:rPr>
                <w:rFonts w:ascii="Arial" w:cs="Arial" w:eastAsia="Arial" w:hAnsi="Arial"/>
                <w:color w:val="3A3A48"/>
                <w:sz w:val="19"/>
                <w:szCs w:val="19"/>
              </w:rPr>
              <w:t xml:space="preserve">› Multi-agent systems — how specialist agents coordinate under a central orchestrator</w:t>
            </w:r>
          </w:p>
        </w:tc>
      </w:tr>
    </w:tbl>
    <w:p>
      <w:pPr>
        <w:spacing w:after="4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DEDBD3" w:sz="1"/>
              <w:left w:val="single" w:color="DEDBD3" w:sz="1"/>
              <w:bottom w:val="single" w:color="DEDBD3" w:sz="1"/>
              <w:right w:val="single" w:color="DEDBD3" w:sz="1"/>
            </w:tcBorders>
            <w:shd w:fill="9A6F30" w:val="clear"/>
            <w:tcMar>
              <w:top w:type="dxa" w:w="120"/>
              <w:left w:type="dxa" w:w="160"/>
              <w:bottom w:type="dxa" w:w="120"/>
              <w:right w:type="dxa" w:w="120"/>
            </w:tcMar>
            <w:vAlign w:val="center"/>
          </w:tcPr>
          <w:p>
            <w:pPr>
              <w:jc w:val="center"/>
            </w:pPr>
            <w:r>
              <w:rPr>
                <w:rFonts w:ascii="Courier New" w:cs="Courier New" w:eastAsia="Courier New" w:hAnsi="Courier New"/>
                <w:b/>
                <w:bCs/>
                <w:color w:val="FFFFFF"/>
                <w:sz w:val="20"/>
                <w:szCs w:val="20"/>
              </w:rPr>
              <w:t xml:space="preserve">00:60</w:t>
            </w:r>
          </w:p>
        </w:tc>
        <w:tc>
          <w:tcPr>
            <w:tcW w:type="dxa" w:w="6560"/>
            <w:tcBorders>
              <w:top w:val="single" w:color="DEDBD3" w:sz="1"/>
              <w:left w:val="single" w:color="DEDBD3" w:sz="1"/>
              <w:bottom w:val="single" w:color="DEDBD3" w:sz="1"/>
              <w:right w:val="single" w:color="DEDBD3" w:sz="1"/>
            </w:tcBorders>
            <w:shd w:fill="9A6F30" w:val="clear"/>
            <w:tcMar>
              <w:top w:type="dxa" w:w="120"/>
              <w:left w:type="dxa" w:w="160"/>
              <w:bottom w:type="dxa" w:w="120"/>
              <w:right w:type="dxa" w:w="120"/>
            </w:tcMar>
          </w:tcPr>
          <w:p>
            <w:pPr>
              <w:spacing w:after="40" w:before="0"/>
            </w:pPr>
            <w:r>
              <w:rPr>
                <w:rFonts w:ascii="Arial" w:cs="Arial" w:eastAsia="Arial" w:hAnsi="Arial"/>
                <w:b/>
                <w:bCs/>
                <w:color w:val="FFFFFF"/>
                <w:sz w:val="24"/>
                <w:szCs w:val="24"/>
              </w:rPr>
              <w:t xml:space="preserve">Module 4 — AI Agents &amp; Automated Decision Making</w:t>
            </w:r>
          </w:p>
          <w:p>
            <w:pPr>
              <w:spacing w:after="0" w:before="0"/>
            </w:pPr>
            <w:r>
              <w:rPr>
                <w:rFonts w:ascii="Arial" w:cs="Arial" w:eastAsia="Arial" w:hAnsi="Arial"/>
                <w:color w:val="AAAAAA"/>
                <w:sz w:val="17"/>
                <w:szCs w:val="17"/>
              </w:rPr>
              <w:t xml:space="preserve">Autonomous Action · Decision Logic · Governance</w:t>
            </w:r>
          </w:p>
        </w:tc>
        <w:tc>
          <w:tcPr>
            <w:tcW w:type="dxa" w:w="1600"/>
            <w:tcBorders>
              <w:top w:val="single" w:color="DEDBD3" w:sz="1"/>
              <w:left w:val="single" w:color="DEDBD3" w:sz="1"/>
              <w:bottom w:val="single" w:color="DEDBD3" w:sz="1"/>
              <w:right w:val="single" w:color="DEDBD3" w:sz="1"/>
            </w:tcBorders>
            <w:shd w:fill="9A6F30" w:val="clear"/>
            <w:tcMar>
              <w:top w:type="dxa" w:w="120"/>
              <w:left w:type="dxa" w:w="120"/>
              <w:bottom w:type="dxa" w:w="120"/>
              <w:right w:type="dxa" w:w="120"/>
            </w:tcMar>
            <w:vAlign w:val="center"/>
          </w:tcPr>
          <w:p>
            <w:pPr>
              <w:jc w:val="center"/>
            </w:pPr>
            <w:r>
              <w:rPr>
                <w:rFonts w:ascii="Courier New" w:cs="Courier New" w:eastAsia="Courier New" w:hAnsi="Courier New"/>
                <w:b/>
                <w:bCs/>
                <w:color w:val="AAAAAA"/>
                <w:sz w:val="20"/>
                <w:szCs w:val="20"/>
              </w:rPr>
              <w:t xml:space="preserve">20 min</w:t>
            </w:r>
          </w:p>
        </w:tc>
      </w:tr>
      <w:tr>
        <w:tc>
          <w:tcPr>
            <w:tcW w:type="dxa" w:w="1200"/>
            <w:tcBorders>
              <w:top w:val="single" w:color="DEDBD3" w:sz="1"/>
              <w:left w:val="single" w:color="DEDBD3" w:sz="1"/>
              <w:bottom w:val="single" w:color="DEDBD3" w:sz="1"/>
              <w:right w:val="single" w:color="DEDBD3" w:sz="1"/>
            </w:tcBorders>
            <w:shd w:fill="F5F4F0" w:val="clear"/>
            <w:tcMar>
              <w:top w:type="dxa" w:w="60"/>
              <w:left w:type="dxa" w:w="100"/>
              <w:bottom w:type="dxa" w:w="60"/>
              <w:right w:type="dxa" w:w="100"/>
            </w:tcMar>
          </w:tcPr>
          <w:p/>
        </w:tc>
        <w:tc>
          <w:tcPr>
            <w:tcW w:type="dxa" w:w="8160"/>
            <w:tcBorders>
              <w:top w:val="single" w:color="DEDBD3" w:sz="1"/>
              <w:left w:val="single" w:color="DEDBD3" w:sz="1"/>
              <w:bottom w:val="single" w:color="DEDBD3" w:sz="1"/>
              <w:right w:val="single" w:color="DEDBD3" w:sz="1"/>
            </w:tcBorders>
            <w:shd w:fill="F5F4F0" w:val="clear"/>
            <w:tcMar>
              <w:top w:type="dxa" w:w="100"/>
              <w:left w:type="dxa" w:w="160"/>
              <w:bottom w:type="dxa" w:w="100"/>
              <w:right w:type="dxa" w:w="160"/>
            </w:tcMar>
          </w:tcPr>
          <w:p>
            <w:pPr>
              <w:spacing w:after="40" w:before="40"/>
            </w:pPr>
            <w:r>
              <w:rPr>
                <w:rFonts w:ascii="Arial" w:cs="Arial" w:eastAsia="Arial" w:hAnsi="Arial"/>
                <w:color w:val="3A3A48"/>
                <w:sz w:val="19"/>
                <w:szCs w:val="19"/>
              </w:rPr>
              <w:t xml:space="preserve">› How AI agents make structured decisions — rule-based, model-based, and hybrid approaches</w:t>
            </w:r>
          </w:p>
          <w:p>
            <w:pPr>
              <w:spacing w:after="40" w:before="40"/>
            </w:pPr>
            <w:r>
              <w:rPr>
                <w:rFonts w:ascii="Arial" w:cs="Arial" w:eastAsia="Arial" w:hAnsi="Arial"/>
                <w:color w:val="3A3A48"/>
                <w:sz w:val="19"/>
                <w:szCs w:val="19"/>
              </w:rPr>
              <w:t xml:space="preserve">› The difference between automation, autonomous decision-making, and human-directed AI</w:t>
            </w:r>
          </w:p>
          <w:p>
            <w:pPr>
              <w:spacing w:after="40" w:before="40"/>
            </w:pPr>
            <w:r>
              <w:rPr>
                <w:rFonts w:ascii="Arial" w:cs="Arial" w:eastAsia="Arial" w:hAnsi="Arial"/>
                <w:color w:val="3A3A48"/>
                <w:sz w:val="19"/>
                <w:szCs w:val="19"/>
              </w:rPr>
              <w:t xml:space="preserve">› Decision confidence thresholds — when an agent acts vs when it escalates to a human</w:t>
            </w:r>
          </w:p>
          <w:p>
            <w:pPr>
              <w:spacing w:after="40" w:before="40"/>
            </w:pPr>
            <w:r>
              <w:rPr>
                <w:rFonts w:ascii="Arial" w:cs="Arial" w:eastAsia="Arial" w:hAnsi="Arial"/>
                <w:color w:val="3A3A48"/>
                <w:sz w:val="19"/>
                <w:szCs w:val="19"/>
              </w:rPr>
              <w:t xml:space="preserve">› Accountability and audit trails — how every automated decision is recorded and reviewable</w:t>
            </w:r>
          </w:p>
          <w:p>
            <w:pPr>
              <w:spacing w:after="40" w:before="40"/>
            </w:pPr>
            <w:r>
              <w:rPr>
                <w:rFonts w:ascii="Arial" w:cs="Arial" w:eastAsia="Arial" w:hAnsi="Arial"/>
                <w:color w:val="3A3A48"/>
                <w:sz w:val="19"/>
                <w:szCs w:val="19"/>
              </w:rPr>
              <w:t xml:space="preserve">› Risk management in automated workflows — guardrails, rollback, and override mechanisms</w:t>
            </w:r>
          </w:p>
          <w:p>
            <w:pPr>
              <w:spacing w:after="40" w:before="40"/>
            </w:pPr>
            <w:r>
              <w:rPr>
                <w:rFonts w:ascii="Arial" w:cs="Arial" w:eastAsia="Arial" w:hAnsi="Arial"/>
                <w:color w:val="3A3A48"/>
                <w:sz w:val="19"/>
                <w:szCs w:val="19"/>
              </w:rPr>
              <w:t xml:space="preserve">› Applied examples: automated loan flag generation, compliance alerts, beneficiary risk scoring</w:t>
            </w:r>
          </w:p>
        </w:tc>
      </w:tr>
    </w:tbl>
    <w:p>
      <w:pPr>
        <w:spacing w:after="4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DEDBD3" w:sz="1"/>
              <w:left w:val="single" w:color="DEDBD3" w:sz="1"/>
              <w:bottom w:val="single" w:color="DEDBD3" w:sz="1"/>
              <w:right w:val="single" w:color="DEDBD3" w:sz="1"/>
            </w:tcBorders>
            <w:shd w:fill="9A6F30" w:val="clear"/>
            <w:tcMar>
              <w:top w:type="dxa" w:w="120"/>
              <w:left w:type="dxa" w:w="160"/>
              <w:bottom w:type="dxa" w:w="120"/>
              <w:right w:type="dxa" w:w="120"/>
            </w:tcMar>
            <w:vAlign w:val="center"/>
          </w:tcPr>
          <w:p>
            <w:pPr>
              <w:jc w:val="center"/>
            </w:pPr>
            <w:r>
              <w:rPr>
                <w:rFonts w:ascii="Courier New" w:cs="Courier New" w:eastAsia="Courier New" w:hAnsi="Courier New"/>
                <w:b/>
                <w:bCs/>
                <w:color w:val="FFFFFF"/>
                <w:sz w:val="20"/>
                <w:szCs w:val="20"/>
              </w:rPr>
              <w:t xml:space="preserve">01:20</w:t>
            </w:r>
          </w:p>
        </w:tc>
        <w:tc>
          <w:tcPr>
            <w:tcW w:type="dxa" w:w="6560"/>
            <w:tcBorders>
              <w:top w:val="single" w:color="DEDBD3" w:sz="1"/>
              <w:left w:val="single" w:color="DEDBD3" w:sz="1"/>
              <w:bottom w:val="single" w:color="DEDBD3" w:sz="1"/>
              <w:right w:val="single" w:color="DEDBD3" w:sz="1"/>
            </w:tcBorders>
            <w:shd w:fill="9A6F30" w:val="clear"/>
            <w:tcMar>
              <w:top w:type="dxa" w:w="120"/>
              <w:left w:type="dxa" w:w="160"/>
              <w:bottom w:type="dxa" w:w="120"/>
              <w:right w:type="dxa" w:w="120"/>
            </w:tcMar>
          </w:tcPr>
          <w:p>
            <w:pPr>
              <w:spacing w:after="40" w:before="0"/>
            </w:pPr>
            <w:r>
              <w:rPr>
                <w:rFonts w:ascii="Arial" w:cs="Arial" w:eastAsia="Arial" w:hAnsi="Arial"/>
                <w:b/>
                <w:bCs/>
                <w:color w:val="FFFFFF"/>
                <w:sz w:val="24"/>
                <w:szCs w:val="24"/>
              </w:rPr>
              <w:t xml:space="preserve">Module 5 — AI Agents in Development Organisations</w:t>
            </w:r>
          </w:p>
          <w:p>
            <w:pPr>
              <w:spacing w:after="0" w:before="0"/>
            </w:pPr>
            <w:r>
              <w:rPr>
                <w:rFonts w:ascii="Arial" w:cs="Arial" w:eastAsia="Arial" w:hAnsi="Arial"/>
                <w:color w:val="AAAAAA"/>
                <w:sz w:val="17"/>
                <w:szCs w:val="17"/>
              </w:rPr>
              <w:t xml:space="preserve">Applied Context · PKSF-specific examples</w:t>
            </w:r>
          </w:p>
        </w:tc>
        <w:tc>
          <w:tcPr>
            <w:tcW w:type="dxa" w:w="1600"/>
            <w:tcBorders>
              <w:top w:val="single" w:color="DEDBD3" w:sz="1"/>
              <w:left w:val="single" w:color="DEDBD3" w:sz="1"/>
              <w:bottom w:val="single" w:color="DEDBD3" w:sz="1"/>
              <w:right w:val="single" w:color="DEDBD3" w:sz="1"/>
            </w:tcBorders>
            <w:shd w:fill="9A6F30" w:val="clear"/>
            <w:tcMar>
              <w:top w:type="dxa" w:w="120"/>
              <w:left w:type="dxa" w:w="120"/>
              <w:bottom w:type="dxa" w:w="120"/>
              <w:right w:type="dxa" w:w="120"/>
            </w:tcMar>
            <w:vAlign w:val="center"/>
          </w:tcPr>
          <w:p>
            <w:pPr>
              <w:jc w:val="center"/>
            </w:pPr>
            <w:r>
              <w:rPr>
                <w:rFonts w:ascii="Courier New" w:cs="Courier New" w:eastAsia="Courier New" w:hAnsi="Courier New"/>
                <w:b/>
                <w:bCs/>
                <w:color w:val="AAAAAA"/>
                <w:sz w:val="20"/>
                <w:szCs w:val="20"/>
              </w:rPr>
              <w:t xml:space="preserve">15 min</w:t>
            </w:r>
          </w:p>
        </w:tc>
      </w:tr>
      <w:tr>
        <w:tc>
          <w:tcPr>
            <w:tcW w:type="dxa" w:w="1200"/>
            <w:tcBorders>
              <w:top w:val="single" w:color="DEDBD3" w:sz="1"/>
              <w:left w:val="single" w:color="DEDBD3" w:sz="1"/>
              <w:bottom w:val="single" w:color="DEDBD3" w:sz="1"/>
              <w:right w:val="single" w:color="DEDBD3" w:sz="1"/>
            </w:tcBorders>
            <w:shd w:fill="F5F4F0" w:val="clear"/>
            <w:tcMar>
              <w:top w:type="dxa" w:w="60"/>
              <w:left w:type="dxa" w:w="100"/>
              <w:bottom w:type="dxa" w:w="60"/>
              <w:right w:type="dxa" w:w="100"/>
            </w:tcMar>
          </w:tcPr>
          <w:p/>
        </w:tc>
        <w:tc>
          <w:tcPr>
            <w:tcW w:type="dxa" w:w="8160"/>
            <w:tcBorders>
              <w:top w:val="single" w:color="DEDBD3" w:sz="1"/>
              <w:left w:val="single" w:color="DEDBD3" w:sz="1"/>
              <w:bottom w:val="single" w:color="DEDBD3" w:sz="1"/>
              <w:right w:val="single" w:color="DEDBD3" w:sz="1"/>
            </w:tcBorders>
            <w:shd w:fill="F5F4F0" w:val="clear"/>
            <w:tcMar>
              <w:top w:type="dxa" w:w="100"/>
              <w:left w:type="dxa" w:w="160"/>
              <w:bottom w:type="dxa" w:w="100"/>
              <w:right w:type="dxa" w:w="160"/>
            </w:tcMar>
          </w:tcPr>
          <w:p>
            <w:pPr>
              <w:spacing w:after="40" w:before="40"/>
            </w:pPr>
            <w:r>
              <w:rPr>
                <w:rFonts w:ascii="Arial" w:cs="Arial" w:eastAsia="Arial" w:hAnsi="Arial"/>
                <w:color w:val="3A3A48"/>
                <w:sz w:val="19"/>
                <w:szCs w:val="19"/>
              </w:rPr>
              <w:t xml:space="preserve">› Where current PKSF workflows lose officer time — M&amp;E reporting, PO data, donor submissions</w:t>
            </w:r>
          </w:p>
          <w:p>
            <w:pPr>
              <w:spacing w:after="40" w:before="40"/>
            </w:pPr>
            <w:r>
              <w:rPr>
                <w:rFonts w:ascii="Arial" w:cs="Arial" w:eastAsia="Arial" w:hAnsi="Arial"/>
                <w:color w:val="3A3A48"/>
                <w:sz w:val="19"/>
                <w:szCs w:val="19"/>
              </w:rPr>
              <w:t xml:space="preserve">› The data PKSF already holds that AI can unlock — beneficiary records, PO reports, loan portfolios</w:t>
            </w:r>
          </w:p>
          <w:p>
            <w:pPr>
              <w:spacing w:after="40" w:before="40"/>
            </w:pPr>
            <w:r>
              <w:rPr>
                <w:rFonts w:ascii="Arial" w:cs="Arial" w:eastAsia="Arial" w:hAnsi="Arial"/>
                <w:color w:val="3A3A48"/>
                <w:sz w:val="19"/>
                <w:szCs w:val="19"/>
              </w:rPr>
              <w:t xml:space="preserve">› Before/after scenarios: what changes when Agentic AI handles routine intelligence tasks</w:t>
            </w:r>
          </w:p>
          <w:p>
            <w:pPr>
              <w:spacing w:after="40" w:before="40"/>
            </w:pPr>
            <w:r>
              <w:rPr>
                <w:rFonts w:ascii="Arial" w:cs="Arial" w:eastAsia="Arial" w:hAnsi="Arial"/>
                <w:color w:val="3A3A48"/>
                <w:sz w:val="19"/>
                <w:szCs w:val="19"/>
              </w:rPr>
              <w:t xml:space="preserve">› What AI cannot do — the human roles that remain essential and irreplaceable</w:t>
            </w:r>
          </w:p>
          <w:p>
            <w:pPr>
              <w:spacing w:after="40" w:before="40"/>
            </w:pPr>
            <w:r>
              <w:rPr>
                <w:rFonts w:ascii="Arial" w:cs="Arial" w:eastAsia="Arial" w:hAnsi="Arial"/>
                <w:color w:val="3A3A48"/>
                <w:sz w:val="19"/>
                <w:szCs w:val="19"/>
              </w:rPr>
              <w:t xml:space="preserve">› Open discussion and Q&amp;A on modules 1–5</w:t>
            </w:r>
          </w:p>
        </w:tc>
      </w:tr>
    </w:tbl>
    <w:p>
      <w:pPr>
        <w:spacing w:after="4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DEDBD3" w:sz="1"/>
              <w:left w:val="single" w:color="DEDBD3" w:sz="1"/>
              <w:bottom w:val="single" w:color="DEDBD3" w:sz="1"/>
              <w:right w:val="single" w:color="DEDBD3" w:sz="1"/>
            </w:tcBorders>
            <w:shd w:fill="5A3FAA" w:val="clear"/>
            <w:tcMar>
              <w:top w:type="dxa" w:w="120"/>
              <w:left w:type="dxa" w:w="160"/>
              <w:bottom w:type="dxa" w:w="120"/>
              <w:right w:type="dxa" w:w="120"/>
            </w:tcMar>
            <w:vAlign w:val="center"/>
          </w:tcPr>
          <w:p>
            <w:pPr>
              <w:jc w:val="center"/>
            </w:pPr>
            <w:r>
              <w:rPr>
                <w:rFonts w:ascii="Courier New" w:cs="Courier New" w:eastAsia="Courier New" w:hAnsi="Courier New"/>
                <w:b/>
                <w:bCs/>
                <w:color w:val="FFFFFF"/>
                <w:sz w:val="20"/>
                <w:szCs w:val="20"/>
              </w:rPr>
              <w:t xml:space="preserve">01:35</w:t>
            </w:r>
          </w:p>
        </w:tc>
        <w:tc>
          <w:tcPr>
            <w:tcW w:type="dxa" w:w="6560"/>
            <w:tcBorders>
              <w:top w:val="single" w:color="DEDBD3" w:sz="1"/>
              <w:left w:val="single" w:color="DEDBD3" w:sz="1"/>
              <w:bottom w:val="single" w:color="DEDBD3" w:sz="1"/>
              <w:right w:val="single" w:color="DEDBD3" w:sz="1"/>
            </w:tcBorders>
            <w:shd w:fill="5A3FAA" w:val="clear"/>
            <w:tcMar>
              <w:top w:type="dxa" w:w="120"/>
              <w:left w:type="dxa" w:w="160"/>
              <w:bottom w:type="dxa" w:w="120"/>
              <w:right w:type="dxa" w:w="120"/>
            </w:tcMar>
          </w:tcPr>
          <w:p>
            <w:pPr>
              <w:spacing w:after="40" w:before="0"/>
            </w:pPr>
            <w:r>
              <w:rPr>
                <w:rFonts w:ascii="Arial" w:cs="Arial" w:eastAsia="Arial" w:hAnsi="Arial"/>
                <w:b/>
                <w:bCs/>
                <w:color w:val="FFFFFF"/>
                <w:sz w:val="24"/>
                <w:szCs w:val="24"/>
              </w:rPr>
              <w:t xml:space="preserve">Module 6 — Antarious AI for PKSF</w:t>
            </w:r>
          </w:p>
          <w:p>
            <w:pPr>
              <w:spacing w:after="0" w:before="0"/>
            </w:pPr>
            <w:r>
              <w:rPr>
                <w:rFonts w:ascii="Arial" w:cs="Arial" w:eastAsia="Arial" w:hAnsi="Arial"/>
                <w:color w:val="AAAAAA"/>
                <w:sz w:val="17"/>
                <w:szCs w:val="17"/>
              </w:rPr>
              <w:t xml:space="preserve">Product Introduction · 9 Agents · Live Demo</w:t>
            </w:r>
          </w:p>
        </w:tc>
        <w:tc>
          <w:tcPr>
            <w:tcW w:type="dxa" w:w="1600"/>
            <w:tcBorders>
              <w:top w:val="single" w:color="DEDBD3" w:sz="1"/>
              <w:left w:val="single" w:color="DEDBD3" w:sz="1"/>
              <w:bottom w:val="single" w:color="DEDBD3" w:sz="1"/>
              <w:right w:val="single" w:color="DEDBD3" w:sz="1"/>
            </w:tcBorders>
            <w:shd w:fill="5A3FAA" w:val="clear"/>
            <w:tcMar>
              <w:top w:type="dxa" w:w="120"/>
              <w:left w:type="dxa" w:w="120"/>
              <w:bottom w:type="dxa" w:w="120"/>
              <w:right w:type="dxa" w:w="120"/>
            </w:tcMar>
            <w:vAlign w:val="center"/>
          </w:tcPr>
          <w:p>
            <w:pPr>
              <w:jc w:val="center"/>
            </w:pPr>
            <w:r>
              <w:rPr>
                <w:rFonts w:ascii="Courier New" w:cs="Courier New" w:eastAsia="Courier New" w:hAnsi="Courier New"/>
                <w:b/>
                <w:bCs/>
                <w:color w:val="AAAAAA"/>
                <w:sz w:val="20"/>
                <w:szCs w:val="20"/>
              </w:rPr>
              <w:t xml:space="preserve">25 min</w:t>
            </w:r>
          </w:p>
        </w:tc>
      </w:tr>
      <w:tr>
        <w:tc>
          <w:tcPr>
            <w:tcW w:type="dxa" w:w="1200"/>
            <w:tcBorders>
              <w:top w:val="single" w:color="DEDBD3" w:sz="1"/>
              <w:left w:val="single" w:color="DEDBD3" w:sz="1"/>
              <w:bottom w:val="single" w:color="DEDBD3" w:sz="1"/>
              <w:right w:val="single" w:color="DEDBD3" w:sz="1"/>
            </w:tcBorders>
            <w:shd w:fill="F5F4F0" w:val="clear"/>
            <w:tcMar>
              <w:top w:type="dxa" w:w="60"/>
              <w:left w:type="dxa" w:w="100"/>
              <w:bottom w:type="dxa" w:w="60"/>
              <w:right w:type="dxa" w:w="100"/>
            </w:tcMar>
          </w:tcPr>
          <w:p/>
        </w:tc>
        <w:tc>
          <w:tcPr>
            <w:tcW w:type="dxa" w:w="8160"/>
            <w:tcBorders>
              <w:top w:val="single" w:color="DEDBD3" w:sz="1"/>
              <w:left w:val="single" w:color="DEDBD3" w:sz="1"/>
              <w:bottom w:val="single" w:color="DEDBD3" w:sz="1"/>
              <w:right w:val="single" w:color="DEDBD3" w:sz="1"/>
            </w:tcBorders>
            <w:shd w:fill="F5F4F0" w:val="clear"/>
            <w:tcMar>
              <w:top w:type="dxa" w:w="100"/>
              <w:left w:type="dxa" w:w="160"/>
              <w:bottom w:type="dxa" w:w="100"/>
              <w:right w:type="dxa" w:w="160"/>
            </w:tcMar>
          </w:tcPr>
          <w:p>
            <w:pPr>
              <w:spacing w:after="40" w:before="40"/>
            </w:pPr>
            <w:r>
              <w:rPr>
                <w:rFonts w:ascii="Arial" w:cs="Arial" w:eastAsia="Arial" w:hAnsi="Arial"/>
                <w:color w:val="3A3A48"/>
                <w:sz w:val="19"/>
                <w:szCs w:val="19"/>
              </w:rPr>
              <w:t xml:space="preserve">› Introduction to Antarious AI — what it is and how the PKSF edition was designed for development operations</w:t>
            </w:r>
          </w:p>
          <w:p>
            <w:pPr>
              <w:spacing w:after="40" w:before="40"/>
            </w:pPr>
            <w:r>
              <w:rPr>
                <w:rFonts w:ascii="Arial" w:cs="Arial" w:eastAsia="Arial" w:hAnsi="Arial"/>
                <w:color w:val="3A3A48"/>
                <w:sz w:val="19"/>
                <w:szCs w:val="19"/>
              </w:rPr>
              <w:t xml:space="preserve">› The 9 PKSF-specific AI agents — each mapped to a real PKSF workflow and output</w:t>
            </w:r>
          </w:p>
          <w:p>
            <w:pPr>
              <w:spacing w:after="40" w:before="40"/>
            </w:pPr>
            <w:r>
              <w:rPr>
                <w:rFonts w:ascii="Arial" w:cs="Arial" w:eastAsia="Arial" w:hAnsi="Arial"/>
                <w:color w:val="3A3A48"/>
                <w:sz w:val="19"/>
                <w:szCs w:val="19"/>
              </w:rPr>
              <w:t xml:space="preserve">› System architecture — how data flows in, how agents produce outputs, how humans review and approve</w:t>
            </w:r>
          </w:p>
          <w:p>
            <w:pPr>
              <w:spacing w:after="40" w:before="40"/>
            </w:pPr>
            <w:r>
              <w:rPr>
                <w:rFonts w:ascii="Arial" w:cs="Arial" w:eastAsia="Arial" w:hAnsi="Arial"/>
                <w:color w:val="3A3A48"/>
                <w:sz w:val="19"/>
                <w:szCs w:val="19"/>
              </w:rPr>
              <w:t xml:space="preserve">› Live demonstration of a complete agent workflow — from data input to approved document output</w:t>
            </w:r>
          </w:p>
          <w:p>
            <w:pPr>
              <w:spacing w:after="40" w:before="40"/>
            </w:pPr>
            <w:r>
              <w:rPr>
                <w:rFonts w:ascii="Arial" w:cs="Arial" w:eastAsia="Arial" w:hAnsi="Arial"/>
                <w:color w:val="3A3A48"/>
                <w:sz w:val="19"/>
                <w:szCs w:val="19"/>
              </w:rPr>
              <w:t xml:space="preserve">› Roles and permissions — which executives use which modules and at what access level</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BD3" w:sz="1"/>
              <w:left w:val="single" w:color="DEDBD3" w:sz="1"/>
              <w:bottom w:val="single" w:color="DEDBD3" w:sz="1"/>
              <w:right w:val="single" w:color="DEDBD3" w:sz="1"/>
            </w:tcBorders>
            <w:shd w:fill="F5F4F0" w:val="clear"/>
            <w:tcMar>
              <w:top w:type="dxa" w:w="100"/>
              <w:left w:type="dxa" w:w="160"/>
              <w:bottom w:type="dxa" w:w="100"/>
              <w:right w:type="dxa" w:w="160"/>
            </w:tcMar>
          </w:tcPr>
          <w:p>
            <w:r>
              <w:rPr>
                <w:rFonts w:ascii="Courier New" w:cs="Courier New" w:eastAsia="Courier New" w:hAnsi="Courier New"/>
                <w:color w:val="7A7A88"/>
                <w:sz w:val="19"/>
                <w:szCs w:val="19"/>
              </w:rPr>
              <w:t xml:space="preserve">01:60  —  SHORT BREAK  —  10 minutes  ·  Refreshments · System login setup</w:t>
            </w:r>
          </w:p>
        </w:tc>
      </w:tr>
    </w:tbl>
    <w:p>
      <w:pPr>
        <w:spacing w:after="120" w:before="0"/>
      </w:pPr>
    </w:p>
    <w:p>
      <w:pPr>
        <w:pBdr>
          <w:bottom w:val="single" w:color="DEDBD3" w:sz="2" w:space="1"/>
        </w:pBdr>
        <w:spacing w:after="140" w:before="0"/>
      </w:pPr>
      <w:r>
        <w:rPr>
          <w:rFonts w:ascii="Courier New" w:cs="Courier New" w:eastAsia="Courier New" w:hAnsi="Courier New"/>
          <w:b/>
          <w:bCs/>
          <w:color w:val="7A7A88"/>
          <w:spacing w:val="40"/>
          <w:sz w:val="17"/>
          <w:szCs w:val="17"/>
        </w:rPr>
        <w:t xml:space="preserve">PART TWO  ·  HANDS-ON SESSION  ·  1 HOUR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DEDBD3" w:sz="1"/>
              <w:left w:val="single" w:color="DEDBD3" w:sz="1"/>
              <w:bottom w:val="single" w:color="DEDBD3" w:sz="1"/>
              <w:right w:val="single" w:color="DEDBD3" w:sz="1"/>
            </w:tcBorders>
            <w:shd w:fill="14263F" w:val="clear"/>
            <w:tcMar>
              <w:top w:type="dxa" w:w="120"/>
              <w:left w:type="dxa" w:w="160"/>
              <w:bottom w:type="dxa" w:w="120"/>
              <w:right w:type="dxa" w:w="120"/>
            </w:tcMar>
            <w:vAlign w:val="center"/>
          </w:tcPr>
          <w:p>
            <w:pPr>
              <w:jc w:val="center"/>
            </w:pPr>
            <w:r>
              <w:rPr>
                <w:rFonts w:ascii="Courier New" w:cs="Courier New" w:eastAsia="Courier New" w:hAnsi="Courier New"/>
                <w:b/>
                <w:bCs/>
                <w:color w:val="FFFFFF"/>
                <w:sz w:val="20"/>
                <w:szCs w:val="20"/>
              </w:rPr>
              <w:t xml:space="preserve">02:10</w:t>
            </w:r>
          </w:p>
        </w:tc>
        <w:tc>
          <w:tcPr>
            <w:tcW w:type="dxa" w:w="6560"/>
            <w:tcBorders>
              <w:top w:val="single" w:color="DEDBD3" w:sz="1"/>
              <w:left w:val="single" w:color="DEDBD3" w:sz="1"/>
              <w:bottom w:val="single" w:color="DEDBD3" w:sz="1"/>
              <w:right w:val="single" w:color="DEDBD3" w:sz="1"/>
            </w:tcBorders>
            <w:shd w:fill="14263F" w:val="clear"/>
            <w:tcMar>
              <w:top w:type="dxa" w:w="120"/>
              <w:left w:type="dxa" w:w="160"/>
              <w:bottom w:type="dxa" w:w="120"/>
              <w:right w:type="dxa" w:w="120"/>
            </w:tcMar>
          </w:tcPr>
          <w:p>
            <w:pPr>
              <w:spacing w:after="40" w:before="0"/>
            </w:pPr>
            <w:r>
              <w:rPr>
                <w:rFonts w:ascii="Arial" w:cs="Arial" w:eastAsia="Arial" w:hAnsi="Arial"/>
                <w:b/>
                <w:bCs/>
                <w:color w:val="FFFFFF"/>
                <w:sz w:val="24"/>
                <w:szCs w:val="24"/>
              </w:rPr>
              <w:t xml:space="preserve">Exercise 1 — Programme Intelligence Query</w:t>
            </w:r>
          </w:p>
          <w:p>
            <w:pPr>
              <w:spacing w:after="0" w:before="0"/>
            </w:pPr>
            <w:r>
              <w:rPr>
                <w:rFonts w:ascii="Arial" w:cs="Arial" w:eastAsia="Arial" w:hAnsi="Arial"/>
                <w:color w:val="AAAAAA"/>
                <w:sz w:val="17"/>
                <w:szCs w:val="17"/>
              </w:rPr>
              <w:t xml:space="preserve">Hands-On · Guided</w:t>
            </w:r>
          </w:p>
        </w:tc>
        <w:tc>
          <w:tcPr>
            <w:tcW w:type="dxa" w:w="1600"/>
            <w:tcBorders>
              <w:top w:val="single" w:color="DEDBD3" w:sz="1"/>
              <w:left w:val="single" w:color="DEDBD3" w:sz="1"/>
              <w:bottom w:val="single" w:color="DEDBD3" w:sz="1"/>
              <w:right w:val="single" w:color="DEDBD3" w:sz="1"/>
            </w:tcBorders>
            <w:shd w:fill="14263F" w:val="clear"/>
            <w:tcMar>
              <w:top w:type="dxa" w:w="120"/>
              <w:left w:type="dxa" w:w="120"/>
              <w:bottom w:type="dxa" w:w="120"/>
              <w:right w:type="dxa" w:w="120"/>
            </w:tcMar>
            <w:vAlign w:val="center"/>
          </w:tcPr>
          <w:p>
            <w:pPr>
              <w:jc w:val="center"/>
            </w:pPr>
            <w:r>
              <w:rPr>
                <w:rFonts w:ascii="Courier New" w:cs="Courier New" w:eastAsia="Courier New" w:hAnsi="Courier New"/>
                <w:b/>
                <w:bCs/>
                <w:color w:val="AAAAAA"/>
                <w:sz w:val="20"/>
                <w:szCs w:val="20"/>
              </w:rPr>
              <w:t xml:space="preserve">15 min</w:t>
            </w:r>
          </w:p>
        </w:tc>
      </w:tr>
      <w:tr>
        <w:tc>
          <w:tcPr>
            <w:tcW w:type="dxa" w:w="1200"/>
            <w:tcBorders>
              <w:top w:val="single" w:color="DEDBD3" w:sz="1"/>
              <w:left w:val="single" w:color="DEDBD3" w:sz="1"/>
              <w:bottom w:val="single" w:color="DEDBD3" w:sz="1"/>
              <w:right w:val="single" w:color="DEDBD3" w:sz="1"/>
            </w:tcBorders>
            <w:shd w:fill="F5F4F0" w:val="clear"/>
            <w:tcMar>
              <w:top w:type="dxa" w:w="60"/>
              <w:left w:type="dxa" w:w="100"/>
              <w:bottom w:type="dxa" w:w="60"/>
              <w:right w:type="dxa" w:w="100"/>
            </w:tcMar>
          </w:tcPr>
          <w:p/>
        </w:tc>
        <w:tc>
          <w:tcPr>
            <w:tcW w:type="dxa" w:w="8160"/>
            <w:tcBorders>
              <w:top w:val="single" w:color="DEDBD3" w:sz="1"/>
              <w:left w:val="single" w:color="DEDBD3" w:sz="1"/>
              <w:bottom w:val="single" w:color="DEDBD3" w:sz="1"/>
              <w:right w:val="single" w:color="DEDBD3" w:sz="1"/>
            </w:tcBorders>
            <w:shd w:fill="F5F4F0" w:val="clear"/>
            <w:tcMar>
              <w:top w:type="dxa" w:w="100"/>
              <w:left w:type="dxa" w:w="160"/>
              <w:bottom w:type="dxa" w:w="100"/>
              <w:right w:type="dxa" w:w="160"/>
            </w:tcMar>
          </w:tcPr>
          <w:p>
            <w:pPr>
              <w:spacing w:after="40" w:before="40"/>
            </w:pPr>
            <w:r>
              <w:rPr>
                <w:rFonts w:ascii="Arial" w:cs="Arial" w:eastAsia="Arial" w:hAnsi="Arial"/>
                <w:color w:val="3A3A48"/>
                <w:sz w:val="19"/>
                <w:szCs w:val="19"/>
              </w:rPr>
              <w:t xml:space="preserve">› Log in to Antarious AI, navigate the dashboard, and locate your role-specific view</w:t>
            </w:r>
          </w:p>
          <w:p>
            <w:pPr>
              <w:spacing w:after="40" w:before="40"/>
            </w:pPr>
            <w:r>
              <w:rPr>
                <w:rFonts w:ascii="Arial" w:cs="Arial" w:eastAsia="Arial" w:hAnsi="Arial"/>
                <w:color w:val="3A3A48"/>
                <w:sz w:val="19"/>
                <w:szCs w:val="19"/>
              </w:rPr>
              <w:t xml:space="preserve">› Exercise: ask the Programme Intelligence agent a natural language question about PKSF operations</w:t>
            </w:r>
          </w:p>
          <w:p>
            <w:pPr>
              <w:spacing w:after="40" w:before="40"/>
            </w:pPr>
            <w:r>
              <w:rPr>
                <w:rFonts w:ascii="Arial" w:cs="Arial" w:eastAsia="Arial" w:hAnsi="Arial"/>
                <w:color w:val="3A3A48"/>
                <w:sz w:val="19"/>
                <w:szCs w:val="19"/>
              </w:rPr>
              <w:t xml:space="preserve">› Review the agent's reasoning chain, source data, and synthesised answer — verify for accuracy</w:t>
            </w:r>
          </w:p>
        </w:tc>
      </w:tr>
    </w:tbl>
    <w:p>
      <w:pPr>
        <w:spacing w:after="4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DEDBD3" w:sz="1"/>
              <w:left w:val="single" w:color="DEDBD3" w:sz="1"/>
              <w:bottom w:val="single" w:color="DEDBD3" w:sz="1"/>
              <w:right w:val="single" w:color="DEDBD3" w:sz="1"/>
            </w:tcBorders>
            <w:shd w:fill="14263F" w:val="clear"/>
            <w:tcMar>
              <w:top w:type="dxa" w:w="120"/>
              <w:left w:type="dxa" w:w="160"/>
              <w:bottom w:type="dxa" w:w="120"/>
              <w:right w:type="dxa" w:w="120"/>
            </w:tcMar>
            <w:vAlign w:val="center"/>
          </w:tcPr>
          <w:p>
            <w:pPr>
              <w:jc w:val="center"/>
            </w:pPr>
            <w:r>
              <w:rPr>
                <w:rFonts w:ascii="Courier New" w:cs="Courier New" w:eastAsia="Courier New" w:hAnsi="Courier New"/>
                <w:b/>
                <w:bCs/>
                <w:color w:val="FFFFFF"/>
                <w:sz w:val="20"/>
                <w:szCs w:val="20"/>
              </w:rPr>
              <w:t xml:space="preserve">02:25</w:t>
            </w:r>
          </w:p>
        </w:tc>
        <w:tc>
          <w:tcPr>
            <w:tcW w:type="dxa" w:w="6560"/>
            <w:tcBorders>
              <w:top w:val="single" w:color="DEDBD3" w:sz="1"/>
              <w:left w:val="single" w:color="DEDBD3" w:sz="1"/>
              <w:bottom w:val="single" w:color="DEDBD3" w:sz="1"/>
              <w:right w:val="single" w:color="DEDBD3" w:sz="1"/>
            </w:tcBorders>
            <w:shd w:fill="14263F" w:val="clear"/>
            <w:tcMar>
              <w:top w:type="dxa" w:w="120"/>
              <w:left w:type="dxa" w:w="160"/>
              <w:bottom w:type="dxa" w:w="120"/>
              <w:right w:type="dxa" w:w="120"/>
            </w:tcMar>
          </w:tcPr>
          <w:p>
            <w:pPr>
              <w:spacing w:after="40" w:before="0"/>
            </w:pPr>
            <w:r>
              <w:rPr>
                <w:rFonts w:ascii="Arial" w:cs="Arial" w:eastAsia="Arial" w:hAnsi="Arial"/>
                <w:b/>
                <w:bCs/>
                <w:color w:val="FFFFFF"/>
                <w:sz w:val="24"/>
                <w:szCs w:val="24"/>
              </w:rPr>
              <w:t xml:space="preserve">Exercise 2 — M&amp;E Report Generation Workflow</w:t>
            </w:r>
          </w:p>
          <w:p>
            <w:pPr>
              <w:spacing w:after="0" w:before="0"/>
            </w:pPr>
            <w:r>
              <w:rPr>
                <w:rFonts w:ascii="Arial" w:cs="Arial" w:eastAsia="Arial" w:hAnsi="Arial"/>
                <w:color w:val="AAAAAA"/>
                <w:sz w:val="17"/>
                <w:szCs w:val="17"/>
              </w:rPr>
              <w:t xml:space="preserve">Hands-On · Core Task</w:t>
            </w:r>
          </w:p>
        </w:tc>
        <w:tc>
          <w:tcPr>
            <w:tcW w:type="dxa" w:w="1600"/>
            <w:tcBorders>
              <w:top w:val="single" w:color="DEDBD3" w:sz="1"/>
              <w:left w:val="single" w:color="DEDBD3" w:sz="1"/>
              <w:bottom w:val="single" w:color="DEDBD3" w:sz="1"/>
              <w:right w:val="single" w:color="DEDBD3" w:sz="1"/>
            </w:tcBorders>
            <w:shd w:fill="14263F" w:val="clear"/>
            <w:tcMar>
              <w:top w:type="dxa" w:w="120"/>
              <w:left w:type="dxa" w:w="120"/>
              <w:bottom w:type="dxa" w:w="120"/>
              <w:right w:type="dxa" w:w="120"/>
            </w:tcMar>
            <w:vAlign w:val="center"/>
          </w:tcPr>
          <w:p>
            <w:pPr>
              <w:jc w:val="center"/>
            </w:pPr>
            <w:r>
              <w:rPr>
                <w:rFonts w:ascii="Courier New" w:cs="Courier New" w:eastAsia="Courier New" w:hAnsi="Courier New"/>
                <w:b/>
                <w:bCs/>
                <w:color w:val="AAAAAA"/>
                <w:sz w:val="20"/>
                <w:szCs w:val="20"/>
              </w:rPr>
              <w:t xml:space="preserve">20 min</w:t>
            </w:r>
          </w:p>
        </w:tc>
      </w:tr>
      <w:tr>
        <w:tc>
          <w:tcPr>
            <w:tcW w:type="dxa" w:w="1200"/>
            <w:tcBorders>
              <w:top w:val="single" w:color="DEDBD3" w:sz="1"/>
              <w:left w:val="single" w:color="DEDBD3" w:sz="1"/>
              <w:bottom w:val="single" w:color="DEDBD3" w:sz="1"/>
              <w:right w:val="single" w:color="DEDBD3" w:sz="1"/>
            </w:tcBorders>
            <w:shd w:fill="F5F4F0" w:val="clear"/>
            <w:tcMar>
              <w:top w:type="dxa" w:w="60"/>
              <w:left w:type="dxa" w:w="100"/>
              <w:bottom w:type="dxa" w:w="60"/>
              <w:right w:type="dxa" w:w="100"/>
            </w:tcMar>
          </w:tcPr>
          <w:p/>
        </w:tc>
        <w:tc>
          <w:tcPr>
            <w:tcW w:type="dxa" w:w="8160"/>
            <w:tcBorders>
              <w:top w:val="single" w:color="DEDBD3" w:sz="1"/>
              <w:left w:val="single" w:color="DEDBD3" w:sz="1"/>
              <w:bottom w:val="single" w:color="DEDBD3" w:sz="1"/>
              <w:right w:val="single" w:color="DEDBD3" w:sz="1"/>
            </w:tcBorders>
            <w:shd w:fill="F5F4F0" w:val="clear"/>
            <w:tcMar>
              <w:top w:type="dxa" w:w="100"/>
              <w:left w:type="dxa" w:w="160"/>
              <w:bottom w:type="dxa" w:w="100"/>
              <w:right w:type="dxa" w:w="160"/>
            </w:tcMar>
          </w:tcPr>
          <w:p>
            <w:pPr>
              <w:spacing w:after="40" w:before="40"/>
            </w:pPr>
            <w:r>
              <w:rPr>
                <w:rFonts w:ascii="Arial" w:cs="Arial" w:eastAsia="Arial" w:hAnsi="Arial"/>
                <w:color w:val="3A3A48"/>
                <w:sz w:val="19"/>
                <w:szCs w:val="19"/>
              </w:rPr>
              <w:t xml:space="preserve">› Instruct the M&amp;E Report Agent to generate a quarterly PDO progress narrative section</w:t>
            </w:r>
          </w:p>
          <w:p>
            <w:pPr>
              <w:spacing w:after="40" w:before="40"/>
            </w:pPr>
            <w:r>
              <w:rPr>
                <w:rFonts w:ascii="Arial" w:cs="Arial" w:eastAsia="Arial" w:hAnsi="Arial"/>
                <w:color w:val="3A3A48"/>
                <w:sz w:val="19"/>
                <w:szCs w:val="19"/>
              </w:rPr>
              <w:t xml:space="preserve">› Review the draft, make an edit, approve and export — completing the full human-in-the-loop approval flow</w:t>
            </w:r>
          </w:p>
          <w:p>
            <w:pPr>
              <w:spacing w:after="40" w:before="40"/>
            </w:pPr>
            <w:r>
              <w:rPr>
                <w:rFonts w:ascii="Arial" w:cs="Arial" w:eastAsia="Arial" w:hAnsi="Arial"/>
                <w:color w:val="3A3A48"/>
                <w:sz w:val="19"/>
                <w:szCs w:val="19"/>
              </w:rPr>
              <w:t xml:space="preserve">› Explore the PO Performance dashboard — identify a lagging Partner Organisation using AI analysis</w:t>
            </w:r>
          </w:p>
        </w:tc>
      </w:tr>
    </w:tbl>
    <w:p>
      <w:pPr>
        <w:spacing w:after="4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DEDBD3" w:sz="1"/>
              <w:left w:val="single" w:color="DEDBD3" w:sz="1"/>
              <w:bottom w:val="single" w:color="DEDBD3" w:sz="1"/>
              <w:right w:val="single" w:color="DEDBD3" w:sz="1"/>
            </w:tcBorders>
            <w:shd w:fill="14263F" w:val="clear"/>
            <w:tcMar>
              <w:top w:type="dxa" w:w="120"/>
              <w:left w:type="dxa" w:w="160"/>
              <w:bottom w:type="dxa" w:w="120"/>
              <w:right w:type="dxa" w:w="120"/>
            </w:tcMar>
            <w:vAlign w:val="center"/>
          </w:tcPr>
          <w:p>
            <w:pPr>
              <w:jc w:val="center"/>
            </w:pPr>
            <w:r>
              <w:rPr>
                <w:rFonts w:ascii="Courier New" w:cs="Courier New" w:eastAsia="Courier New" w:hAnsi="Courier New"/>
                <w:b/>
                <w:bCs/>
                <w:color w:val="FFFFFF"/>
                <w:sz w:val="20"/>
                <w:szCs w:val="20"/>
              </w:rPr>
              <w:t xml:space="preserve">02:45</w:t>
            </w:r>
          </w:p>
        </w:tc>
        <w:tc>
          <w:tcPr>
            <w:tcW w:type="dxa" w:w="6560"/>
            <w:tcBorders>
              <w:top w:val="single" w:color="DEDBD3" w:sz="1"/>
              <w:left w:val="single" w:color="DEDBD3" w:sz="1"/>
              <w:bottom w:val="single" w:color="DEDBD3" w:sz="1"/>
              <w:right w:val="single" w:color="DEDBD3" w:sz="1"/>
            </w:tcBorders>
            <w:shd w:fill="14263F" w:val="clear"/>
            <w:tcMar>
              <w:top w:type="dxa" w:w="120"/>
              <w:left w:type="dxa" w:w="160"/>
              <w:bottom w:type="dxa" w:w="120"/>
              <w:right w:type="dxa" w:w="120"/>
            </w:tcMar>
          </w:tcPr>
          <w:p>
            <w:pPr>
              <w:spacing w:after="40" w:before="0"/>
            </w:pPr>
            <w:r>
              <w:rPr>
                <w:rFonts w:ascii="Arial" w:cs="Arial" w:eastAsia="Arial" w:hAnsi="Arial"/>
                <w:b/>
                <w:bCs/>
                <w:color w:val="FFFFFF"/>
                <w:sz w:val="24"/>
                <w:szCs w:val="24"/>
              </w:rPr>
              <w:t xml:space="preserve">Free Exploration — Try Your Own Queries</w:t>
            </w:r>
          </w:p>
          <w:p>
            <w:pPr>
              <w:spacing w:after="0" w:before="0"/>
            </w:pPr>
            <w:r>
              <w:rPr>
                <w:rFonts w:ascii="Arial" w:cs="Arial" w:eastAsia="Arial" w:hAnsi="Arial"/>
                <w:color w:val="AAAAAA"/>
                <w:sz w:val="17"/>
                <w:szCs w:val="17"/>
              </w:rPr>
              <w:t xml:space="preserve">Open Session · Facilitator on hand</w:t>
            </w:r>
          </w:p>
        </w:tc>
        <w:tc>
          <w:tcPr>
            <w:tcW w:type="dxa" w:w="1600"/>
            <w:tcBorders>
              <w:top w:val="single" w:color="DEDBD3" w:sz="1"/>
              <w:left w:val="single" w:color="DEDBD3" w:sz="1"/>
              <w:bottom w:val="single" w:color="DEDBD3" w:sz="1"/>
              <w:right w:val="single" w:color="DEDBD3" w:sz="1"/>
            </w:tcBorders>
            <w:shd w:fill="14263F" w:val="clear"/>
            <w:tcMar>
              <w:top w:type="dxa" w:w="120"/>
              <w:left w:type="dxa" w:w="120"/>
              <w:bottom w:type="dxa" w:w="120"/>
              <w:right w:type="dxa" w:w="120"/>
            </w:tcMar>
            <w:vAlign w:val="center"/>
          </w:tcPr>
          <w:p>
            <w:pPr>
              <w:jc w:val="center"/>
            </w:pPr>
            <w:r>
              <w:rPr>
                <w:rFonts w:ascii="Courier New" w:cs="Courier New" w:eastAsia="Courier New" w:hAnsi="Courier New"/>
                <w:b/>
                <w:bCs/>
                <w:color w:val="AAAAAA"/>
                <w:sz w:val="20"/>
                <w:szCs w:val="20"/>
              </w:rPr>
              <w:t xml:space="preserve">20 min</w:t>
            </w:r>
          </w:p>
        </w:tc>
      </w:tr>
      <w:tr>
        <w:tc>
          <w:tcPr>
            <w:tcW w:type="dxa" w:w="1200"/>
            <w:tcBorders>
              <w:top w:val="single" w:color="DEDBD3" w:sz="1"/>
              <w:left w:val="single" w:color="DEDBD3" w:sz="1"/>
              <w:bottom w:val="single" w:color="DEDBD3" w:sz="1"/>
              <w:right w:val="single" w:color="DEDBD3" w:sz="1"/>
            </w:tcBorders>
            <w:shd w:fill="F5F4F0" w:val="clear"/>
            <w:tcMar>
              <w:top w:type="dxa" w:w="60"/>
              <w:left w:type="dxa" w:w="100"/>
              <w:bottom w:type="dxa" w:w="60"/>
              <w:right w:type="dxa" w:w="100"/>
            </w:tcMar>
          </w:tcPr>
          <w:p/>
        </w:tc>
        <w:tc>
          <w:tcPr>
            <w:tcW w:type="dxa" w:w="8160"/>
            <w:tcBorders>
              <w:top w:val="single" w:color="DEDBD3" w:sz="1"/>
              <w:left w:val="single" w:color="DEDBD3" w:sz="1"/>
              <w:bottom w:val="single" w:color="DEDBD3" w:sz="1"/>
              <w:right w:val="single" w:color="DEDBD3" w:sz="1"/>
            </w:tcBorders>
            <w:shd w:fill="F5F4F0" w:val="clear"/>
            <w:tcMar>
              <w:top w:type="dxa" w:w="100"/>
              <w:left w:type="dxa" w:w="160"/>
              <w:bottom w:type="dxa" w:w="100"/>
              <w:right w:type="dxa" w:w="160"/>
            </w:tcMar>
          </w:tcPr>
          <w:p>
            <w:pPr>
              <w:spacing w:after="40" w:before="40"/>
            </w:pPr>
            <w:r>
              <w:rPr>
                <w:rFonts w:ascii="Arial" w:cs="Arial" w:eastAsia="Arial" w:hAnsi="Arial"/>
                <w:color w:val="3A3A48"/>
                <w:sz w:val="19"/>
                <w:szCs w:val="19"/>
              </w:rPr>
              <w:t xml:space="preserve">› Navigate to the agent most relevant to your role and explore freely using your own real-world scenarios</w:t>
            </w:r>
          </w:p>
          <w:p>
            <w:pPr>
              <w:spacing w:after="40" w:before="40"/>
            </w:pPr>
            <w:r>
              <w:rPr>
                <w:rFonts w:ascii="Arial" w:cs="Arial" w:eastAsia="Arial" w:hAnsi="Arial"/>
                <w:color w:val="3A3A48"/>
                <w:sz w:val="19"/>
                <w:szCs w:val="19"/>
              </w:rPr>
              <w:t xml:space="preserve">› Facilitator circulates — addresses individual questions, explains outputs, and demonstrates edge cases</w:t>
            </w:r>
          </w:p>
          <w:p>
            <w:pPr>
              <w:spacing w:after="40" w:before="40"/>
            </w:pPr>
            <w:r>
              <w:rPr>
                <w:rFonts w:ascii="Arial" w:cs="Arial" w:eastAsia="Arial" w:hAnsi="Arial"/>
                <w:color w:val="3A3A48"/>
                <w:sz w:val="19"/>
                <w:szCs w:val="19"/>
              </w:rPr>
              <w:t xml:space="preserve">› Challenge prompt: 'Find the most useful thing Antarious can do for your specific role'</w:t>
            </w:r>
          </w:p>
        </w:tc>
      </w:tr>
    </w:tbl>
    <w:p>
      <w:pPr>
        <w:spacing w:after="4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DEDBD3" w:sz="1"/>
              <w:left w:val="single" w:color="DEDBD3" w:sz="1"/>
              <w:bottom w:val="single" w:color="DEDBD3" w:sz="1"/>
              <w:right w:val="single" w:color="DEDBD3" w:sz="1"/>
            </w:tcBorders>
            <w:shd w:fill="14263F" w:val="clear"/>
            <w:tcMar>
              <w:top w:type="dxa" w:w="120"/>
              <w:left w:type="dxa" w:w="160"/>
              <w:bottom w:type="dxa" w:w="120"/>
              <w:right w:type="dxa" w:w="120"/>
            </w:tcMar>
            <w:vAlign w:val="center"/>
          </w:tcPr>
          <w:p>
            <w:pPr>
              <w:jc w:val="center"/>
            </w:pPr>
            <w:r>
              <w:rPr>
                <w:rFonts w:ascii="Courier New" w:cs="Courier New" w:eastAsia="Courier New" w:hAnsi="Courier New"/>
                <w:b/>
                <w:bCs/>
                <w:color w:val="FFFFFF"/>
                <w:sz w:val="20"/>
                <w:szCs w:val="20"/>
              </w:rPr>
              <w:t xml:space="preserve">03:05</w:t>
            </w:r>
          </w:p>
        </w:tc>
        <w:tc>
          <w:tcPr>
            <w:tcW w:type="dxa" w:w="6560"/>
            <w:tcBorders>
              <w:top w:val="single" w:color="DEDBD3" w:sz="1"/>
              <w:left w:val="single" w:color="DEDBD3" w:sz="1"/>
              <w:bottom w:val="single" w:color="DEDBD3" w:sz="1"/>
              <w:right w:val="single" w:color="DEDBD3" w:sz="1"/>
            </w:tcBorders>
            <w:shd w:fill="14263F" w:val="clear"/>
            <w:tcMar>
              <w:top w:type="dxa" w:w="120"/>
              <w:left w:type="dxa" w:w="160"/>
              <w:bottom w:type="dxa" w:w="120"/>
              <w:right w:type="dxa" w:w="120"/>
            </w:tcMar>
          </w:tcPr>
          <w:p>
            <w:pPr>
              <w:spacing w:after="40" w:before="0"/>
            </w:pPr>
            <w:r>
              <w:rPr>
                <w:rFonts w:ascii="Arial" w:cs="Arial" w:eastAsia="Arial" w:hAnsi="Arial"/>
                <w:b/>
                <w:bCs/>
                <w:color w:val="FFFFFF"/>
                <w:sz w:val="24"/>
                <w:szCs w:val="24"/>
              </w:rPr>
              <w:t xml:space="preserve">Closing — Findings, Q&amp;A &amp; Next Steps</w:t>
            </w:r>
          </w:p>
          <w:p>
            <w:pPr>
              <w:spacing w:after="0" w:before="0"/>
            </w:pPr>
            <w:r>
              <w:rPr>
                <w:rFonts w:ascii="Arial" w:cs="Arial" w:eastAsia="Arial" w:hAnsi="Arial"/>
                <w:color w:val="AAAAAA"/>
                <w:sz w:val="17"/>
                <w:szCs w:val="17"/>
              </w:rPr>
              <w:t xml:space="preserve">Wrap-Up · Implementation discussion</w:t>
            </w:r>
          </w:p>
        </w:tc>
        <w:tc>
          <w:tcPr>
            <w:tcW w:type="dxa" w:w="1600"/>
            <w:tcBorders>
              <w:top w:val="single" w:color="DEDBD3" w:sz="1"/>
              <w:left w:val="single" w:color="DEDBD3" w:sz="1"/>
              <w:bottom w:val="single" w:color="DEDBD3" w:sz="1"/>
              <w:right w:val="single" w:color="DEDBD3" w:sz="1"/>
            </w:tcBorders>
            <w:shd w:fill="14263F" w:val="clear"/>
            <w:tcMar>
              <w:top w:type="dxa" w:w="120"/>
              <w:left w:type="dxa" w:w="120"/>
              <w:bottom w:type="dxa" w:w="120"/>
              <w:right w:type="dxa" w:w="120"/>
            </w:tcMar>
            <w:vAlign w:val="center"/>
          </w:tcPr>
          <w:p>
            <w:pPr>
              <w:jc w:val="center"/>
            </w:pPr>
            <w:r>
              <w:rPr>
                <w:rFonts w:ascii="Courier New" w:cs="Courier New" w:eastAsia="Courier New" w:hAnsi="Courier New"/>
                <w:b/>
                <w:bCs/>
                <w:color w:val="AAAAAA"/>
                <w:sz w:val="20"/>
                <w:szCs w:val="20"/>
              </w:rPr>
              <w:t xml:space="preserve">15 min</w:t>
            </w:r>
          </w:p>
        </w:tc>
      </w:tr>
      <w:tr>
        <w:tc>
          <w:tcPr>
            <w:tcW w:type="dxa" w:w="1200"/>
            <w:tcBorders>
              <w:top w:val="single" w:color="DEDBD3" w:sz="1"/>
              <w:left w:val="single" w:color="DEDBD3" w:sz="1"/>
              <w:bottom w:val="single" w:color="DEDBD3" w:sz="1"/>
              <w:right w:val="single" w:color="DEDBD3" w:sz="1"/>
            </w:tcBorders>
            <w:shd w:fill="F5F4F0" w:val="clear"/>
            <w:tcMar>
              <w:top w:type="dxa" w:w="60"/>
              <w:left w:type="dxa" w:w="100"/>
              <w:bottom w:type="dxa" w:w="60"/>
              <w:right w:type="dxa" w:w="100"/>
            </w:tcMar>
          </w:tcPr>
          <w:p/>
        </w:tc>
        <w:tc>
          <w:tcPr>
            <w:tcW w:type="dxa" w:w="8160"/>
            <w:tcBorders>
              <w:top w:val="single" w:color="DEDBD3" w:sz="1"/>
              <w:left w:val="single" w:color="DEDBD3" w:sz="1"/>
              <w:bottom w:val="single" w:color="DEDBD3" w:sz="1"/>
              <w:right w:val="single" w:color="DEDBD3" w:sz="1"/>
            </w:tcBorders>
            <w:shd w:fill="F5F4F0" w:val="clear"/>
            <w:tcMar>
              <w:top w:type="dxa" w:w="100"/>
              <w:left w:type="dxa" w:w="160"/>
              <w:bottom w:type="dxa" w:w="100"/>
              <w:right w:type="dxa" w:w="160"/>
            </w:tcMar>
          </w:tcPr>
          <w:p>
            <w:pPr>
              <w:spacing w:after="40" w:before="40"/>
            </w:pPr>
            <w:r>
              <w:rPr>
                <w:rFonts w:ascii="Arial" w:cs="Arial" w:eastAsia="Arial" w:hAnsi="Arial"/>
                <w:color w:val="3A3A48"/>
                <w:sz w:val="19"/>
                <w:szCs w:val="19"/>
              </w:rPr>
              <w:t xml:space="preserve">› Share-back round: each table shares the most useful thing they discovered during the session</w:t>
            </w:r>
          </w:p>
          <w:p>
            <w:pPr>
              <w:spacing w:after="40" w:before="40"/>
            </w:pPr>
            <w:r>
              <w:rPr>
                <w:rFonts w:ascii="Arial" w:cs="Arial" w:eastAsia="Arial" w:hAnsi="Arial"/>
                <w:color w:val="3A3A48"/>
                <w:sz w:val="19"/>
                <w:szCs w:val="19"/>
              </w:rPr>
              <w:t xml:space="preserve">› Open Q&amp;A — strategic questions on implementation, data privacy, integration timelines</w:t>
            </w:r>
          </w:p>
          <w:p>
            <w:pPr>
              <w:spacing w:after="40" w:before="40"/>
            </w:pPr>
            <w:r>
              <w:rPr>
                <w:rFonts w:ascii="Arial" w:cs="Arial" w:eastAsia="Arial" w:hAnsi="Arial"/>
                <w:color w:val="3A3A48"/>
                <w:sz w:val="19"/>
                <w:szCs w:val="19"/>
              </w:rPr>
              <w:t xml:space="preserve">› Next steps — implementation roadmap, pilot design, and onboarding plan discussion</w:t>
            </w:r>
          </w:p>
        </w:tc>
      </w:tr>
    </w:tbl>
    <w:p>
      <w:pPr>
        <w:spacing w:after="40" w:before="0"/>
      </w:pPr>
    </w:p>
    <w:p>
      <w:pPr>
        <w:pBdr>
          <w:bottom w:val="single" w:color="DEDBD3" w:sz="4" w:space="1"/>
        </w:pBdr>
        <w:spacing w:after="200" w:before="200"/>
      </w:pPr>
    </w:p>
    <w:p>
      <w:pPr>
        <w:spacing w:after="80" w:before="320"/>
      </w:pPr>
      <w:r>
        <w:rPr>
          <w:rFonts w:ascii="Arial" w:cs="Arial" w:eastAsia="Arial" w:hAnsi="Arial"/>
          <w:b/>
          <w:bCs/>
          <w:color w:val="9A6F30"/>
          <w:spacing w:val="60"/>
          <w:sz w:val="18"/>
          <w:szCs w:val="18"/>
        </w:rPr>
        <w:t xml:space="preserve">TRAINING MODULES — DETAIL</w:t>
      </w:r>
    </w:p>
    <w:p>
      <w:pPr>
        <w:pStyle w:val="Heading1"/>
        <w:spacing w:after="160" w:before="80"/>
      </w:pPr>
      <w:r>
        <w:rPr>
          <w:rFonts w:ascii="Arial" w:cs="Arial" w:eastAsia="Arial" w:hAnsi="Arial"/>
          <w:b/>
          <w:bCs/>
          <w:color w:val="0B1629"/>
          <w:sz w:val="44"/>
          <w:szCs w:val="44"/>
        </w:rPr>
        <w:t xml:space="preserve">What each module covers</w:t>
      </w:r>
    </w:p>
    <w:p>
      <w:pPr>
        <w:spacing w:after="120" w:before="0"/>
      </w:pPr>
      <w:r>
        <w:rPr>
          <w:rFonts w:ascii="Arial" w:cs="Arial" w:eastAsia="Arial" w:hAnsi="Arial"/>
          <w:color w:val="3A3A48"/>
          <w:sz w:val="22"/>
          <w:szCs w:val="22"/>
        </w:rPr>
        <w:t xml:space="preserve">Six structured modules across the 1.5-hour training session — progressing from foundational AI concepts through Chatbots, AI Agents, Automated Decision Making, and into the live Antarious AI system, with each stage grounded in PKSF's operational context.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BD3" w:sz="1"/>
              <w:left w:val="single" w:color="DEDBD3" w:sz="1"/>
              <w:bottom w:val="single" w:color="DEDBD3" w:sz="1"/>
              <w:right w:val="single" w:color="DEDBD3" w:sz="1"/>
            </w:tcBorders>
            <w:shd w:fill="E0F5F3" w:val="clear"/>
            <w:tcMar>
              <w:top w:type="dxa" w:w="100"/>
              <w:left w:type="dxa" w:w="160"/>
              <w:bottom w:type="dxa" w:w="100"/>
              <w:right w:type="dxa" w:w="160"/>
            </w:tcMar>
          </w:tcPr>
          <w:p>
            <w:pPr>
              <w:spacing w:after="40" w:before="0"/>
            </w:pPr>
            <w:r>
              <w:rPr>
                <w:rFonts w:ascii="Courier New" w:cs="Courier New" w:eastAsia="Courier New" w:hAnsi="Courier New"/>
                <w:b/>
                <w:bCs/>
                <w:color w:val="0E7A70"/>
                <w:spacing w:val="40"/>
                <w:sz w:val="17"/>
                <w:szCs w:val="17"/>
              </w:rPr>
              <w:t xml:space="preserve">MODULE 01  ·  15 min</w:t>
            </w:r>
          </w:p>
          <w:p>
            <w:pPr>
              <w:spacing w:after="40" w:before="0"/>
            </w:pPr>
            <w:r>
              <w:rPr>
                <w:rFonts w:ascii="Arial" w:cs="Arial" w:eastAsia="Arial" w:hAnsi="Arial"/>
                <w:b/>
                <w:bCs/>
                <w:color w:val="0B1629"/>
                <w:sz w:val="26"/>
                <w:szCs w:val="26"/>
              </w:rPr>
              <w:t xml:space="preserve">What is Agentic AI?</w:t>
            </w:r>
          </w:p>
        </w:tc>
      </w:tr>
      <w:tr>
        <w:tc>
          <w:tcPr>
            <w:tcW w:type="dxa" w:w="9360"/>
            <w:tcBorders>
              <w:top w:val="single" w:color="DEDBD3" w:sz="1"/>
              <w:left w:val="single" w:color="DEDBD3" w:sz="1"/>
              <w:bottom w:val="single" w:color="DEDBD3" w:sz="1"/>
              <w:right w:val="single" w:color="DEDBD3" w:sz="1"/>
            </w:tcBorders>
            <w:shd w:fill="FFFFFF" w:val="clear"/>
            <w:tcMar>
              <w:top w:type="dxa" w:w="120"/>
              <w:left w:type="dxa" w:w="160"/>
              <w:bottom w:type="dxa" w:w="120"/>
              <w:right w:type="dxa" w:w="160"/>
            </w:tcMar>
          </w:tcPr>
          <w:p>
            <w:pPr>
              <w:spacing w:after="100" w:before="0"/>
            </w:pPr>
            <w:r>
              <w:rPr>
                <w:rFonts w:ascii="Arial" w:cs="Arial" w:eastAsia="Arial" w:hAnsi="Arial"/>
                <w:b/>
                <w:bCs/>
                <w:color w:val="7A7A88"/>
                <w:spacing w:val="40"/>
                <w:sz w:val="16"/>
                <w:szCs w:val="16"/>
              </w:rPr>
              <w:t xml:space="preserve">PARTICIPANTS WILL UNDERSTAND</w:t>
            </w:r>
          </w:p>
          <w:p>
            <w:pPr>
              <w:spacing w:after="40" w:before="40"/>
            </w:pPr>
            <w:r>
              <w:rPr>
                <w:rFonts w:ascii="Arial" w:cs="Arial" w:eastAsia="Arial" w:hAnsi="Arial"/>
                <w:color w:val="3A3A48"/>
                <w:sz w:val="21"/>
                <w:szCs w:val="21"/>
              </w:rPr>
              <w:t xml:space="preserve">✓  The difference between AI tools, AI assistants, and AI agents — with clear examples</w:t>
            </w:r>
          </w:p>
          <w:p>
            <w:pPr>
              <w:spacing w:after="40" w:before="40"/>
            </w:pPr>
            <w:r>
              <w:rPr>
                <w:rFonts w:ascii="Arial" w:cs="Arial" w:eastAsia="Arial" w:hAnsi="Arial"/>
                <w:color w:val="3A3A48"/>
                <w:sz w:val="21"/>
                <w:szCs w:val="21"/>
              </w:rPr>
              <w:t xml:space="preserve">✓  What makes an AI system 'agentic' — autonomy, memory, goal-seeking, and tool use</w:t>
            </w:r>
          </w:p>
          <w:p>
            <w:pPr>
              <w:spacing w:after="40" w:before="40"/>
            </w:pPr>
            <w:r>
              <w:rPr>
                <w:rFonts w:ascii="Arial" w:cs="Arial" w:eastAsia="Arial" w:hAnsi="Arial"/>
                <w:color w:val="3A3A48"/>
                <w:sz w:val="21"/>
                <w:szCs w:val="21"/>
              </w:rPr>
              <w:t xml:space="preserve">✓  Why agentic AI represents a structural shift, not just a faster search tool</w:t>
            </w:r>
          </w:p>
          <w:p>
            <w:pPr>
              <w:spacing w:after="40" w:before="40"/>
            </w:pPr>
            <w:r>
              <w:rPr>
                <w:rFonts w:ascii="Arial" w:cs="Arial" w:eastAsia="Arial" w:hAnsi="Arial"/>
                <w:color w:val="3A3A48"/>
                <w:sz w:val="21"/>
                <w:szCs w:val="21"/>
              </w:rPr>
              <w:t xml:space="preserve">✓  Real-world comparisons in development organisation and public sector contexts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BD3" w:sz="1"/>
              <w:left w:val="single" w:color="DEDBD3" w:sz="1"/>
              <w:bottom w:val="single" w:color="DEDBD3" w:sz="1"/>
              <w:right w:val="single" w:color="DEDBD3" w:sz="1"/>
            </w:tcBorders>
            <w:shd w:fill="E0F5F3" w:val="clear"/>
            <w:tcMar>
              <w:top w:type="dxa" w:w="100"/>
              <w:left w:type="dxa" w:w="160"/>
              <w:bottom w:type="dxa" w:w="100"/>
              <w:right w:type="dxa" w:w="160"/>
            </w:tcMar>
          </w:tcPr>
          <w:p>
            <w:pPr>
              <w:spacing w:after="40" w:before="0"/>
            </w:pPr>
            <w:r>
              <w:rPr>
                <w:rFonts w:ascii="Courier New" w:cs="Courier New" w:eastAsia="Courier New" w:hAnsi="Courier New"/>
                <w:b/>
                <w:bCs/>
                <w:color w:val="0E7A70"/>
                <w:spacing w:val="40"/>
                <w:sz w:val="17"/>
                <w:szCs w:val="17"/>
              </w:rPr>
              <w:t xml:space="preserve">MODULE 02  ·  15 min</w:t>
            </w:r>
          </w:p>
          <w:p>
            <w:pPr>
              <w:spacing w:after="40" w:before="0"/>
            </w:pPr>
            <w:r>
              <w:rPr>
                <w:rFonts w:ascii="Arial" w:cs="Arial" w:eastAsia="Arial" w:hAnsi="Arial"/>
                <w:b/>
                <w:bCs/>
                <w:color w:val="0B1629"/>
                <w:sz w:val="26"/>
                <w:szCs w:val="26"/>
              </w:rPr>
              <w:t xml:space="preserve">Chatbots &amp; Virtual Assistants</w:t>
            </w:r>
          </w:p>
        </w:tc>
      </w:tr>
      <w:tr>
        <w:tc>
          <w:tcPr>
            <w:tcW w:type="dxa" w:w="9360"/>
            <w:tcBorders>
              <w:top w:val="single" w:color="DEDBD3" w:sz="1"/>
              <w:left w:val="single" w:color="DEDBD3" w:sz="1"/>
              <w:bottom w:val="single" w:color="DEDBD3" w:sz="1"/>
              <w:right w:val="single" w:color="DEDBD3" w:sz="1"/>
            </w:tcBorders>
            <w:shd w:fill="FFFFFF" w:val="clear"/>
            <w:tcMar>
              <w:top w:type="dxa" w:w="120"/>
              <w:left w:type="dxa" w:w="160"/>
              <w:bottom w:type="dxa" w:w="120"/>
              <w:right w:type="dxa" w:w="160"/>
            </w:tcMar>
          </w:tcPr>
          <w:p>
            <w:pPr>
              <w:spacing w:after="100" w:before="0"/>
            </w:pPr>
            <w:r>
              <w:rPr>
                <w:rFonts w:ascii="Arial" w:cs="Arial" w:eastAsia="Arial" w:hAnsi="Arial"/>
                <w:b/>
                <w:bCs/>
                <w:color w:val="7A7A88"/>
                <w:spacing w:val="40"/>
                <w:sz w:val="16"/>
                <w:szCs w:val="16"/>
              </w:rPr>
              <w:t xml:space="preserve">PARTICIPANTS WILL UNDERSTAND</w:t>
            </w:r>
          </w:p>
          <w:p>
            <w:pPr>
              <w:spacing w:after="40" w:before="40"/>
            </w:pPr>
            <w:r>
              <w:rPr>
                <w:rFonts w:ascii="Arial" w:cs="Arial" w:eastAsia="Arial" w:hAnsi="Arial"/>
                <w:color w:val="3A3A48"/>
                <w:sz w:val="21"/>
                <w:szCs w:val="21"/>
              </w:rPr>
              <w:t xml:space="preserve">✓  What chatbots are: definition, types, and how they have evolved from scripted to AI-powered</w:t>
            </w:r>
          </w:p>
          <w:p>
            <w:pPr>
              <w:spacing w:after="40" w:before="40"/>
            </w:pPr>
            <w:r>
              <w:rPr>
                <w:rFonts w:ascii="Arial" w:cs="Arial" w:eastAsia="Arial" w:hAnsi="Arial"/>
                <w:color w:val="3A3A48"/>
                <w:sz w:val="21"/>
                <w:szCs w:val="21"/>
              </w:rPr>
              <w:t xml:space="preserve">✓  Virtual assistants vs chatbots — the distinction in scope, intelligence, and integration depth</w:t>
            </w:r>
          </w:p>
          <w:p>
            <w:pPr>
              <w:spacing w:after="40" w:before="40"/>
            </w:pPr>
            <w:r>
              <w:rPr>
                <w:rFonts w:ascii="Arial" w:cs="Arial" w:eastAsia="Arial" w:hAnsi="Arial"/>
                <w:color w:val="3A3A48"/>
                <w:sz w:val="21"/>
                <w:szCs w:val="21"/>
              </w:rPr>
              <w:t xml:space="preserve">✓  How large language model (LLM)-powered chatbots work — and what makes them different</w:t>
            </w:r>
          </w:p>
          <w:p>
            <w:pPr>
              <w:spacing w:after="40" w:before="40"/>
            </w:pPr>
            <w:r>
              <w:rPr>
                <w:rFonts w:ascii="Arial" w:cs="Arial" w:eastAsia="Arial" w:hAnsi="Arial"/>
                <w:color w:val="3A3A48"/>
                <w:sz w:val="21"/>
                <w:szCs w:val="21"/>
              </w:rPr>
              <w:t xml:space="preserve">✓  Real deployment examples: customer-facing chatbots, internal helpdesk assistants, voice agents</w:t>
            </w:r>
          </w:p>
          <w:p>
            <w:pPr>
              <w:spacing w:after="40" w:before="40"/>
            </w:pPr>
            <w:r>
              <w:rPr>
                <w:rFonts w:ascii="Arial" w:cs="Arial" w:eastAsia="Arial" w:hAnsi="Arial"/>
                <w:color w:val="3A3A48"/>
                <w:sz w:val="21"/>
                <w:szCs w:val="21"/>
              </w:rPr>
              <w:t xml:space="preserve">✓  Why chatbots are typically the entry point into an organisation's AI journey</w:t>
            </w:r>
          </w:p>
          <w:p>
            <w:pPr>
              <w:spacing w:after="40" w:before="40"/>
            </w:pPr>
            <w:r>
              <w:rPr>
                <w:rFonts w:ascii="Arial" w:cs="Arial" w:eastAsia="Arial" w:hAnsi="Arial"/>
                <w:color w:val="3A3A48"/>
                <w:sz w:val="21"/>
                <w:szCs w:val="21"/>
              </w:rPr>
              <w:t xml:space="preserve">✓  Where chatbots hit their ceiling — and when AI agents become necessary</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BD3" w:sz="1"/>
              <w:left w:val="single" w:color="DEDBD3" w:sz="1"/>
              <w:bottom w:val="single" w:color="DEDBD3" w:sz="1"/>
              <w:right w:val="single" w:color="DEDBD3" w:sz="1"/>
            </w:tcBorders>
            <w:shd w:fill="E0F5F3" w:val="clear"/>
            <w:tcMar>
              <w:top w:type="dxa" w:w="100"/>
              <w:left w:type="dxa" w:w="160"/>
              <w:bottom w:type="dxa" w:w="100"/>
              <w:right w:type="dxa" w:w="160"/>
            </w:tcMar>
          </w:tcPr>
          <w:p>
            <w:pPr>
              <w:spacing w:after="40" w:before="0"/>
            </w:pPr>
            <w:r>
              <w:rPr>
                <w:rFonts w:ascii="Courier New" w:cs="Courier New" w:eastAsia="Courier New" w:hAnsi="Courier New"/>
                <w:b/>
                <w:bCs/>
                <w:color w:val="0E7A70"/>
                <w:spacing w:val="40"/>
                <w:sz w:val="17"/>
                <w:szCs w:val="17"/>
              </w:rPr>
              <w:t xml:space="preserve">MODULE 03  ·  20 min</w:t>
            </w:r>
          </w:p>
          <w:p>
            <w:pPr>
              <w:spacing w:after="40" w:before="0"/>
            </w:pPr>
            <w:r>
              <w:rPr>
                <w:rFonts w:ascii="Arial" w:cs="Arial" w:eastAsia="Arial" w:hAnsi="Arial"/>
                <w:b/>
                <w:bCs/>
                <w:color w:val="0B1629"/>
                <w:sz w:val="26"/>
                <w:szCs w:val="26"/>
              </w:rPr>
              <w:t xml:space="preserve">How AI Agents Think and Act</w:t>
            </w:r>
          </w:p>
        </w:tc>
      </w:tr>
      <w:tr>
        <w:tc>
          <w:tcPr>
            <w:tcW w:type="dxa" w:w="9360"/>
            <w:tcBorders>
              <w:top w:val="single" w:color="DEDBD3" w:sz="1"/>
              <w:left w:val="single" w:color="DEDBD3" w:sz="1"/>
              <w:bottom w:val="single" w:color="DEDBD3" w:sz="1"/>
              <w:right w:val="single" w:color="DEDBD3" w:sz="1"/>
            </w:tcBorders>
            <w:shd w:fill="FFFFFF" w:val="clear"/>
            <w:tcMar>
              <w:top w:type="dxa" w:w="120"/>
              <w:left w:type="dxa" w:w="160"/>
              <w:bottom w:type="dxa" w:w="120"/>
              <w:right w:type="dxa" w:w="160"/>
            </w:tcMar>
          </w:tcPr>
          <w:p>
            <w:pPr>
              <w:spacing w:after="100" w:before="0"/>
            </w:pPr>
            <w:r>
              <w:rPr>
                <w:rFonts w:ascii="Arial" w:cs="Arial" w:eastAsia="Arial" w:hAnsi="Arial"/>
                <w:b/>
                <w:bCs/>
                <w:color w:val="7A7A88"/>
                <w:spacing w:val="40"/>
                <w:sz w:val="16"/>
                <w:szCs w:val="16"/>
              </w:rPr>
              <w:t xml:space="preserve">PARTICIPANTS WILL UNDERSTAND</w:t>
            </w:r>
          </w:p>
          <w:p>
            <w:pPr>
              <w:spacing w:after="40" w:before="40"/>
            </w:pPr>
            <w:r>
              <w:rPr>
                <w:rFonts w:ascii="Arial" w:cs="Arial" w:eastAsia="Arial" w:hAnsi="Arial"/>
                <w:color w:val="3A3A48"/>
                <w:sz w:val="21"/>
                <w:szCs w:val="21"/>
              </w:rPr>
              <w:t xml:space="preserve">✓  The full 6-step agent loop: Observe → Analyse → Plan → Execute → Escalate → Learn</w:t>
            </w:r>
          </w:p>
          <w:p>
            <w:pPr>
              <w:spacing w:after="40" w:before="40"/>
            </w:pPr>
            <w:r>
              <w:rPr>
                <w:rFonts w:ascii="Arial" w:cs="Arial" w:eastAsia="Arial" w:hAnsi="Arial"/>
                <w:color w:val="3A3A48"/>
                <w:sz w:val="21"/>
                <w:szCs w:val="21"/>
              </w:rPr>
              <w:t xml:space="preserve">✓  Persistent memory — how agents retain institutional context across sessions</w:t>
            </w:r>
          </w:p>
          <w:p>
            <w:pPr>
              <w:spacing w:after="40" w:before="40"/>
            </w:pPr>
            <w:r>
              <w:rPr>
                <w:rFonts w:ascii="Arial" w:cs="Arial" w:eastAsia="Arial" w:hAnsi="Arial"/>
                <w:color w:val="3A3A48"/>
                <w:sz w:val="21"/>
                <w:szCs w:val="21"/>
              </w:rPr>
              <w:t xml:space="preserve">✓  Tool use — how agents access databases, generate documents, and trigger alerts</w:t>
            </w:r>
          </w:p>
          <w:p>
            <w:pPr>
              <w:spacing w:after="40" w:before="40"/>
            </w:pPr>
            <w:r>
              <w:rPr>
                <w:rFonts w:ascii="Arial" w:cs="Arial" w:eastAsia="Arial" w:hAnsi="Arial"/>
                <w:color w:val="3A3A48"/>
                <w:sz w:val="21"/>
                <w:szCs w:val="21"/>
              </w:rPr>
              <w:t xml:space="preserve">✓  Human-in-the-loop approval gates — how humans stay in control of every action</w:t>
            </w:r>
          </w:p>
          <w:p>
            <w:pPr>
              <w:spacing w:after="40" w:before="40"/>
            </w:pPr>
            <w:r>
              <w:rPr>
                <w:rFonts w:ascii="Arial" w:cs="Arial" w:eastAsia="Arial" w:hAnsi="Arial"/>
                <w:color w:val="3A3A48"/>
                <w:sz w:val="21"/>
                <w:szCs w:val="21"/>
              </w:rPr>
              <w:t xml:space="preserve">✓  Multi-agent coordination — how a system of specialists works together coherently</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BD3" w:sz="1"/>
              <w:left w:val="single" w:color="DEDBD3" w:sz="1"/>
              <w:bottom w:val="single" w:color="DEDBD3" w:sz="1"/>
              <w:right w:val="single" w:color="DEDBD3" w:sz="1"/>
            </w:tcBorders>
            <w:shd w:fill="FBF0E0" w:val="clear"/>
            <w:tcMar>
              <w:top w:type="dxa" w:w="100"/>
              <w:left w:type="dxa" w:w="160"/>
              <w:bottom w:type="dxa" w:w="100"/>
              <w:right w:type="dxa" w:w="160"/>
            </w:tcMar>
          </w:tcPr>
          <w:p>
            <w:pPr>
              <w:spacing w:after="40" w:before="0"/>
            </w:pPr>
            <w:r>
              <w:rPr>
                <w:rFonts w:ascii="Courier New" w:cs="Courier New" w:eastAsia="Courier New" w:hAnsi="Courier New"/>
                <w:b/>
                <w:bCs/>
                <w:color w:val="9A6F30"/>
                <w:spacing w:val="40"/>
                <w:sz w:val="17"/>
                <w:szCs w:val="17"/>
              </w:rPr>
              <w:t xml:space="preserve">MODULE 04  ·  20 min</w:t>
            </w:r>
          </w:p>
          <w:p>
            <w:pPr>
              <w:spacing w:after="40" w:before="0"/>
            </w:pPr>
            <w:r>
              <w:rPr>
                <w:rFonts w:ascii="Arial" w:cs="Arial" w:eastAsia="Arial" w:hAnsi="Arial"/>
                <w:b/>
                <w:bCs/>
                <w:color w:val="0B1629"/>
                <w:sz w:val="26"/>
                <w:szCs w:val="26"/>
              </w:rPr>
              <w:t xml:space="preserve">AI Agents &amp; Automated Decision Making</w:t>
            </w:r>
          </w:p>
        </w:tc>
      </w:tr>
      <w:tr>
        <w:tc>
          <w:tcPr>
            <w:tcW w:type="dxa" w:w="9360"/>
            <w:tcBorders>
              <w:top w:val="single" w:color="DEDBD3" w:sz="1"/>
              <w:left w:val="single" w:color="DEDBD3" w:sz="1"/>
              <w:bottom w:val="single" w:color="DEDBD3" w:sz="1"/>
              <w:right w:val="single" w:color="DEDBD3" w:sz="1"/>
            </w:tcBorders>
            <w:shd w:fill="FFFFFF" w:val="clear"/>
            <w:tcMar>
              <w:top w:type="dxa" w:w="120"/>
              <w:left w:type="dxa" w:w="160"/>
              <w:bottom w:type="dxa" w:w="120"/>
              <w:right w:type="dxa" w:w="160"/>
            </w:tcMar>
          </w:tcPr>
          <w:p>
            <w:pPr>
              <w:spacing w:after="100" w:before="0"/>
            </w:pPr>
            <w:r>
              <w:rPr>
                <w:rFonts w:ascii="Arial" w:cs="Arial" w:eastAsia="Arial" w:hAnsi="Arial"/>
                <w:b/>
                <w:bCs/>
                <w:color w:val="7A7A88"/>
                <w:spacing w:val="40"/>
                <w:sz w:val="16"/>
                <w:szCs w:val="16"/>
              </w:rPr>
              <w:t xml:space="preserve">PARTICIPANTS WILL UNDERSTAND</w:t>
            </w:r>
          </w:p>
          <w:p>
            <w:pPr>
              <w:spacing w:after="40" w:before="40"/>
            </w:pPr>
            <w:r>
              <w:rPr>
                <w:rFonts w:ascii="Arial" w:cs="Arial" w:eastAsia="Arial" w:hAnsi="Arial"/>
                <w:color w:val="3A3A48"/>
                <w:sz w:val="21"/>
                <w:szCs w:val="21"/>
              </w:rPr>
              <w:t xml:space="preserve">✓  How AI agents make decisions: rule-based, model-based, and hybrid decision architectures</w:t>
            </w:r>
          </w:p>
          <w:p>
            <w:pPr>
              <w:spacing w:after="40" w:before="40"/>
            </w:pPr>
            <w:r>
              <w:rPr>
                <w:rFonts w:ascii="Arial" w:cs="Arial" w:eastAsia="Arial" w:hAnsi="Arial"/>
                <w:color w:val="3A3A48"/>
                <w:sz w:val="21"/>
                <w:szCs w:val="21"/>
              </w:rPr>
              <w:t xml:space="preserve">✓  Confidence thresholds — how the system decides when to act autonomously vs escalate to a human</w:t>
            </w:r>
          </w:p>
          <w:p>
            <w:pPr>
              <w:spacing w:after="40" w:before="40"/>
            </w:pPr>
            <w:r>
              <w:rPr>
                <w:rFonts w:ascii="Arial" w:cs="Arial" w:eastAsia="Arial" w:hAnsi="Arial"/>
                <w:color w:val="3A3A48"/>
                <w:sz w:val="21"/>
                <w:szCs w:val="21"/>
              </w:rPr>
              <w:t xml:space="preserve">✓  Transparency and explainability — how automated decisions are logged, cited, and auditable</w:t>
            </w:r>
          </w:p>
          <w:p>
            <w:pPr>
              <w:spacing w:after="40" w:before="40"/>
            </w:pPr>
            <w:r>
              <w:rPr>
                <w:rFonts w:ascii="Arial" w:cs="Arial" w:eastAsia="Arial" w:hAnsi="Arial"/>
                <w:color w:val="3A3A48"/>
                <w:sz w:val="21"/>
                <w:szCs w:val="21"/>
              </w:rPr>
              <w:t xml:space="preserve">✓  Risk governance in automated workflows: guardrails, rollback mechanisms, and override controls</w:t>
            </w:r>
          </w:p>
          <w:p>
            <w:pPr>
              <w:spacing w:after="40" w:before="40"/>
            </w:pPr>
            <w:r>
              <w:rPr>
                <w:rFonts w:ascii="Arial" w:cs="Arial" w:eastAsia="Arial" w:hAnsi="Arial"/>
                <w:color w:val="3A3A48"/>
                <w:sz w:val="21"/>
                <w:szCs w:val="21"/>
              </w:rPr>
              <w:t xml:space="preserve">✓  The distinction between automation (scripted) and autonomous decision-making (AI-driven)</w:t>
            </w:r>
          </w:p>
          <w:p>
            <w:pPr>
              <w:spacing w:after="40" w:before="40"/>
            </w:pPr>
            <w:r>
              <w:rPr>
                <w:rFonts w:ascii="Arial" w:cs="Arial" w:eastAsia="Arial" w:hAnsi="Arial"/>
                <w:color w:val="3A3A48"/>
                <w:sz w:val="21"/>
                <w:szCs w:val="21"/>
              </w:rPr>
              <w:t xml:space="preserve">✓  Applied PKSF examples: automated loan portfolio flags, compliance alert generation, beneficiary risk scoring</w:t>
            </w:r>
          </w:p>
          <w:p>
            <w:pPr>
              <w:spacing w:after="40" w:before="40"/>
            </w:pPr>
            <w:r>
              <w:rPr>
                <w:rFonts w:ascii="Arial" w:cs="Arial" w:eastAsia="Arial" w:hAnsi="Arial"/>
                <w:color w:val="3A3A48"/>
                <w:sz w:val="21"/>
                <w:szCs w:val="21"/>
              </w:rPr>
              <w:t xml:space="preserve">✓  What must never be automated — decisions that require human accountability and contextual judgement</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BD3" w:sz="1"/>
              <w:left w:val="single" w:color="DEDBD3" w:sz="1"/>
              <w:bottom w:val="single" w:color="DEDBD3" w:sz="1"/>
              <w:right w:val="single" w:color="DEDBD3" w:sz="1"/>
            </w:tcBorders>
            <w:shd w:fill="FBF0E0" w:val="clear"/>
            <w:tcMar>
              <w:top w:type="dxa" w:w="100"/>
              <w:left w:type="dxa" w:w="160"/>
              <w:bottom w:type="dxa" w:w="100"/>
              <w:right w:type="dxa" w:w="160"/>
            </w:tcMar>
          </w:tcPr>
          <w:p>
            <w:pPr>
              <w:spacing w:after="40" w:before="0"/>
            </w:pPr>
            <w:r>
              <w:rPr>
                <w:rFonts w:ascii="Courier New" w:cs="Courier New" w:eastAsia="Courier New" w:hAnsi="Courier New"/>
                <w:b/>
                <w:bCs/>
                <w:color w:val="9A6F30"/>
                <w:spacing w:val="40"/>
                <w:sz w:val="17"/>
                <w:szCs w:val="17"/>
              </w:rPr>
              <w:t xml:space="preserve">MODULE 05  ·  15 min</w:t>
            </w:r>
          </w:p>
          <w:p>
            <w:pPr>
              <w:spacing w:after="40" w:before="0"/>
            </w:pPr>
            <w:r>
              <w:rPr>
                <w:rFonts w:ascii="Arial" w:cs="Arial" w:eastAsia="Arial" w:hAnsi="Arial"/>
                <w:b/>
                <w:bCs/>
                <w:color w:val="0B1629"/>
                <w:sz w:val="26"/>
                <w:szCs w:val="26"/>
              </w:rPr>
              <w:t xml:space="preserve">AI Agents in Development Organisations</w:t>
            </w:r>
          </w:p>
        </w:tc>
      </w:tr>
      <w:tr>
        <w:tc>
          <w:tcPr>
            <w:tcW w:type="dxa" w:w="9360"/>
            <w:tcBorders>
              <w:top w:val="single" w:color="DEDBD3" w:sz="1"/>
              <w:left w:val="single" w:color="DEDBD3" w:sz="1"/>
              <w:bottom w:val="single" w:color="DEDBD3" w:sz="1"/>
              <w:right w:val="single" w:color="DEDBD3" w:sz="1"/>
            </w:tcBorders>
            <w:shd w:fill="FFFFFF" w:val="clear"/>
            <w:tcMar>
              <w:top w:type="dxa" w:w="120"/>
              <w:left w:type="dxa" w:w="160"/>
              <w:bottom w:type="dxa" w:w="120"/>
              <w:right w:type="dxa" w:w="160"/>
            </w:tcMar>
          </w:tcPr>
          <w:p>
            <w:pPr>
              <w:spacing w:after="100" w:before="0"/>
            </w:pPr>
            <w:r>
              <w:rPr>
                <w:rFonts w:ascii="Arial" w:cs="Arial" w:eastAsia="Arial" w:hAnsi="Arial"/>
                <w:b/>
                <w:bCs/>
                <w:color w:val="7A7A88"/>
                <w:spacing w:val="40"/>
                <w:sz w:val="16"/>
                <w:szCs w:val="16"/>
              </w:rPr>
              <w:t xml:space="preserve">PARTICIPANTS WILL UNDERSTAND</w:t>
            </w:r>
          </w:p>
          <w:p>
            <w:pPr>
              <w:spacing w:after="40" w:before="40"/>
            </w:pPr>
            <w:r>
              <w:rPr>
                <w:rFonts w:ascii="Arial" w:cs="Arial" w:eastAsia="Arial" w:hAnsi="Arial"/>
                <w:color w:val="3A3A48"/>
                <w:sz w:val="21"/>
                <w:szCs w:val="21"/>
              </w:rPr>
              <w:t xml:space="preserve">✓  Where PKSF currently loses officer time to avoidable, repetitive manual tasks</w:t>
            </w:r>
          </w:p>
          <w:p>
            <w:pPr>
              <w:spacing w:after="40" w:before="40"/>
            </w:pPr>
            <w:r>
              <w:rPr>
                <w:rFonts w:ascii="Arial" w:cs="Arial" w:eastAsia="Arial" w:hAnsi="Arial"/>
                <w:color w:val="3A3A48"/>
                <w:sz w:val="21"/>
                <w:szCs w:val="21"/>
              </w:rPr>
              <w:t xml:space="preserve">✓  The data PKSF already holds that AI can turn into live programme intelligence</w:t>
            </w:r>
          </w:p>
          <w:p>
            <w:pPr>
              <w:spacing w:after="40" w:before="40"/>
            </w:pPr>
            <w:r>
              <w:rPr>
                <w:rFonts w:ascii="Arial" w:cs="Arial" w:eastAsia="Arial" w:hAnsi="Arial"/>
                <w:color w:val="3A3A48"/>
                <w:sz w:val="21"/>
                <w:szCs w:val="21"/>
              </w:rPr>
              <w:t xml:space="preserve">✓  Concrete before/after scenarios for M&amp;E reporting, PO monitoring, and donor communications</w:t>
            </w:r>
          </w:p>
          <w:p>
            <w:pPr>
              <w:spacing w:after="40" w:before="40"/>
            </w:pPr>
            <w:r>
              <w:rPr>
                <w:rFonts w:ascii="Arial" w:cs="Arial" w:eastAsia="Arial" w:hAnsi="Arial"/>
                <w:color w:val="3A3A48"/>
                <w:sz w:val="21"/>
                <w:szCs w:val="21"/>
              </w:rPr>
              <w:t xml:space="preserve">✓  The firm boundaries of AI — what must always remain human judgement and accountability</w:t>
            </w:r>
          </w:p>
          <w:p>
            <w:pPr>
              <w:spacing w:after="40" w:before="40"/>
            </w:pPr>
            <w:r>
              <w:rPr>
                <w:rFonts w:ascii="Arial" w:cs="Arial" w:eastAsia="Arial" w:hAnsi="Arial"/>
                <w:color w:val="3A3A48"/>
                <w:sz w:val="21"/>
                <w:szCs w:val="21"/>
              </w:rPr>
              <w:t xml:space="preserve">✓  Open Q&amp;A — conceptual discussion before the product introduction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BD3" w:sz="1"/>
              <w:left w:val="single" w:color="DEDBD3" w:sz="1"/>
              <w:bottom w:val="single" w:color="DEDBD3" w:sz="1"/>
              <w:right w:val="single" w:color="DEDBD3" w:sz="1"/>
            </w:tcBorders>
            <w:shd w:fill="EEEAFA" w:val="clear"/>
            <w:tcMar>
              <w:top w:type="dxa" w:w="100"/>
              <w:left w:type="dxa" w:w="160"/>
              <w:bottom w:type="dxa" w:w="100"/>
              <w:right w:type="dxa" w:w="160"/>
            </w:tcMar>
          </w:tcPr>
          <w:p>
            <w:pPr>
              <w:spacing w:after="40" w:before="0"/>
            </w:pPr>
            <w:r>
              <w:rPr>
                <w:rFonts w:ascii="Courier New" w:cs="Courier New" w:eastAsia="Courier New" w:hAnsi="Courier New"/>
                <w:b/>
                <w:bCs/>
                <w:color w:val="5A3FAA"/>
                <w:spacing w:val="40"/>
                <w:sz w:val="17"/>
                <w:szCs w:val="17"/>
              </w:rPr>
              <w:t xml:space="preserve">MODULE 06  ·  25 min</w:t>
            </w:r>
          </w:p>
          <w:p>
            <w:pPr>
              <w:spacing w:after="40" w:before="0"/>
            </w:pPr>
            <w:r>
              <w:rPr>
                <w:rFonts w:ascii="Arial" w:cs="Arial" w:eastAsia="Arial" w:hAnsi="Arial"/>
                <w:b/>
                <w:bCs/>
                <w:color w:val="0B1629"/>
                <w:sz w:val="26"/>
                <w:szCs w:val="26"/>
              </w:rPr>
              <w:t xml:space="preserve">Antarious AI — PKSF Edition</w:t>
            </w:r>
          </w:p>
        </w:tc>
      </w:tr>
      <w:tr>
        <w:tc>
          <w:tcPr>
            <w:tcW w:type="dxa" w:w="9360"/>
            <w:tcBorders>
              <w:top w:val="single" w:color="DEDBD3" w:sz="1"/>
              <w:left w:val="single" w:color="DEDBD3" w:sz="1"/>
              <w:bottom w:val="single" w:color="DEDBD3" w:sz="1"/>
              <w:right w:val="single" w:color="DEDBD3" w:sz="1"/>
            </w:tcBorders>
            <w:shd w:fill="FFFFFF" w:val="clear"/>
            <w:tcMar>
              <w:top w:type="dxa" w:w="120"/>
              <w:left w:type="dxa" w:w="160"/>
              <w:bottom w:type="dxa" w:w="120"/>
              <w:right w:type="dxa" w:w="160"/>
            </w:tcMar>
          </w:tcPr>
          <w:p>
            <w:pPr>
              <w:spacing w:after="100" w:before="0"/>
            </w:pPr>
            <w:r>
              <w:rPr>
                <w:rFonts w:ascii="Arial" w:cs="Arial" w:eastAsia="Arial" w:hAnsi="Arial"/>
                <w:b/>
                <w:bCs/>
                <w:color w:val="7A7A88"/>
                <w:spacing w:val="40"/>
                <w:sz w:val="16"/>
                <w:szCs w:val="16"/>
              </w:rPr>
              <w:t xml:space="preserve">PARTICIPANTS WILL UNDERSTAND</w:t>
            </w:r>
          </w:p>
          <w:p>
            <w:pPr>
              <w:spacing w:after="40" w:before="40"/>
            </w:pPr>
            <w:r>
              <w:rPr>
                <w:rFonts w:ascii="Arial" w:cs="Arial" w:eastAsia="Arial" w:hAnsi="Arial"/>
                <w:color w:val="3A3A48"/>
                <w:sz w:val="21"/>
                <w:szCs w:val="21"/>
              </w:rPr>
              <w:t xml:space="preserve">✓  What Antarious AI is and how the PKSF edition differs from the standard enterprise platform</w:t>
            </w:r>
          </w:p>
          <w:p>
            <w:pPr>
              <w:spacing w:after="40" w:before="40"/>
            </w:pPr>
            <w:r>
              <w:rPr>
                <w:rFonts w:ascii="Arial" w:cs="Arial" w:eastAsia="Arial" w:hAnsi="Arial"/>
                <w:color w:val="3A3A48"/>
                <w:sz w:val="21"/>
                <w:szCs w:val="21"/>
              </w:rPr>
              <w:t xml:space="preserve">✓  All 9 PKSF-specific agents — what each one does, who uses it, and what it produces</w:t>
            </w:r>
          </w:p>
          <w:p>
            <w:pPr>
              <w:spacing w:after="40" w:before="40"/>
            </w:pPr>
            <w:r>
              <w:rPr>
                <w:rFonts w:ascii="Arial" w:cs="Arial" w:eastAsia="Arial" w:hAnsi="Arial"/>
                <w:color w:val="3A3A48"/>
                <w:sz w:val="21"/>
                <w:szCs w:val="21"/>
              </w:rPr>
              <w:t xml:space="preserve">✓  How data flows through the system — from submission to approved output</w:t>
            </w:r>
          </w:p>
          <w:p>
            <w:pPr>
              <w:spacing w:after="40" w:before="40"/>
            </w:pPr>
            <w:r>
              <w:rPr>
                <w:rFonts w:ascii="Arial" w:cs="Arial" w:eastAsia="Arial" w:hAnsi="Arial"/>
                <w:color w:val="3A3A48"/>
                <w:sz w:val="21"/>
                <w:szCs w:val="21"/>
              </w:rPr>
              <w:t xml:space="preserve">✓  Live demonstration of a complete workflow before the hands-on session begins</w:t>
            </w:r>
          </w:p>
          <w:p>
            <w:pPr>
              <w:spacing w:after="40" w:before="40"/>
            </w:pPr>
            <w:r>
              <w:rPr>
                <w:rFonts w:ascii="Arial" w:cs="Arial" w:eastAsia="Arial" w:hAnsi="Arial"/>
                <w:color w:val="3A3A48"/>
                <w:sz w:val="21"/>
                <w:szCs w:val="21"/>
              </w:rPr>
              <w:t xml:space="preserve">✓  Roles and permissions — which executives access which modules at which level</w:t>
            </w:r>
          </w:p>
        </w:tc>
      </w:tr>
    </w:tbl>
    <w:p>
      <w:pPr>
        <w:pBdr>
          <w:bottom w:val="single" w:color="DEDBD3" w:sz="4" w:space="1"/>
        </w:pBdr>
        <w:spacing w:after="200" w:before="200"/>
      </w:pPr>
    </w:p>
    <w:p>
      <w:pPr>
        <w:spacing w:after="80" w:before="320"/>
      </w:pPr>
      <w:r>
        <w:rPr>
          <w:rFonts w:ascii="Arial" w:cs="Arial" w:eastAsia="Arial" w:hAnsi="Arial"/>
          <w:b/>
          <w:bCs/>
          <w:color w:val="0E7A70"/>
          <w:spacing w:val="60"/>
          <w:sz w:val="18"/>
          <w:szCs w:val="18"/>
        </w:rPr>
        <w:t xml:space="preserve">CHATBOTS &amp; VIRTUAL ASSISTANTS</w:t>
      </w:r>
    </w:p>
    <w:p>
      <w:pPr>
        <w:pStyle w:val="Heading1"/>
        <w:spacing w:after="160" w:before="80"/>
      </w:pPr>
      <w:r>
        <w:rPr>
          <w:rFonts w:ascii="Arial" w:cs="Arial" w:eastAsia="Arial" w:hAnsi="Arial"/>
          <w:b/>
          <w:bCs/>
          <w:color w:val="0B1629"/>
          <w:sz w:val="44"/>
          <w:szCs w:val="44"/>
        </w:rPr>
        <w:t xml:space="preserve">Understanding conversational AI — the entry point to the AI landscape</w:t>
      </w:r>
    </w:p>
    <w:p>
      <w:pPr>
        <w:spacing w:after="120" w:before="0"/>
      </w:pPr>
      <w:r>
        <w:rPr>
          <w:rFonts w:ascii="Arial" w:cs="Arial" w:eastAsia="Arial" w:hAnsi="Arial"/>
          <w:color w:val="3A3A48"/>
          <w:sz w:val="22"/>
          <w:szCs w:val="22"/>
        </w:rPr>
        <w:t xml:space="preserve">Before exploring Agentic AI systems, participants will build a clear foundation in conversational AI — understanding what chatbots and virtual assistants are, how they work, and where they sit in the broader AI spectrum. This grounding is essential for understanding what makes agentic systems fundamentally different.</w:t>
      </w:r>
    </w:p>
    <w:p>
      <w:pPr>
        <w:spacing w:after="160" w:before="0"/>
      </w:pPr>
    </w:p>
    <w:p>
      <w:pPr>
        <w:pStyle w:val="Heading2"/>
        <w:spacing w:after="100" w:before="240"/>
      </w:pPr>
      <w:r>
        <w:rPr>
          <w:rFonts w:ascii="Arial" w:cs="Arial" w:eastAsia="Arial" w:hAnsi="Arial"/>
          <w:b/>
          <w:bCs/>
          <w:color w:val="0B1629"/>
          <w:sz w:val="30"/>
          <w:szCs w:val="30"/>
        </w:rPr>
        <w:t xml:space="preserve">What is a Chatbot?</w:t>
      </w:r>
    </w:p>
    <w:p>
      <w:pPr>
        <w:spacing w:after="120" w:before="0"/>
      </w:pPr>
      <w:r>
        <w:rPr>
          <w:rFonts w:ascii="Arial" w:cs="Arial" w:eastAsia="Arial" w:hAnsi="Arial"/>
          <w:color w:val="3A3A48"/>
          <w:sz w:val="22"/>
          <w:szCs w:val="22"/>
        </w:rPr>
        <w:t xml:space="preserve">A chatbot is a software application designed to simulate conversation — either via text or voice — with a human user. The term covers a wide range of systems, from simple menu-driven scripts to sophisticated AI-powered dialogue systems capable of understanding and generating natural language.</w:t>
      </w:r>
    </w:p>
    <w:p>
      <w:pPr>
        <w:spacing w:after="80" w:before="0"/>
      </w:pPr>
    </w:p>
    <w:p>
      <w:pPr>
        <w:pStyle w:val="ListParagraph"/>
        <w:numPr>
          <w:ilvl w:val="0"/>
          <w:numId w:val="2"/>
        </w:numPr>
        <w:spacing w:after="40" w:before="40"/>
      </w:pPr>
      <w:r>
        <w:rPr>
          <w:rFonts w:ascii="Arial" w:cs="Arial" w:eastAsia="Arial" w:hAnsi="Arial"/>
          <w:color w:val="3A3A48"/>
          <w:sz w:val="21"/>
          <w:szCs w:val="21"/>
        </w:rPr>
        <w:t xml:space="preserve">Rule-based chatbots: Follow fixed decision trees. Respond only to anticipated inputs. Cannot handle variation or ambiguity.</w:t>
      </w:r>
    </w:p>
    <w:p>
      <w:pPr>
        <w:pStyle w:val="ListParagraph"/>
        <w:numPr>
          <w:ilvl w:val="0"/>
          <w:numId w:val="2"/>
        </w:numPr>
        <w:spacing w:after="40" w:before="40"/>
      </w:pPr>
      <w:r>
        <w:rPr>
          <w:rFonts w:ascii="Arial" w:cs="Arial" w:eastAsia="Arial" w:hAnsi="Arial"/>
          <w:color w:val="3A3A48"/>
          <w:sz w:val="21"/>
          <w:szCs w:val="21"/>
        </w:rPr>
        <w:t xml:space="preserve">Keyword chatbots: Detect keywords and match to pre-written responses. Slightly more flexible but still rigid.</w:t>
      </w:r>
    </w:p>
    <w:p>
      <w:pPr>
        <w:pStyle w:val="ListParagraph"/>
        <w:numPr>
          <w:ilvl w:val="0"/>
          <w:numId w:val="2"/>
        </w:numPr>
        <w:spacing w:after="40" w:before="40"/>
      </w:pPr>
      <w:r>
        <w:rPr>
          <w:rFonts w:ascii="Arial" w:cs="Arial" w:eastAsia="Arial" w:hAnsi="Arial"/>
          <w:color w:val="3A3A48"/>
          <w:sz w:val="21"/>
          <w:szCs w:val="21"/>
        </w:rPr>
        <w:t xml:space="preserve">AI/ML chatbots: Trained on data to understand intent and context. Can handle varied language and follow multi-turn conversations.</w:t>
      </w:r>
    </w:p>
    <w:p>
      <w:pPr>
        <w:pStyle w:val="ListParagraph"/>
        <w:numPr>
          <w:ilvl w:val="0"/>
          <w:numId w:val="2"/>
        </w:numPr>
        <w:spacing w:after="40" w:before="40"/>
      </w:pPr>
      <w:r>
        <w:rPr>
          <w:rFonts w:ascii="Arial" w:cs="Arial" w:eastAsia="Arial" w:hAnsi="Arial"/>
          <w:color w:val="3A3A48"/>
          <w:sz w:val="21"/>
          <w:szCs w:val="21"/>
        </w:rPr>
        <w:t xml:space="preserve">LLM-powered chatbots: Use large language models (like GPT or Claude) to generate contextually appropriate responses. Closest to human-like conversation.</w:t>
      </w:r>
    </w:p>
    <w:p>
      <w:pPr>
        <w:spacing w:after="120" w:before="0"/>
      </w:pPr>
    </w:p>
    <w:p>
      <w:pPr>
        <w:pStyle w:val="Heading2"/>
        <w:spacing w:after="100" w:before="240"/>
      </w:pPr>
      <w:r>
        <w:rPr>
          <w:rFonts w:ascii="Arial" w:cs="Arial" w:eastAsia="Arial" w:hAnsi="Arial"/>
          <w:b/>
          <w:bCs/>
          <w:color w:val="0B1629"/>
          <w:sz w:val="30"/>
          <w:szCs w:val="30"/>
        </w:rPr>
        <w:t xml:space="preserve">What is a Virtual Assistant?</w:t>
      </w:r>
    </w:p>
    <w:p>
      <w:pPr>
        <w:spacing w:after="120" w:before="0"/>
      </w:pPr>
      <w:r>
        <w:rPr>
          <w:rFonts w:ascii="Arial" w:cs="Arial" w:eastAsia="Arial" w:hAnsi="Arial"/>
          <w:color w:val="3A3A48"/>
          <w:sz w:val="22"/>
          <w:szCs w:val="22"/>
        </w:rPr>
        <w:t xml:space="preserve">A virtual assistant is a broader category of AI-powered tool that combines conversational ability with task execution. Where a chatbot primarily responds, a virtual assistant can take action — scheduling meetings, retrieving documents, triggering workflows, and integrating with external systems.</w:t>
      </w:r>
    </w:p>
    <w:p>
      <w:pPr>
        <w:spacing w:after="80" w:before="0"/>
      </w:pPr>
    </w:p>
    <w:p>
      <w:pPr>
        <w:pStyle w:val="ListParagraph"/>
        <w:numPr>
          <w:ilvl w:val="0"/>
          <w:numId w:val="2"/>
        </w:numPr>
        <w:spacing w:after="40" w:before="40"/>
      </w:pPr>
      <w:r>
        <w:rPr>
          <w:rFonts w:ascii="Arial" w:cs="Arial" w:eastAsia="Arial" w:hAnsi="Arial"/>
          <w:color w:val="3A3A48"/>
          <w:sz w:val="21"/>
          <w:szCs w:val="21"/>
        </w:rPr>
        <w:t xml:space="preserve">Consumer virtual assistants: Siri, Alexa, Google Assistant — voice-first, general purpose</w:t>
      </w:r>
    </w:p>
    <w:p>
      <w:pPr>
        <w:pStyle w:val="ListParagraph"/>
        <w:numPr>
          <w:ilvl w:val="0"/>
          <w:numId w:val="2"/>
        </w:numPr>
        <w:spacing w:after="40" w:before="40"/>
      </w:pPr>
      <w:r>
        <w:rPr>
          <w:rFonts w:ascii="Arial" w:cs="Arial" w:eastAsia="Arial" w:hAnsi="Arial"/>
          <w:color w:val="3A3A48"/>
          <w:sz w:val="21"/>
          <w:szCs w:val="21"/>
        </w:rPr>
        <w:t xml:space="preserve">Enterprise virtual assistants: Integrated into CRM, ERP, or HR systems — workflow-aware, data-connected</w:t>
      </w:r>
    </w:p>
    <w:p>
      <w:pPr>
        <w:pStyle w:val="ListParagraph"/>
        <w:numPr>
          <w:ilvl w:val="0"/>
          <w:numId w:val="2"/>
        </w:numPr>
        <w:spacing w:after="40" w:before="40"/>
      </w:pPr>
      <w:r>
        <w:rPr>
          <w:rFonts w:ascii="Arial" w:cs="Arial" w:eastAsia="Arial" w:hAnsi="Arial"/>
          <w:color w:val="3A3A48"/>
          <w:sz w:val="21"/>
          <w:szCs w:val="21"/>
        </w:rPr>
        <w:t xml:space="preserve">Domain-specific assistants: Trained and constrained to a particular function (e.g., an HR onboarding assistant or a compliance guidance bot)</w:t>
      </w:r>
    </w:p>
    <w:p>
      <w:pPr>
        <w:spacing w:after="120" w:before="0"/>
      </w:pPr>
    </w:p>
    <w:p>
      <w:pPr>
        <w:pStyle w:val="Heading2"/>
        <w:spacing w:after="100" w:before="240"/>
      </w:pPr>
      <w:r>
        <w:rPr>
          <w:rFonts w:ascii="Arial" w:cs="Arial" w:eastAsia="Arial" w:hAnsi="Arial"/>
          <w:b/>
          <w:bCs/>
          <w:color w:val="0B1629"/>
          <w:sz w:val="30"/>
          <w:szCs w:val="30"/>
        </w:rPr>
        <w:t xml:space="preserve">Chatbots vs AI Agents — Where the Line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EDBD3" w:sz="1"/>
              <w:left w:val="single" w:color="DEDBD3" w:sz="1"/>
              <w:bottom w:val="single" w:color="DEDBD3" w:sz="1"/>
              <w:right w:val="single" w:color="DEDBD3" w:sz="1"/>
            </w:tcBorders>
            <w:shd w:fill="0B1629" w:val="clear"/>
            <w:tcMar>
              <w:top w:type="dxa" w:w="80"/>
              <w:left w:type="dxa" w:w="120"/>
              <w:bottom w:type="dxa" w:w="80"/>
              <w:right w:type="dxa" w:w="80"/>
            </w:tcMar>
          </w:tcPr>
          <w:p>
            <w:r>
              <w:rPr>
                <w:rFonts w:ascii="Courier New" w:cs="Courier New" w:eastAsia="Courier New" w:hAnsi="Courier New"/>
                <w:b/>
                <w:bCs/>
                <w:color w:val="12A397"/>
                <w:sz w:val="16"/>
                <w:szCs w:val="16"/>
              </w:rPr>
              <w:t xml:space="preserve">DIMENSION</w:t>
            </w:r>
          </w:p>
        </w:tc>
        <w:tc>
          <w:tcPr>
            <w:tcW w:type="dxa" w:w="4080"/>
            <w:tcBorders>
              <w:top w:val="single" w:color="DEDBD3" w:sz="1"/>
              <w:left w:val="single" w:color="DEDBD3" w:sz="1"/>
              <w:bottom w:val="single" w:color="DEDBD3" w:sz="1"/>
              <w:right w:val="single" w:color="DEDBD3" w:sz="1"/>
            </w:tcBorders>
            <w:shd w:fill="0B1629" w:val="clear"/>
            <w:tcMar>
              <w:top w:type="dxa" w:w="80"/>
              <w:left w:type="dxa" w:w="120"/>
              <w:bottom w:type="dxa" w:w="80"/>
              <w:right w:type="dxa" w:w="80"/>
            </w:tcMar>
          </w:tcPr>
          <w:p>
            <w:r>
              <w:rPr>
                <w:rFonts w:ascii="Courier New" w:cs="Courier New" w:eastAsia="Courier New" w:hAnsi="Courier New"/>
                <w:b/>
                <w:bCs/>
                <w:color w:val="12A397"/>
                <w:sz w:val="16"/>
                <w:szCs w:val="16"/>
              </w:rPr>
              <w:t xml:space="preserve">CHATBOT / VIRTUAL ASSISTANT</w:t>
            </w:r>
          </w:p>
        </w:tc>
        <w:tc>
          <w:tcPr>
            <w:tcW w:type="dxa" w:w="4080"/>
            <w:tcBorders>
              <w:top w:val="single" w:color="DEDBD3" w:sz="1"/>
              <w:left w:val="single" w:color="DEDBD3" w:sz="1"/>
              <w:bottom w:val="single" w:color="DEDBD3" w:sz="1"/>
              <w:right w:val="single" w:color="DEDBD3" w:sz="1"/>
            </w:tcBorders>
            <w:shd w:fill="0B1629" w:val="clear"/>
            <w:tcMar>
              <w:top w:type="dxa" w:w="80"/>
              <w:left w:type="dxa" w:w="120"/>
              <w:bottom w:type="dxa" w:w="80"/>
              <w:right w:type="dxa" w:w="80"/>
            </w:tcMar>
          </w:tcPr>
          <w:p>
            <w:r>
              <w:rPr>
                <w:rFonts w:ascii="Courier New" w:cs="Courier New" w:eastAsia="Courier New" w:hAnsi="Courier New"/>
                <w:b/>
                <w:bCs/>
                <w:color w:val="12A397"/>
                <w:sz w:val="16"/>
                <w:szCs w:val="16"/>
              </w:rPr>
              <w:t xml:space="preserve">AI AGENT</w:t>
            </w:r>
          </w:p>
        </w:tc>
      </w:tr>
      <w:tr>
        <w:tc>
          <w:tcPr>
            <w:tcW w:type="dxa" w:w="1200"/>
            <w:tcBorders>
              <w:top w:val="single" w:color="DEDBD3" w:sz="1"/>
              <w:left w:val="single" w:color="DEDBD3" w:sz="1"/>
              <w:bottom w:val="single" w:color="DEDBD3" w:sz="1"/>
              <w:right w:val="single" w:color="DEDBD3" w:sz="1"/>
            </w:tcBorders>
            <w:shd w:fill="F5F4F0" w:val="clear"/>
            <w:tcMar>
              <w:top w:type="dxa" w:w="70"/>
              <w:left w:type="dxa" w:w="120"/>
              <w:bottom w:type="dxa" w:w="70"/>
              <w:right w:type="dxa" w:w="80"/>
            </w:tcMar>
          </w:tcPr>
          <w:p>
            <w:r>
              <w:rPr>
                <w:rFonts w:ascii="Arial" w:cs="Arial" w:eastAsia="Arial" w:hAnsi="Arial"/>
                <w:b/>
                <w:bCs/>
                <w:color w:val="0E7A70"/>
                <w:sz w:val="19"/>
                <w:szCs w:val="19"/>
              </w:rPr>
              <w:t xml:space="preserve">Goal</w:t>
            </w:r>
          </w:p>
        </w:tc>
        <w:tc>
          <w:tcPr>
            <w:tcW w:type="dxa" w:w="4080"/>
            <w:tcBorders>
              <w:top w:val="single" w:color="DEDBD3" w:sz="1"/>
              <w:left w:val="single" w:color="DEDBD3" w:sz="1"/>
              <w:bottom w:val="single" w:color="DEDBD3" w:sz="1"/>
              <w:right w:val="single" w:color="DEDBD3" w:sz="1"/>
            </w:tcBorders>
            <w:shd w:fill="F5F4F0" w:val="clear"/>
            <w:tcMar>
              <w:top w:type="dxa" w:w="70"/>
              <w:left w:type="dxa" w:w="120"/>
              <w:bottom w:type="dxa" w:w="70"/>
              <w:right w:type="dxa" w:w="80"/>
            </w:tcMar>
          </w:tcPr>
          <w:p>
            <w:r>
              <w:rPr>
                <w:rFonts w:ascii="Arial" w:cs="Arial" w:eastAsia="Arial" w:hAnsi="Arial"/>
                <w:color w:val="3A3A48"/>
                <w:sz w:val="20"/>
                <w:szCs w:val="20"/>
              </w:rPr>
              <w:t xml:space="preserve">Responds to queries</w:t>
            </w:r>
          </w:p>
        </w:tc>
        <w:tc>
          <w:tcPr>
            <w:tcW w:type="dxa" w:w="4080"/>
            <w:tcBorders>
              <w:top w:val="single" w:color="DEDBD3" w:sz="1"/>
              <w:left w:val="single" w:color="DEDBD3" w:sz="1"/>
              <w:bottom w:val="single" w:color="DEDBD3" w:sz="1"/>
              <w:right w:val="single" w:color="DEDBD3" w:sz="1"/>
            </w:tcBorders>
            <w:shd w:fill="F5F4F0" w:val="clear"/>
            <w:tcMar>
              <w:top w:type="dxa" w:w="70"/>
              <w:left w:type="dxa" w:w="120"/>
              <w:bottom w:type="dxa" w:w="70"/>
              <w:right w:type="dxa" w:w="80"/>
            </w:tcMar>
          </w:tcPr>
          <w:p>
            <w:r>
              <w:rPr>
                <w:rFonts w:ascii="Arial" w:cs="Arial" w:eastAsia="Arial" w:hAnsi="Arial"/>
                <w:color w:val="3A3A48"/>
                <w:sz w:val="20"/>
                <w:szCs w:val="20"/>
              </w:rPr>
              <w:t xml:space="preserve">Pursues multi-step objectives autonomously</w:t>
            </w:r>
          </w:p>
        </w:tc>
      </w:tr>
      <w:tr>
        <w:tc>
          <w:tcPr>
            <w:tcW w:type="dxa" w:w="1200"/>
            <w:tcBorders>
              <w:top w:val="single" w:color="DEDBD3" w:sz="1"/>
              <w:left w:val="single" w:color="DEDBD3" w:sz="1"/>
              <w:bottom w:val="single" w:color="DEDBD3" w:sz="1"/>
              <w:right w:val="single" w:color="DEDBD3" w:sz="1"/>
            </w:tcBorders>
            <w:shd w:fill="FFFFFF" w:val="clear"/>
            <w:tcMar>
              <w:top w:type="dxa" w:w="70"/>
              <w:left w:type="dxa" w:w="120"/>
              <w:bottom w:type="dxa" w:w="70"/>
              <w:right w:type="dxa" w:w="80"/>
            </w:tcMar>
          </w:tcPr>
          <w:p>
            <w:r>
              <w:rPr>
                <w:rFonts w:ascii="Arial" w:cs="Arial" w:eastAsia="Arial" w:hAnsi="Arial"/>
                <w:b/>
                <w:bCs/>
                <w:color w:val="0E7A70"/>
                <w:sz w:val="19"/>
                <w:szCs w:val="19"/>
              </w:rPr>
              <w:t xml:space="preserve">Memory</w:t>
            </w:r>
          </w:p>
        </w:tc>
        <w:tc>
          <w:tcPr>
            <w:tcW w:type="dxa" w:w="4080"/>
            <w:tcBorders>
              <w:top w:val="single" w:color="DEDBD3" w:sz="1"/>
              <w:left w:val="single" w:color="DEDBD3" w:sz="1"/>
              <w:bottom w:val="single" w:color="DEDBD3" w:sz="1"/>
              <w:right w:val="single" w:color="DEDBD3" w:sz="1"/>
            </w:tcBorders>
            <w:shd w:fill="FFFFFF" w:val="clear"/>
            <w:tcMar>
              <w:top w:type="dxa" w:w="70"/>
              <w:left w:type="dxa" w:w="120"/>
              <w:bottom w:type="dxa" w:w="70"/>
              <w:right w:type="dxa" w:w="80"/>
            </w:tcMar>
          </w:tcPr>
          <w:p>
            <w:r>
              <w:rPr>
                <w:rFonts w:ascii="Arial" w:cs="Arial" w:eastAsia="Arial" w:hAnsi="Arial"/>
                <w:color w:val="3A3A48"/>
                <w:sz w:val="20"/>
                <w:szCs w:val="20"/>
              </w:rPr>
              <w:t xml:space="preserve">Session-limited or none</w:t>
            </w:r>
          </w:p>
        </w:tc>
        <w:tc>
          <w:tcPr>
            <w:tcW w:type="dxa" w:w="4080"/>
            <w:tcBorders>
              <w:top w:val="single" w:color="DEDBD3" w:sz="1"/>
              <w:left w:val="single" w:color="DEDBD3" w:sz="1"/>
              <w:bottom w:val="single" w:color="DEDBD3" w:sz="1"/>
              <w:right w:val="single" w:color="DEDBD3" w:sz="1"/>
            </w:tcBorders>
            <w:shd w:fill="FFFFFF" w:val="clear"/>
            <w:tcMar>
              <w:top w:type="dxa" w:w="70"/>
              <w:left w:type="dxa" w:w="120"/>
              <w:bottom w:type="dxa" w:w="70"/>
              <w:right w:type="dxa" w:w="80"/>
            </w:tcMar>
          </w:tcPr>
          <w:p>
            <w:r>
              <w:rPr>
                <w:rFonts w:ascii="Arial" w:cs="Arial" w:eastAsia="Arial" w:hAnsi="Arial"/>
                <w:color w:val="3A3A48"/>
                <w:sz w:val="20"/>
                <w:szCs w:val="20"/>
              </w:rPr>
              <w:t xml:space="preserve">Persistent across sessions</w:t>
            </w:r>
          </w:p>
        </w:tc>
      </w:tr>
      <w:tr>
        <w:tc>
          <w:tcPr>
            <w:tcW w:type="dxa" w:w="1200"/>
            <w:tcBorders>
              <w:top w:val="single" w:color="DEDBD3" w:sz="1"/>
              <w:left w:val="single" w:color="DEDBD3" w:sz="1"/>
              <w:bottom w:val="single" w:color="DEDBD3" w:sz="1"/>
              <w:right w:val="single" w:color="DEDBD3" w:sz="1"/>
            </w:tcBorders>
            <w:shd w:fill="F5F4F0" w:val="clear"/>
            <w:tcMar>
              <w:top w:type="dxa" w:w="70"/>
              <w:left w:type="dxa" w:w="120"/>
              <w:bottom w:type="dxa" w:w="70"/>
              <w:right w:type="dxa" w:w="80"/>
            </w:tcMar>
          </w:tcPr>
          <w:p>
            <w:r>
              <w:rPr>
                <w:rFonts w:ascii="Arial" w:cs="Arial" w:eastAsia="Arial" w:hAnsi="Arial"/>
                <w:b/>
                <w:bCs/>
                <w:color w:val="0E7A70"/>
                <w:sz w:val="19"/>
                <w:szCs w:val="19"/>
              </w:rPr>
              <w:t xml:space="preserve">Decision-making</w:t>
            </w:r>
          </w:p>
        </w:tc>
        <w:tc>
          <w:tcPr>
            <w:tcW w:type="dxa" w:w="4080"/>
            <w:tcBorders>
              <w:top w:val="single" w:color="DEDBD3" w:sz="1"/>
              <w:left w:val="single" w:color="DEDBD3" w:sz="1"/>
              <w:bottom w:val="single" w:color="DEDBD3" w:sz="1"/>
              <w:right w:val="single" w:color="DEDBD3" w:sz="1"/>
            </w:tcBorders>
            <w:shd w:fill="F5F4F0" w:val="clear"/>
            <w:tcMar>
              <w:top w:type="dxa" w:w="70"/>
              <w:left w:type="dxa" w:w="120"/>
              <w:bottom w:type="dxa" w:w="70"/>
              <w:right w:type="dxa" w:w="80"/>
            </w:tcMar>
          </w:tcPr>
          <w:p>
            <w:r>
              <w:rPr>
                <w:rFonts w:ascii="Arial" w:cs="Arial" w:eastAsia="Arial" w:hAnsi="Arial"/>
                <w:color w:val="3A3A48"/>
                <w:sz w:val="20"/>
                <w:szCs w:val="20"/>
              </w:rPr>
              <w:t xml:space="preserve">Reactive — responds when asked</w:t>
            </w:r>
          </w:p>
        </w:tc>
        <w:tc>
          <w:tcPr>
            <w:tcW w:type="dxa" w:w="4080"/>
            <w:tcBorders>
              <w:top w:val="single" w:color="DEDBD3" w:sz="1"/>
              <w:left w:val="single" w:color="DEDBD3" w:sz="1"/>
              <w:bottom w:val="single" w:color="DEDBD3" w:sz="1"/>
              <w:right w:val="single" w:color="DEDBD3" w:sz="1"/>
            </w:tcBorders>
            <w:shd w:fill="F5F4F0" w:val="clear"/>
            <w:tcMar>
              <w:top w:type="dxa" w:w="70"/>
              <w:left w:type="dxa" w:w="120"/>
              <w:bottom w:type="dxa" w:w="70"/>
              <w:right w:type="dxa" w:w="80"/>
            </w:tcMar>
          </w:tcPr>
          <w:p>
            <w:r>
              <w:rPr>
                <w:rFonts w:ascii="Arial" w:cs="Arial" w:eastAsia="Arial" w:hAnsi="Arial"/>
                <w:color w:val="3A3A48"/>
                <w:sz w:val="20"/>
                <w:szCs w:val="20"/>
              </w:rPr>
              <w:t xml:space="preserve">Proactive — initiates actions toward a goal</w:t>
            </w:r>
          </w:p>
        </w:tc>
      </w:tr>
      <w:tr>
        <w:tc>
          <w:tcPr>
            <w:tcW w:type="dxa" w:w="1200"/>
            <w:tcBorders>
              <w:top w:val="single" w:color="DEDBD3" w:sz="1"/>
              <w:left w:val="single" w:color="DEDBD3" w:sz="1"/>
              <w:bottom w:val="single" w:color="DEDBD3" w:sz="1"/>
              <w:right w:val="single" w:color="DEDBD3" w:sz="1"/>
            </w:tcBorders>
            <w:shd w:fill="FFFFFF" w:val="clear"/>
            <w:tcMar>
              <w:top w:type="dxa" w:w="70"/>
              <w:left w:type="dxa" w:w="120"/>
              <w:bottom w:type="dxa" w:w="70"/>
              <w:right w:type="dxa" w:w="80"/>
            </w:tcMar>
          </w:tcPr>
          <w:p>
            <w:r>
              <w:rPr>
                <w:rFonts w:ascii="Arial" w:cs="Arial" w:eastAsia="Arial" w:hAnsi="Arial"/>
                <w:b/>
                <w:bCs/>
                <w:color w:val="0E7A70"/>
                <w:sz w:val="19"/>
                <w:szCs w:val="19"/>
              </w:rPr>
              <w:t xml:space="preserve">Tool use</w:t>
            </w:r>
          </w:p>
        </w:tc>
        <w:tc>
          <w:tcPr>
            <w:tcW w:type="dxa" w:w="4080"/>
            <w:tcBorders>
              <w:top w:val="single" w:color="DEDBD3" w:sz="1"/>
              <w:left w:val="single" w:color="DEDBD3" w:sz="1"/>
              <w:bottom w:val="single" w:color="DEDBD3" w:sz="1"/>
              <w:right w:val="single" w:color="DEDBD3" w:sz="1"/>
            </w:tcBorders>
            <w:shd w:fill="FFFFFF" w:val="clear"/>
            <w:tcMar>
              <w:top w:type="dxa" w:w="70"/>
              <w:left w:type="dxa" w:w="120"/>
              <w:bottom w:type="dxa" w:w="70"/>
              <w:right w:type="dxa" w:w="80"/>
            </w:tcMar>
          </w:tcPr>
          <w:p>
            <w:r>
              <w:rPr>
                <w:rFonts w:ascii="Arial" w:cs="Arial" w:eastAsia="Arial" w:hAnsi="Arial"/>
                <w:color w:val="3A3A48"/>
                <w:sz w:val="20"/>
                <w:szCs w:val="20"/>
              </w:rPr>
              <w:t xml:space="preserve">Limited (basic API calls)</w:t>
            </w:r>
          </w:p>
        </w:tc>
        <w:tc>
          <w:tcPr>
            <w:tcW w:type="dxa" w:w="4080"/>
            <w:tcBorders>
              <w:top w:val="single" w:color="DEDBD3" w:sz="1"/>
              <w:left w:val="single" w:color="DEDBD3" w:sz="1"/>
              <w:bottom w:val="single" w:color="DEDBD3" w:sz="1"/>
              <w:right w:val="single" w:color="DEDBD3" w:sz="1"/>
            </w:tcBorders>
            <w:shd w:fill="FFFFFF" w:val="clear"/>
            <w:tcMar>
              <w:top w:type="dxa" w:w="70"/>
              <w:left w:type="dxa" w:w="120"/>
              <w:bottom w:type="dxa" w:w="70"/>
              <w:right w:type="dxa" w:w="80"/>
            </w:tcMar>
          </w:tcPr>
          <w:p>
            <w:r>
              <w:rPr>
                <w:rFonts w:ascii="Arial" w:cs="Arial" w:eastAsia="Arial" w:hAnsi="Arial"/>
                <w:color w:val="3A3A48"/>
                <w:sz w:val="20"/>
                <w:szCs w:val="20"/>
              </w:rPr>
              <w:t xml:space="preserve">Deep integration with databases, systems, workflows</w:t>
            </w:r>
          </w:p>
        </w:tc>
      </w:tr>
      <w:tr>
        <w:tc>
          <w:tcPr>
            <w:tcW w:type="dxa" w:w="1200"/>
            <w:tcBorders>
              <w:top w:val="single" w:color="DEDBD3" w:sz="1"/>
              <w:left w:val="single" w:color="DEDBD3" w:sz="1"/>
              <w:bottom w:val="single" w:color="DEDBD3" w:sz="1"/>
              <w:right w:val="single" w:color="DEDBD3" w:sz="1"/>
            </w:tcBorders>
            <w:shd w:fill="F5F4F0" w:val="clear"/>
            <w:tcMar>
              <w:top w:type="dxa" w:w="70"/>
              <w:left w:type="dxa" w:w="120"/>
              <w:bottom w:type="dxa" w:w="70"/>
              <w:right w:type="dxa" w:w="80"/>
            </w:tcMar>
          </w:tcPr>
          <w:p>
            <w:r>
              <w:rPr>
                <w:rFonts w:ascii="Arial" w:cs="Arial" w:eastAsia="Arial" w:hAnsi="Arial"/>
                <w:b/>
                <w:bCs/>
                <w:color w:val="0E7A70"/>
                <w:sz w:val="19"/>
                <w:szCs w:val="19"/>
              </w:rPr>
              <w:t xml:space="preserve">Escalation</w:t>
            </w:r>
          </w:p>
        </w:tc>
        <w:tc>
          <w:tcPr>
            <w:tcW w:type="dxa" w:w="4080"/>
            <w:tcBorders>
              <w:top w:val="single" w:color="DEDBD3" w:sz="1"/>
              <w:left w:val="single" w:color="DEDBD3" w:sz="1"/>
              <w:bottom w:val="single" w:color="DEDBD3" w:sz="1"/>
              <w:right w:val="single" w:color="DEDBD3" w:sz="1"/>
            </w:tcBorders>
            <w:shd w:fill="F5F4F0" w:val="clear"/>
            <w:tcMar>
              <w:top w:type="dxa" w:w="70"/>
              <w:left w:type="dxa" w:w="120"/>
              <w:bottom w:type="dxa" w:w="70"/>
              <w:right w:type="dxa" w:w="80"/>
            </w:tcMar>
          </w:tcPr>
          <w:p>
            <w:r>
              <w:rPr>
                <w:rFonts w:ascii="Arial" w:cs="Arial" w:eastAsia="Arial" w:hAnsi="Arial"/>
                <w:color w:val="3A3A48"/>
                <w:sz w:val="20"/>
                <w:szCs w:val="20"/>
              </w:rPr>
              <w:t xml:space="preserve">None — fails or returns unknown</w:t>
            </w:r>
          </w:p>
        </w:tc>
        <w:tc>
          <w:tcPr>
            <w:tcW w:type="dxa" w:w="4080"/>
            <w:tcBorders>
              <w:top w:val="single" w:color="DEDBD3" w:sz="1"/>
              <w:left w:val="single" w:color="DEDBD3" w:sz="1"/>
              <w:bottom w:val="single" w:color="DEDBD3" w:sz="1"/>
              <w:right w:val="single" w:color="DEDBD3" w:sz="1"/>
            </w:tcBorders>
            <w:shd w:fill="F5F4F0" w:val="clear"/>
            <w:tcMar>
              <w:top w:type="dxa" w:w="70"/>
              <w:left w:type="dxa" w:w="120"/>
              <w:bottom w:type="dxa" w:w="70"/>
              <w:right w:type="dxa" w:w="80"/>
            </w:tcMar>
          </w:tcPr>
          <w:p>
            <w:r>
              <w:rPr>
                <w:rFonts w:ascii="Arial" w:cs="Arial" w:eastAsia="Arial" w:hAnsi="Arial"/>
                <w:color w:val="3A3A48"/>
                <w:sz w:val="20"/>
                <w:szCs w:val="20"/>
              </w:rPr>
              <w:t xml:space="preserve">Structured escalation to human with context</w:t>
            </w:r>
          </w:p>
        </w:tc>
      </w:tr>
      <w:tr>
        <w:tc>
          <w:tcPr>
            <w:tcW w:type="dxa" w:w="1200"/>
            <w:tcBorders>
              <w:top w:val="single" w:color="DEDBD3" w:sz="1"/>
              <w:left w:val="single" w:color="DEDBD3" w:sz="1"/>
              <w:bottom w:val="single" w:color="DEDBD3" w:sz="1"/>
              <w:right w:val="single" w:color="DEDBD3" w:sz="1"/>
            </w:tcBorders>
            <w:shd w:fill="FFFFFF" w:val="clear"/>
            <w:tcMar>
              <w:top w:type="dxa" w:w="70"/>
              <w:left w:type="dxa" w:w="120"/>
              <w:bottom w:type="dxa" w:w="70"/>
              <w:right w:type="dxa" w:w="80"/>
            </w:tcMar>
          </w:tcPr>
          <w:p>
            <w:r>
              <w:rPr>
                <w:rFonts w:ascii="Arial" w:cs="Arial" w:eastAsia="Arial" w:hAnsi="Arial"/>
                <w:b/>
                <w:bCs/>
                <w:color w:val="0E7A70"/>
                <w:sz w:val="19"/>
                <w:szCs w:val="19"/>
              </w:rPr>
              <w:t xml:space="preserve">Autonomy level</w:t>
            </w:r>
          </w:p>
        </w:tc>
        <w:tc>
          <w:tcPr>
            <w:tcW w:type="dxa" w:w="4080"/>
            <w:tcBorders>
              <w:top w:val="single" w:color="DEDBD3" w:sz="1"/>
              <w:left w:val="single" w:color="DEDBD3" w:sz="1"/>
              <w:bottom w:val="single" w:color="DEDBD3" w:sz="1"/>
              <w:right w:val="single" w:color="DEDBD3" w:sz="1"/>
            </w:tcBorders>
            <w:shd w:fill="FFFFFF" w:val="clear"/>
            <w:tcMar>
              <w:top w:type="dxa" w:w="70"/>
              <w:left w:type="dxa" w:w="120"/>
              <w:bottom w:type="dxa" w:w="70"/>
              <w:right w:type="dxa" w:w="80"/>
            </w:tcMar>
          </w:tcPr>
          <w:p>
            <w:r>
              <w:rPr>
                <w:rFonts w:ascii="Arial" w:cs="Arial" w:eastAsia="Arial" w:hAnsi="Arial"/>
                <w:color w:val="3A3A48"/>
                <w:sz w:val="20"/>
                <w:szCs w:val="20"/>
              </w:rPr>
              <w:t xml:space="preserve">Low</w:t>
            </w:r>
          </w:p>
        </w:tc>
        <w:tc>
          <w:tcPr>
            <w:tcW w:type="dxa" w:w="4080"/>
            <w:tcBorders>
              <w:top w:val="single" w:color="DEDBD3" w:sz="1"/>
              <w:left w:val="single" w:color="DEDBD3" w:sz="1"/>
              <w:bottom w:val="single" w:color="DEDBD3" w:sz="1"/>
              <w:right w:val="single" w:color="DEDBD3" w:sz="1"/>
            </w:tcBorders>
            <w:shd w:fill="FFFFFF" w:val="clear"/>
            <w:tcMar>
              <w:top w:type="dxa" w:w="70"/>
              <w:left w:type="dxa" w:w="120"/>
              <w:bottom w:type="dxa" w:w="70"/>
              <w:right w:type="dxa" w:w="80"/>
            </w:tcMar>
          </w:tcPr>
          <w:p>
            <w:r>
              <w:rPr>
                <w:rFonts w:ascii="Arial" w:cs="Arial" w:eastAsia="Arial" w:hAnsi="Arial"/>
                <w:color w:val="3A3A48"/>
                <w:sz w:val="20"/>
                <w:szCs w:val="20"/>
              </w:rPr>
              <w:t xml:space="preserve">High — with governed guardrails</w:t>
            </w:r>
          </w:p>
        </w:tc>
      </w:tr>
    </w:tbl>
    <w:p>
      <w:pPr>
        <w:pBdr>
          <w:bottom w:val="single" w:color="DEDBD3" w:sz="4" w:space="1"/>
        </w:pBdr>
        <w:spacing w:after="200" w:before="200"/>
      </w:pPr>
    </w:p>
    <w:p>
      <w:pPr>
        <w:spacing w:after="80" w:before="320"/>
      </w:pPr>
      <w:r>
        <w:rPr>
          <w:rFonts w:ascii="Arial" w:cs="Arial" w:eastAsia="Arial" w:hAnsi="Arial"/>
          <w:b/>
          <w:bCs/>
          <w:color w:val="9A6F30"/>
          <w:spacing w:val="60"/>
          <w:sz w:val="18"/>
          <w:szCs w:val="18"/>
        </w:rPr>
        <w:t xml:space="preserve">AI AGENTS &amp; AUTOMATED DECISION MAKING</w:t>
      </w:r>
    </w:p>
    <w:p>
      <w:pPr>
        <w:pStyle w:val="Heading1"/>
        <w:spacing w:after="160" w:before="80"/>
      </w:pPr>
      <w:r>
        <w:rPr>
          <w:rFonts w:ascii="Arial" w:cs="Arial" w:eastAsia="Arial" w:hAnsi="Arial"/>
          <w:b/>
          <w:bCs/>
          <w:color w:val="0B1629"/>
          <w:sz w:val="44"/>
          <w:szCs w:val="44"/>
        </w:rPr>
        <w:t xml:space="preserve">How autonomous AI makes decisions — and when humans must stay in the loop</w:t>
      </w:r>
    </w:p>
    <w:p>
      <w:pPr>
        <w:spacing w:after="120" w:before="0"/>
      </w:pPr>
      <w:r>
        <w:rPr>
          <w:rFonts w:ascii="Arial" w:cs="Arial" w:eastAsia="Arial" w:hAnsi="Arial"/>
          <w:color w:val="3A3A48"/>
          <w:sz w:val="22"/>
          <w:szCs w:val="22"/>
        </w:rPr>
        <w:t xml:space="preserve">A central concern for any organisation adopting AI systems is the question of control: which decisions can be made automatically, which require human review, and how are errors caught and corrected? This section gives PKSF executives a clear framework for understanding automated decision-making in agentic systems.</w:t>
      </w:r>
    </w:p>
    <w:p>
      <w:pPr>
        <w:spacing w:after="160" w:before="0"/>
      </w:pPr>
    </w:p>
    <w:p>
      <w:pPr>
        <w:pStyle w:val="Heading2"/>
        <w:spacing w:after="100" w:before="240"/>
      </w:pPr>
      <w:r>
        <w:rPr>
          <w:rFonts w:ascii="Arial" w:cs="Arial" w:eastAsia="Arial" w:hAnsi="Arial"/>
          <w:b/>
          <w:bCs/>
          <w:color w:val="0B1629"/>
          <w:sz w:val="30"/>
          <w:szCs w:val="30"/>
        </w:rPr>
        <w:t xml:space="preserve">How AI Agents Make Decisions</w:t>
      </w:r>
    </w:p>
    <w:p>
      <w:pPr>
        <w:spacing w:after="120" w:before="0"/>
      </w:pPr>
      <w:r>
        <w:rPr>
          <w:rFonts w:ascii="Arial" w:cs="Arial" w:eastAsia="Arial" w:hAnsi="Arial"/>
          <w:color w:val="3A3A48"/>
          <w:sz w:val="22"/>
          <w:szCs w:val="22"/>
        </w:rPr>
        <w:t xml:space="preserve">AI agents do not make random decisions. Every action is derived from one of three decision architectures — often used in combination:</w:t>
      </w:r>
    </w:p>
    <w:p>
      <w:pPr>
        <w:spacing w:after="80" w:before="0"/>
      </w:pPr>
    </w:p>
    <w:p>
      <w:pPr>
        <w:pStyle w:val="ListParagraph"/>
        <w:numPr>
          <w:ilvl w:val="0"/>
          <w:numId w:val="2"/>
        </w:numPr>
        <w:spacing w:after="40" w:before="40"/>
      </w:pPr>
      <w:r>
        <w:rPr>
          <w:rFonts w:ascii="Arial" w:cs="Arial" w:eastAsia="Arial" w:hAnsi="Arial"/>
          <w:color w:val="3A3A48"/>
          <w:sz w:val="21"/>
          <w:szCs w:val="21"/>
        </w:rPr>
        <w:t xml:space="preserve">Rule-based decisions: Explicit IF-THEN logic. 'If a PO submits fewer than 60% of required reports in a quarter, flag for review.' Fast, transparent, auditable.</w:t>
      </w:r>
    </w:p>
    <w:p>
      <w:pPr>
        <w:pStyle w:val="ListParagraph"/>
        <w:numPr>
          <w:ilvl w:val="0"/>
          <w:numId w:val="2"/>
        </w:numPr>
        <w:spacing w:after="40" w:before="40"/>
      </w:pPr>
      <w:r>
        <w:rPr>
          <w:rFonts w:ascii="Arial" w:cs="Arial" w:eastAsia="Arial" w:hAnsi="Arial"/>
          <w:color w:val="3A3A48"/>
          <w:sz w:val="21"/>
          <w:szCs w:val="21"/>
        </w:rPr>
        <w:t xml:space="preserve">Model-based decisions: A trained AI model evaluates inputs and assigns a probability or score. 'The loan portfolio model assigns this cluster a 78% likelihood of repayment stress.' Flexible, handles complexity.</w:t>
      </w:r>
    </w:p>
    <w:p>
      <w:pPr>
        <w:pStyle w:val="ListParagraph"/>
        <w:numPr>
          <w:ilvl w:val="0"/>
          <w:numId w:val="2"/>
        </w:numPr>
        <w:spacing w:after="40" w:before="40"/>
      </w:pPr>
      <w:r>
        <w:rPr>
          <w:rFonts w:ascii="Arial" w:cs="Arial" w:eastAsia="Arial" w:hAnsi="Arial"/>
          <w:color w:val="3A3A48"/>
          <w:sz w:val="21"/>
          <w:szCs w:val="21"/>
        </w:rPr>
        <w:t xml:space="preserve">Hybrid decisions: A rule sets the boundaries; a model refines within them. 'Flag any PO whose AI-generated risk score crosses 0.7 and whose field data is more than 45 days old.' Most common in production systems.</w:t>
      </w:r>
    </w:p>
    <w:p>
      <w:pPr>
        <w:spacing w:after="120" w:before="0"/>
      </w:pPr>
    </w:p>
    <w:p>
      <w:pPr>
        <w:pStyle w:val="Heading2"/>
        <w:spacing w:after="100" w:before="240"/>
      </w:pPr>
      <w:r>
        <w:rPr>
          <w:rFonts w:ascii="Arial" w:cs="Arial" w:eastAsia="Arial" w:hAnsi="Arial"/>
          <w:b/>
          <w:bCs/>
          <w:color w:val="0B1629"/>
          <w:sz w:val="30"/>
          <w:szCs w:val="30"/>
        </w:rPr>
        <w:t xml:space="preserve">Confidence Thresholds and Human Escalation</w:t>
      </w:r>
    </w:p>
    <w:p>
      <w:pPr>
        <w:spacing w:after="120" w:before="0"/>
      </w:pPr>
      <w:r>
        <w:rPr>
          <w:rFonts w:ascii="Arial" w:cs="Arial" w:eastAsia="Arial" w:hAnsi="Arial"/>
          <w:color w:val="3A3A48"/>
          <w:sz w:val="22"/>
          <w:szCs w:val="22"/>
        </w:rPr>
        <w:t xml:space="preserve">Every Antarious AI agent operates with a defined confidence threshold. Below a set threshold, the agent does not act — it escalates to a human reviewer with its reasoning chain, source data, and a recommended action.</w:t>
      </w:r>
    </w:p>
    <w:p>
      <w:pPr>
        <w:spacing w:after="80" w:before="0"/>
      </w:pPr>
    </w:p>
    <w:p>
      <w:pPr>
        <w:pStyle w:val="ListParagraph"/>
        <w:numPr>
          <w:ilvl w:val="0"/>
          <w:numId w:val="2"/>
        </w:numPr>
        <w:spacing w:after="40" w:before="40"/>
      </w:pPr>
      <w:r>
        <w:rPr>
          <w:rFonts w:ascii="Arial" w:cs="Arial" w:eastAsia="Arial" w:hAnsi="Arial"/>
          <w:color w:val="3A3A48"/>
          <w:sz w:val="21"/>
          <w:szCs w:val="21"/>
        </w:rPr>
        <w:t xml:space="preserve">High-confidence, low-risk actions: Agent acts autonomously. Example: generating a scheduled M&amp;E report from clean data.</w:t>
      </w:r>
    </w:p>
    <w:p>
      <w:pPr>
        <w:pStyle w:val="ListParagraph"/>
        <w:numPr>
          <w:ilvl w:val="0"/>
          <w:numId w:val="2"/>
        </w:numPr>
        <w:spacing w:after="40" w:before="40"/>
      </w:pPr>
      <w:r>
        <w:rPr>
          <w:rFonts w:ascii="Arial" w:cs="Arial" w:eastAsia="Arial" w:hAnsi="Arial"/>
          <w:color w:val="3A3A48"/>
          <w:sz w:val="21"/>
          <w:szCs w:val="21"/>
        </w:rPr>
        <w:t xml:space="preserve">Medium-confidence or consequential actions: Agent drafts and flags. Human reviews, edits if needed, then approves. Example: drafting a PO performance narrative.</w:t>
      </w:r>
    </w:p>
    <w:p>
      <w:pPr>
        <w:pStyle w:val="ListParagraph"/>
        <w:numPr>
          <w:ilvl w:val="0"/>
          <w:numId w:val="2"/>
        </w:numPr>
        <w:spacing w:after="40" w:before="40"/>
      </w:pPr>
      <w:r>
        <w:rPr>
          <w:rFonts w:ascii="Arial" w:cs="Arial" w:eastAsia="Arial" w:hAnsi="Arial"/>
          <w:color w:val="3A3A48"/>
          <w:sz w:val="21"/>
          <w:szCs w:val="21"/>
        </w:rPr>
        <w:t xml:space="preserve">Low-confidence or high-stakes decisions: Agent suspends. Human is notified with full context. Example: a potential compliance breach in a loan disbursement.</w:t>
      </w:r>
    </w:p>
    <w:p>
      <w:pPr>
        <w:spacing w:after="120" w:before="0"/>
      </w:pPr>
    </w:p>
    <w:p>
      <w:pPr>
        <w:pStyle w:val="Heading2"/>
        <w:spacing w:after="100" w:before="240"/>
      </w:pPr>
      <w:r>
        <w:rPr>
          <w:rFonts w:ascii="Arial" w:cs="Arial" w:eastAsia="Arial" w:hAnsi="Arial"/>
          <w:b/>
          <w:bCs/>
          <w:color w:val="0B1629"/>
          <w:sz w:val="30"/>
          <w:szCs w:val="30"/>
        </w:rPr>
        <w:t xml:space="preserve">Accountability, Audit Trails, and Governance</w:t>
      </w:r>
    </w:p>
    <w:p>
      <w:pPr>
        <w:spacing w:after="120" w:before="0"/>
      </w:pPr>
      <w:r>
        <w:rPr>
          <w:rFonts w:ascii="Arial" w:cs="Arial" w:eastAsia="Arial" w:hAnsi="Arial"/>
          <w:color w:val="3A3A48"/>
          <w:sz w:val="22"/>
          <w:szCs w:val="22"/>
        </w:rPr>
        <w:t xml:space="preserve">Every automated decision in the Antarious AI system is logged with: the input data used, the model or rule that was applied, the confidence score at decision time, the human reviewer (if applicable) and their action, and a timestamp. Nothing is a black box.</w:t>
      </w:r>
    </w:p>
    <w:p>
      <w:pPr>
        <w:spacing w:after="80" w:before="0"/>
      </w:pPr>
    </w:p>
    <w:p>
      <w:pPr>
        <w:pStyle w:val="ListParagraph"/>
        <w:numPr>
          <w:ilvl w:val="0"/>
          <w:numId w:val="2"/>
        </w:numPr>
        <w:spacing w:after="40" w:before="40"/>
      </w:pPr>
      <w:r>
        <w:rPr>
          <w:rFonts w:ascii="Arial" w:cs="Arial" w:eastAsia="Arial" w:hAnsi="Arial"/>
          <w:color w:val="3A3A48"/>
          <w:sz w:val="21"/>
          <w:szCs w:val="21"/>
        </w:rPr>
        <w:t xml:space="preserve">Complete decision audit trail available for all 9 agents at all times</w:t>
      </w:r>
    </w:p>
    <w:p>
      <w:pPr>
        <w:pStyle w:val="ListParagraph"/>
        <w:numPr>
          <w:ilvl w:val="0"/>
          <w:numId w:val="2"/>
        </w:numPr>
        <w:spacing w:after="40" w:before="40"/>
      </w:pPr>
      <w:r>
        <w:rPr>
          <w:rFonts w:ascii="Arial" w:cs="Arial" w:eastAsia="Arial" w:hAnsi="Arial"/>
          <w:color w:val="3A3A48"/>
          <w:sz w:val="21"/>
          <w:szCs w:val="21"/>
        </w:rPr>
        <w:t xml:space="preserve">Role-based access controls ensure only authorised personnel can approve high-stakes outputs</w:t>
      </w:r>
    </w:p>
    <w:p>
      <w:pPr>
        <w:pStyle w:val="ListParagraph"/>
        <w:numPr>
          <w:ilvl w:val="0"/>
          <w:numId w:val="2"/>
        </w:numPr>
        <w:spacing w:after="40" w:before="40"/>
      </w:pPr>
      <w:r>
        <w:rPr>
          <w:rFonts w:ascii="Arial" w:cs="Arial" w:eastAsia="Arial" w:hAnsi="Arial"/>
          <w:color w:val="3A3A48"/>
          <w:sz w:val="21"/>
          <w:szCs w:val="21"/>
        </w:rPr>
        <w:t xml:space="preserve">Override and rollback capability — any automated action can be reversed by an authorised user</w:t>
      </w:r>
    </w:p>
    <w:p>
      <w:pPr>
        <w:pStyle w:val="ListParagraph"/>
        <w:numPr>
          <w:ilvl w:val="0"/>
          <w:numId w:val="2"/>
        </w:numPr>
        <w:spacing w:after="40" w:before="40"/>
      </w:pPr>
      <w:r>
        <w:rPr>
          <w:rFonts w:ascii="Arial" w:cs="Arial" w:eastAsia="Arial" w:hAnsi="Arial"/>
          <w:color w:val="3A3A48"/>
          <w:sz w:val="21"/>
          <w:szCs w:val="21"/>
        </w:rPr>
        <w:t xml:space="preserve">Periodic model review built into the operations schedule — agents do not silently drift</w:t>
      </w:r>
    </w:p>
    <w:p>
      <w:pPr>
        <w:spacing w:after="120" w:before="0"/>
      </w:pPr>
    </w:p>
    <w:p>
      <w:pPr>
        <w:pStyle w:val="Heading2"/>
        <w:spacing w:after="100" w:before="240"/>
      </w:pPr>
      <w:r>
        <w:rPr>
          <w:rFonts w:ascii="Arial" w:cs="Arial" w:eastAsia="Arial" w:hAnsi="Arial"/>
          <w:b/>
          <w:bCs/>
          <w:color w:val="0B1629"/>
          <w:sz w:val="30"/>
          <w:szCs w:val="30"/>
        </w:rPr>
        <w:t xml:space="preserve">What Must Never Be Automated</w:t>
      </w:r>
    </w:p>
    <w:p>
      <w:pPr>
        <w:spacing w:after="120" w:before="0"/>
      </w:pPr>
      <w:r>
        <w:rPr>
          <w:rFonts w:ascii="Arial" w:cs="Arial" w:eastAsia="Arial" w:hAnsi="Arial"/>
          <w:color w:val="3A3A48"/>
          <w:sz w:val="22"/>
          <w:szCs w:val="22"/>
        </w:rPr>
        <w:t xml:space="preserve">Some decisions carry accountability that cannot be delegated to an algorithm. The workshop will make these boundaries explicit for PKSF's operational context:</w:t>
      </w:r>
    </w:p>
    <w:p>
      <w:pPr>
        <w:spacing w:after="80" w:before="0"/>
      </w:pPr>
    </w:p>
    <w:p>
      <w:pPr>
        <w:pStyle w:val="ListParagraph"/>
        <w:numPr>
          <w:ilvl w:val="0"/>
          <w:numId w:val="2"/>
        </w:numPr>
        <w:spacing w:after="40" w:before="40"/>
      </w:pPr>
      <w:r>
        <w:rPr>
          <w:rFonts w:ascii="Arial" w:cs="Arial" w:eastAsia="Arial" w:hAnsi="Arial"/>
          <w:color w:val="3A3A48"/>
          <w:sz w:val="21"/>
          <w:szCs w:val="21"/>
        </w:rPr>
        <w:t xml:space="preserve">Final approval of any disbursement or financial commitment</w:t>
      </w:r>
    </w:p>
    <w:p>
      <w:pPr>
        <w:pStyle w:val="ListParagraph"/>
        <w:numPr>
          <w:ilvl w:val="0"/>
          <w:numId w:val="2"/>
        </w:numPr>
        <w:spacing w:after="40" w:before="40"/>
      </w:pPr>
      <w:r>
        <w:rPr>
          <w:rFonts w:ascii="Arial" w:cs="Arial" w:eastAsia="Arial" w:hAnsi="Arial"/>
          <w:color w:val="3A3A48"/>
          <w:sz w:val="21"/>
          <w:szCs w:val="21"/>
        </w:rPr>
        <w:t xml:space="preserve">Policy exceptions and waivers — require human contextual judgement and documented rationale</w:t>
      </w:r>
    </w:p>
    <w:p>
      <w:pPr>
        <w:pStyle w:val="ListParagraph"/>
        <w:numPr>
          <w:ilvl w:val="0"/>
          <w:numId w:val="2"/>
        </w:numPr>
        <w:spacing w:after="40" w:before="40"/>
      </w:pPr>
      <w:r>
        <w:rPr>
          <w:rFonts w:ascii="Arial" w:cs="Arial" w:eastAsia="Arial" w:hAnsi="Arial"/>
          <w:color w:val="3A3A48"/>
          <w:sz w:val="21"/>
          <w:szCs w:val="21"/>
        </w:rPr>
        <w:t xml:space="preserve">Disciplinary or employment decisions affecting Partner Organisation staff</w:t>
      </w:r>
    </w:p>
    <w:p>
      <w:pPr>
        <w:pStyle w:val="ListParagraph"/>
        <w:numPr>
          <w:ilvl w:val="0"/>
          <w:numId w:val="2"/>
        </w:numPr>
        <w:spacing w:after="40" w:before="40"/>
      </w:pPr>
      <w:r>
        <w:rPr>
          <w:rFonts w:ascii="Arial" w:cs="Arial" w:eastAsia="Arial" w:hAnsi="Arial"/>
          <w:color w:val="3A3A48"/>
          <w:sz w:val="21"/>
          <w:szCs w:val="21"/>
        </w:rPr>
        <w:t xml:space="preserve">Communications to donors or government bodies that represent official PKSF positions</w:t>
      </w:r>
    </w:p>
    <w:p>
      <w:pPr>
        <w:pStyle w:val="ListParagraph"/>
        <w:numPr>
          <w:ilvl w:val="0"/>
          <w:numId w:val="2"/>
        </w:numPr>
        <w:spacing w:after="40" w:before="40"/>
      </w:pPr>
      <w:r>
        <w:rPr>
          <w:rFonts w:ascii="Arial" w:cs="Arial" w:eastAsia="Arial" w:hAnsi="Arial"/>
          <w:color w:val="3A3A48"/>
          <w:sz w:val="21"/>
          <w:szCs w:val="21"/>
        </w:rPr>
        <w:t xml:space="preserve">Any decision where the person affected has a right to contest — and therefore a right to a human decision-maker</w:t>
      </w:r>
    </w:p>
    <w:p>
      <w:pPr>
        <w:pBdr>
          <w:bottom w:val="single" w:color="DEDBD3" w:sz="4" w:space="1"/>
        </w:pBdr>
        <w:spacing w:after="200" w:before="200"/>
      </w:pPr>
    </w:p>
    <w:p>
      <w:pPr>
        <w:spacing w:after="80" w:before="320"/>
      </w:pPr>
      <w:r>
        <w:rPr>
          <w:rFonts w:ascii="Arial" w:cs="Arial" w:eastAsia="Arial" w:hAnsi="Arial"/>
          <w:b/>
          <w:bCs/>
          <w:color w:val="5A3FAA"/>
          <w:spacing w:val="60"/>
          <w:sz w:val="18"/>
          <w:szCs w:val="18"/>
        </w:rPr>
        <w:t xml:space="preserve">ANTARIOUS AI — PKSF EDITION</w:t>
      </w:r>
    </w:p>
    <w:p>
      <w:pPr>
        <w:pStyle w:val="Heading1"/>
        <w:spacing w:after="160" w:before="80"/>
      </w:pPr>
      <w:r>
        <w:rPr>
          <w:rFonts w:ascii="Arial" w:cs="Arial" w:eastAsia="Arial" w:hAnsi="Arial"/>
          <w:b/>
          <w:bCs/>
          <w:color w:val="0B1629"/>
          <w:sz w:val="44"/>
          <w:szCs w:val="44"/>
        </w:rPr>
        <w:t xml:space="preserve">9 AI agents designed for PKSF operations</w:t>
      </w:r>
    </w:p>
    <w:p>
      <w:pPr>
        <w:spacing w:after="120" w:before="0"/>
      </w:pPr>
      <w:r>
        <w:rPr>
          <w:rFonts w:ascii="Arial" w:cs="Arial" w:eastAsia="Arial" w:hAnsi="Arial"/>
          <w:color w:val="3A3A48"/>
          <w:sz w:val="22"/>
          <w:szCs w:val="22"/>
        </w:rPr>
        <w:t xml:space="preserve">The PKSF edition of Antarious AI features 9 specialist agents built for microfinance programme management and development reporting. Every agent is designed around PKSF's actual workflows — not a generic enterprise system adapted after the fact. All outputs are human-reviewed before any action is taken.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EDBD3" w:sz="1"/>
              <w:left w:val="single" w:color="DEDBD3" w:sz="1"/>
              <w:bottom w:val="single" w:color="DEDBD3" w:sz="1"/>
              <w:right w:val="single" w:color="DEDBD3" w:sz="1"/>
            </w:tcBorders>
            <w:shd w:fill="0B1629" w:val="clear"/>
            <w:tcMar>
              <w:top w:type="dxa" w:w="80"/>
              <w:left w:type="dxa" w:w="140"/>
              <w:bottom w:type="dxa" w:w="80"/>
              <w:right w:type="dxa" w:w="100"/>
            </w:tcMar>
            <w:vAlign w:val="center"/>
          </w:tcPr>
          <w:p>
            <w:pPr>
              <w:jc w:val="center"/>
            </w:pPr>
            <w:r>
              <w:rPr>
                <w:rFonts w:ascii="Courier New" w:cs="Courier New" w:eastAsia="Courier New" w:hAnsi="Courier New"/>
                <w:b/>
                <w:bCs/>
                <w:color w:val="12A397"/>
                <w:sz w:val="17"/>
                <w:szCs w:val="17"/>
              </w:rPr>
              <w:t xml:space="preserve">Agent 01</w:t>
            </w:r>
          </w:p>
        </w:tc>
        <w:tc>
          <w:tcPr>
            <w:tcW w:type="dxa" w:w="8160"/>
            <w:tcBorders>
              <w:top w:val="single" w:color="DEDBD3" w:sz="1"/>
              <w:left w:val="single" w:color="DEDBD3" w:sz="1"/>
              <w:bottom w:val="single" w:color="DEDBD3" w:sz="1"/>
              <w:right w:val="single" w:color="DEDBD3" w:sz="1"/>
            </w:tcBorders>
            <w:shd w:fill="14263F" w:val="clear"/>
            <w:tcMar>
              <w:top w:type="dxa" w:w="80"/>
              <w:left w:type="dxa" w:w="160"/>
              <w:bottom w:type="dxa" w:w="80"/>
              <w:right w:type="dxa" w:w="140"/>
            </w:tcMar>
          </w:tcPr>
          <w:p>
            <w:pPr>
              <w:spacing w:after="0" w:before="0"/>
            </w:pPr>
            <w:r>
              <w:rPr>
                <w:rFonts w:ascii="Arial" w:cs="Arial" w:eastAsia="Arial" w:hAnsi="Arial"/>
                <w:b/>
                <w:bCs/>
                <w:color w:val="FFFFFF"/>
                <w:sz w:val="22"/>
                <w:szCs w:val="22"/>
              </w:rPr>
              <w:t xml:space="preserve">Programme Intelligence (Core) — Central orchestrating agent</w:t>
            </w:r>
          </w:p>
        </w:tc>
      </w:tr>
      <w:tr>
        <w:tc>
          <w:tcPr>
            <w:tcW w:type="dxa" w:w="1200"/>
            <w:tcBorders>
              <w:top w:val="single" w:color="DEDBD3" w:sz="1"/>
              <w:left w:val="single" w:color="DEDBD3" w:sz="1"/>
              <w:bottom w:val="single" w:color="DEDBD3" w:sz="1"/>
              <w:right w:val="single" w:color="DEDBD3" w:sz="1"/>
            </w:tcBorders>
            <w:shd w:fill="0B1629" w:val="clear"/>
            <w:tcMar>
              <w:top w:type="dxa" w:w="80"/>
              <w:left w:type="dxa" w:w="140"/>
              <w:bottom w:type="dxa" w:w="80"/>
              <w:right w:type="dxa" w:w="100"/>
            </w:tcMar>
            <w:vAlign w:val="center"/>
          </w:tcPr>
          <w:p>
            <w:pPr>
              <w:jc w:val="center"/>
            </w:pPr>
            <w:r>
              <w:rPr>
                <w:rFonts w:ascii="Courier New" w:cs="Courier New" w:eastAsia="Courier New" w:hAnsi="Courier New"/>
                <w:b/>
                <w:bCs/>
                <w:color w:val="12A397"/>
                <w:sz w:val="17"/>
                <w:szCs w:val="17"/>
              </w:rPr>
              <w:t xml:space="preserve">Agent 02</w:t>
            </w:r>
          </w:p>
        </w:tc>
        <w:tc>
          <w:tcPr>
            <w:tcW w:type="dxa" w:w="8160"/>
            <w:tcBorders>
              <w:top w:val="single" w:color="DEDBD3" w:sz="1"/>
              <w:left w:val="single" w:color="DEDBD3" w:sz="1"/>
              <w:bottom w:val="single" w:color="DEDBD3" w:sz="1"/>
              <w:right w:val="single" w:color="DEDBD3" w:sz="1"/>
            </w:tcBorders>
            <w:shd w:fill="0B1629" w:val="clear"/>
            <w:tcMar>
              <w:top w:type="dxa" w:w="80"/>
              <w:left w:type="dxa" w:w="160"/>
              <w:bottom w:type="dxa" w:w="80"/>
              <w:right w:type="dxa" w:w="140"/>
            </w:tcMar>
          </w:tcPr>
          <w:p>
            <w:pPr>
              <w:spacing w:after="0" w:before="0"/>
            </w:pPr>
            <w:r>
              <w:rPr>
                <w:rFonts w:ascii="Arial" w:cs="Arial" w:eastAsia="Arial" w:hAnsi="Arial"/>
                <w:b/>
                <w:bCs/>
                <w:color w:val="FFFFFF"/>
                <w:sz w:val="22"/>
                <w:szCs w:val="22"/>
              </w:rPr>
              <w:t xml:space="preserve">M&amp;E Report Generator — Automated monitoring &amp; evaluation reporting</w:t>
            </w:r>
          </w:p>
        </w:tc>
      </w:tr>
      <w:tr>
        <w:tc>
          <w:tcPr>
            <w:tcW w:type="dxa" w:w="1200"/>
            <w:tcBorders>
              <w:top w:val="single" w:color="DEDBD3" w:sz="1"/>
              <w:left w:val="single" w:color="DEDBD3" w:sz="1"/>
              <w:bottom w:val="single" w:color="DEDBD3" w:sz="1"/>
              <w:right w:val="single" w:color="DEDBD3" w:sz="1"/>
            </w:tcBorders>
            <w:shd w:fill="0B1629" w:val="clear"/>
            <w:tcMar>
              <w:top w:type="dxa" w:w="80"/>
              <w:left w:type="dxa" w:w="140"/>
              <w:bottom w:type="dxa" w:w="80"/>
              <w:right w:type="dxa" w:w="100"/>
            </w:tcMar>
            <w:vAlign w:val="center"/>
          </w:tcPr>
          <w:p>
            <w:pPr>
              <w:jc w:val="center"/>
            </w:pPr>
            <w:r>
              <w:rPr>
                <w:rFonts w:ascii="Courier New" w:cs="Courier New" w:eastAsia="Courier New" w:hAnsi="Courier New"/>
                <w:b/>
                <w:bCs/>
                <w:color w:val="12A397"/>
                <w:sz w:val="17"/>
                <w:szCs w:val="17"/>
              </w:rPr>
              <w:t xml:space="preserve">Agent 03</w:t>
            </w:r>
          </w:p>
        </w:tc>
        <w:tc>
          <w:tcPr>
            <w:tcW w:type="dxa" w:w="8160"/>
            <w:tcBorders>
              <w:top w:val="single" w:color="DEDBD3" w:sz="1"/>
              <w:left w:val="single" w:color="DEDBD3" w:sz="1"/>
              <w:bottom w:val="single" w:color="DEDBD3" w:sz="1"/>
              <w:right w:val="single" w:color="DEDBD3" w:sz="1"/>
            </w:tcBorders>
            <w:shd w:fill="14263F" w:val="clear"/>
            <w:tcMar>
              <w:top w:type="dxa" w:w="80"/>
              <w:left w:type="dxa" w:w="160"/>
              <w:bottom w:type="dxa" w:w="80"/>
              <w:right w:type="dxa" w:w="140"/>
            </w:tcMar>
          </w:tcPr>
          <w:p>
            <w:pPr>
              <w:spacing w:after="0" w:before="0"/>
            </w:pPr>
            <w:r>
              <w:rPr>
                <w:rFonts w:ascii="Arial" w:cs="Arial" w:eastAsia="Arial" w:hAnsi="Arial"/>
                <w:b/>
                <w:bCs/>
                <w:color w:val="FFFFFF"/>
                <w:sz w:val="22"/>
                <w:szCs w:val="22"/>
              </w:rPr>
              <w:t xml:space="preserve">PO Performance Monitor — Partner Organisation tracking and alerts</w:t>
            </w:r>
          </w:p>
        </w:tc>
      </w:tr>
      <w:tr>
        <w:tc>
          <w:tcPr>
            <w:tcW w:type="dxa" w:w="1200"/>
            <w:tcBorders>
              <w:top w:val="single" w:color="DEDBD3" w:sz="1"/>
              <w:left w:val="single" w:color="DEDBD3" w:sz="1"/>
              <w:bottom w:val="single" w:color="DEDBD3" w:sz="1"/>
              <w:right w:val="single" w:color="DEDBD3" w:sz="1"/>
            </w:tcBorders>
            <w:shd w:fill="0B1629" w:val="clear"/>
            <w:tcMar>
              <w:top w:type="dxa" w:w="80"/>
              <w:left w:type="dxa" w:w="140"/>
              <w:bottom w:type="dxa" w:w="80"/>
              <w:right w:type="dxa" w:w="100"/>
            </w:tcMar>
            <w:vAlign w:val="center"/>
          </w:tcPr>
          <w:p>
            <w:pPr>
              <w:jc w:val="center"/>
            </w:pPr>
            <w:r>
              <w:rPr>
                <w:rFonts w:ascii="Courier New" w:cs="Courier New" w:eastAsia="Courier New" w:hAnsi="Courier New"/>
                <w:b/>
                <w:bCs/>
                <w:color w:val="12A397"/>
                <w:sz w:val="17"/>
                <w:szCs w:val="17"/>
              </w:rPr>
              <w:t xml:space="preserve">Agent 04</w:t>
            </w:r>
          </w:p>
        </w:tc>
        <w:tc>
          <w:tcPr>
            <w:tcW w:type="dxa" w:w="8160"/>
            <w:tcBorders>
              <w:top w:val="single" w:color="DEDBD3" w:sz="1"/>
              <w:left w:val="single" w:color="DEDBD3" w:sz="1"/>
              <w:bottom w:val="single" w:color="DEDBD3" w:sz="1"/>
              <w:right w:val="single" w:color="DEDBD3" w:sz="1"/>
            </w:tcBorders>
            <w:shd w:fill="0B1629" w:val="clear"/>
            <w:tcMar>
              <w:top w:type="dxa" w:w="80"/>
              <w:left w:type="dxa" w:w="160"/>
              <w:bottom w:type="dxa" w:w="80"/>
              <w:right w:type="dxa" w:w="140"/>
            </w:tcMar>
          </w:tcPr>
          <w:p>
            <w:pPr>
              <w:spacing w:after="0" w:before="0"/>
            </w:pPr>
            <w:r>
              <w:rPr>
                <w:rFonts w:ascii="Arial" w:cs="Arial" w:eastAsia="Arial" w:hAnsi="Arial"/>
                <w:b/>
                <w:bCs/>
                <w:color w:val="FFFFFF"/>
                <w:sz w:val="22"/>
                <w:szCs w:val="22"/>
              </w:rPr>
              <w:t xml:space="preserve">Field Data Analyst — Ground-level data synthesis and pattern detection</w:t>
            </w:r>
          </w:p>
        </w:tc>
      </w:tr>
      <w:tr>
        <w:tc>
          <w:tcPr>
            <w:tcW w:type="dxa" w:w="1200"/>
            <w:tcBorders>
              <w:top w:val="single" w:color="DEDBD3" w:sz="1"/>
              <w:left w:val="single" w:color="DEDBD3" w:sz="1"/>
              <w:bottom w:val="single" w:color="DEDBD3" w:sz="1"/>
              <w:right w:val="single" w:color="DEDBD3" w:sz="1"/>
            </w:tcBorders>
            <w:shd w:fill="0B1629" w:val="clear"/>
            <w:tcMar>
              <w:top w:type="dxa" w:w="80"/>
              <w:left w:type="dxa" w:w="140"/>
              <w:bottom w:type="dxa" w:w="80"/>
              <w:right w:type="dxa" w:w="100"/>
            </w:tcMar>
            <w:vAlign w:val="center"/>
          </w:tcPr>
          <w:p>
            <w:pPr>
              <w:jc w:val="center"/>
            </w:pPr>
            <w:r>
              <w:rPr>
                <w:rFonts w:ascii="Courier New" w:cs="Courier New" w:eastAsia="Courier New" w:hAnsi="Courier New"/>
                <w:b/>
                <w:bCs/>
                <w:color w:val="12A397"/>
                <w:sz w:val="17"/>
                <w:szCs w:val="17"/>
              </w:rPr>
              <w:t xml:space="preserve">Agent 05</w:t>
            </w:r>
          </w:p>
        </w:tc>
        <w:tc>
          <w:tcPr>
            <w:tcW w:type="dxa" w:w="8160"/>
            <w:tcBorders>
              <w:top w:val="single" w:color="DEDBD3" w:sz="1"/>
              <w:left w:val="single" w:color="DEDBD3" w:sz="1"/>
              <w:bottom w:val="single" w:color="DEDBD3" w:sz="1"/>
              <w:right w:val="single" w:color="DEDBD3" w:sz="1"/>
            </w:tcBorders>
            <w:shd w:fill="14263F" w:val="clear"/>
            <w:tcMar>
              <w:top w:type="dxa" w:w="80"/>
              <w:left w:type="dxa" w:w="160"/>
              <w:bottom w:type="dxa" w:w="80"/>
              <w:right w:type="dxa" w:w="140"/>
            </w:tcMar>
          </w:tcPr>
          <w:p>
            <w:pPr>
              <w:spacing w:after="0" w:before="0"/>
            </w:pPr>
            <w:r>
              <w:rPr>
                <w:rFonts w:ascii="Arial" w:cs="Arial" w:eastAsia="Arial" w:hAnsi="Arial"/>
                <w:b/>
                <w:bCs/>
                <w:color w:val="FFFFFF"/>
                <w:sz w:val="22"/>
                <w:szCs w:val="22"/>
              </w:rPr>
              <w:t xml:space="preserve">Beneficiary Analytics — Impact tracking and socioeconomic profiling</w:t>
            </w:r>
          </w:p>
        </w:tc>
      </w:tr>
      <w:tr>
        <w:tc>
          <w:tcPr>
            <w:tcW w:type="dxa" w:w="1200"/>
            <w:tcBorders>
              <w:top w:val="single" w:color="DEDBD3" w:sz="1"/>
              <w:left w:val="single" w:color="DEDBD3" w:sz="1"/>
              <w:bottom w:val="single" w:color="DEDBD3" w:sz="1"/>
              <w:right w:val="single" w:color="DEDBD3" w:sz="1"/>
            </w:tcBorders>
            <w:shd w:fill="0B1629" w:val="clear"/>
            <w:tcMar>
              <w:top w:type="dxa" w:w="80"/>
              <w:left w:type="dxa" w:w="140"/>
              <w:bottom w:type="dxa" w:w="80"/>
              <w:right w:type="dxa" w:w="100"/>
            </w:tcMar>
            <w:vAlign w:val="center"/>
          </w:tcPr>
          <w:p>
            <w:pPr>
              <w:jc w:val="center"/>
            </w:pPr>
            <w:r>
              <w:rPr>
                <w:rFonts w:ascii="Courier New" w:cs="Courier New" w:eastAsia="Courier New" w:hAnsi="Courier New"/>
                <w:b/>
                <w:bCs/>
                <w:color w:val="12A397"/>
                <w:sz w:val="17"/>
                <w:szCs w:val="17"/>
              </w:rPr>
              <w:t xml:space="preserve">Agent 06</w:t>
            </w:r>
          </w:p>
        </w:tc>
        <w:tc>
          <w:tcPr>
            <w:tcW w:type="dxa" w:w="8160"/>
            <w:tcBorders>
              <w:top w:val="single" w:color="DEDBD3" w:sz="1"/>
              <w:left w:val="single" w:color="DEDBD3" w:sz="1"/>
              <w:bottom w:val="single" w:color="DEDBD3" w:sz="1"/>
              <w:right w:val="single" w:color="DEDBD3" w:sz="1"/>
            </w:tcBorders>
            <w:shd w:fill="0B1629" w:val="clear"/>
            <w:tcMar>
              <w:top w:type="dxa" w:w="80"/>
              <w:left w:type="dxa" w:w="160"/>
              <w:bottom w:type="dxa" w:w="80"/>
              <w:right w:type="dxa" w:w="140"/>
            </w:tcMar>
          </w:tcPr>
          <w:p>
            <w:pPr>
              <w:spacing w:after="0" w:before="0"/>
            </w:pPr>
            <w:r>
              <w:rPr>
                <w:rFonts w:ascii="Arial" w:cs="Arial" w:eastAsia="Arial" w:hAnsi="Arial"/>
                <w:b/>
                <w:bCs/>
                <w:color w:val="FFFFFF"/>
                <w:sz w:val="22"/>
                <w:szCs w:val="22"/>
              </w:rPr>
              <w:t xml:space="preserve">Loan Portfolio Monitor — Portfolio health, stress indicators, and early warnings</w:t>
            </w:r>
          </w:p>
        </w:tc>
      </w:tr>
      <w:tr>
        <w:tc>
          <w:tcPr>
            <w:tcW w:type="dxa" w:w="1200"/>
            <w:tcBorders>
              <w:top w:val="single" w:color="DEDBD3" w:sz="1"/>
              <w:left w:val="single" w:color="DEDBD3" w:sz="1"/>
              <w:bottom w:val="single" w:color="DEDBD3" w:sz="1"/>
              <w:right w:val="single" w:color="DEDBD3" w:sz="1"/>
            </w:tcBorders>
            <w:shd w:fill="0B1629" w:val="clear"/>
            <w:tcMar>
              <w:top w:type="dxa" w:w="80"/>
              <w:left w:type="dxa" w:w="140"/>
              <w:bottom w:type="dxa" w:w="80"/>
              <w:right w:type="dxa" w:w="100"/>
            </w:tcMar>
            <w:vAlign w:val="center"/>
          </w:tcPr>
          <w:p>
            <w:pPr>
              <w:jc w:val="center"/>
            </w:pPr>
            <w:r>
              <w:rPr>
                <w:rFonts w:ascii="Courier New" w:cs="Courier New" w:eastAsia="Courier New" w:hAnsi="Courier New"/>
                <w:b/>
                <w:bCs/>
                <w:color w:val="12A397"/>
                <w:sz w:val="17"/>
                <w:szCs w:val="17"/>
              </w:rPr>
              <w:t xml:space="preserve">Agent 07</w:t>
            </w:r>
          </w:p>
        </w:tc>
        <w:tc>
          <w:tcPr>
            <w:tcW w:type="dxa" w:w="8160"/>
            <w:tcBorders>
              <w:top w:val="single" w:color="DEDBD3" w:sz="1"/>
              <w:left w:val="single" w:color="DEDBD3" w:sz="1"/>
              <w:bottom w:val="single" w:color="DEDBD3" w:sz="1"/>
              <w:right w:val="single" w:color="DEDBD3" w:sz="1"/>
            </w:tcBorders>
            <w:shd w:fill="14263F" w:val="clear"/>
            <w:tcMar>
              <w:top w:type="dxa" w:w="80"/>
              <w:left w:type="dxa" w:w="160"/>
              <w:bottom w:type="dxa" w:w="80"/>
              <w:right w:type="dxa" w:w="140"/>
            </w:tcMar>
          </w:tcPr>
          <w:p>
            <w:pPr>
              <w:spacing w:after="0" w:before="0"/>
            </w:pPr>
            <w:r>
              <w:rPr>
                <w:rFonts w:ascii="Arial" w:cs="Arial" w:eastAsia="Arial" w:hAnsi="Arial"/>
                <w:b/>
                <w:bCs/>
                <w:color w:val="FFFFFF"/>
                <w:sz w:val="22"/>
                <w:szCs w:val="22"/>
              </w:rPr>
              <w:t xml:space="preserve">Document Drafting — Automated generation of reports, memos, and narratives</w:t>
            </w:r>
          </w:p>
        </w:tc>
      </w:tr>
      <w:tr>
        <w:tc>
          <w:tcPr>
            <w:tcW w:type="dxa" w:w="1200"/>
            <w:tcBorders>
              <w:top w:val="single" w:color="DEDBD3" w:sz="1"/>
              <w:left w:val="single" w:color="DEDBD3" w:sz="1"/>
              <w:bottom w:val="single" w:color="DEDBD3" w:sz="1"/>
              <w:right w:val="single" w:color="DEDBD3" w:sz="1"/>
            </w:tcBorders>
            <w:shd w:fill="0B1629" w:val="clear"/>
            <w:tcMar>
              <w:top w:type="dxa" w:w="80"/>
              <w:left w:type="dxa" w:w="140"/>
              <w:bottom w:type="dxa" w:w="80"/>
              <w:right w:type="dxa" w:w="100"/>
            </w:tcMar>
            <w:vAlign w:val="center"/>
          </w:tcPr>
          <w:p>
            <w:pPr>
              <w:jc w:val="center"/>
            </w:pPr>
            <w:r>
              <w:rPr>
                <w:rFonts w:ascii="Courier New" w:cs="Courier New" w:eastAsia="Courier New" w:hAnsi="Courier New"/>
                <w:b/>
                <w:bCs/>
                <w:color w:val="12A397"/>
                <w:sz w:val="17"/>
                <w:szCs w:val="17"/>
              </w:rPr>
              <w:t xml:space="preserve">Agent 08</w:t>
            </w:r>
          </w:p>
        </w:tc>
        <w:tc>
          <w:tcPr>
            <w:tcW w:type="dxa" w:w="8160"/>
            <w:tcBorders>
              <w:top w:val="single" w:color="DEDBD3" w:sz="1"/>
              <w:left w:val="single" w:color="DEDBD3" w:sz="1"/>
              <w:bottom w:val="single" w:color="DEDBD3" w:sz="1"/>
              <w:right w:val="single" w:color="DEDBD3" w:sz="1"/>
            </w:tcBorders>
            <w:shd w:fill="0B1629" w:val="clear"/>
            <w:tcMar>
              <w:top w:type="dxa" w:w="80"/>
              <w:left w:type="dxa" w:w="160"/>
              <w:bottom w:type="dxa" w:w="80"/>
              <w:right w:type="dxa" w:w="140"/>
            </w:tcMar>
          </w:tcPr>
          <w:p>
            <w:pPr>
              <w:spacing w:after="0" w:before="0"/>
            </w:pPr>
            <w:r>
              <w:rPr>
                <w:rFonts w:ascii="Arial" w:cs="Arial" w:eastAsia="Arial" w:hAnsi="Arial"/>
                <w:b/>
                <w:bCs/>
                <w:color w:val="FFFFFF"/>
                <w:sz w:val="22"/>
                <w:szCs w:val="22"/>
              </w:rPr>
              <w:t xml:space="preserve">Compliance &amp; Risk Sentinel — Regulatory and operational risk flagging</w:t>
            </w:r>
          </w:p>
        </w:tc>
      </w:tr>
      <w:tr>
        <w:tc>
          <w:tcPr>
            <w:tcW w:type="dxa" w:w="1200"/>
            <w:tcBorders>
              <w:top w:val="single" w:color="DEDBD3" w:sz="1"/>
              <w:left w:val="single" w:color="DEDBD3" w:sz="1"/>
              <w:bottom w:val="single" w:color="DEDBD3" w:sz="1"/>
              <w:right w:val="single" w:color="DEDBD3" w:sz="1"/>
            </w:tcBorders>
            <w:shd w:fill="0B1629" w:val="clear"/>
            <w:tcMar>
              <w:top w:type="dxa" w:w="80"/>
              <w:left w:type="dxa" w:w="140"/>
              <w:bottom w:type="dxa" w:w="80"/>
              <w:right w:type="dxa" w:w="100"/>
            </w:tcMar>
            <w:vAlign w:val="center"/>
          </w:tcPr>
          <w:p>
            <w:pPr>
              <w:jc w:val="center"/>
            </w:pPr>
            <w:r>
              <w:rPr>
                <w:rFonts w:ascii="Courier New" w:cs="Courier New" w:eastAsia="Courier New" w:hAnsi="Courier New"/>
                <w:b/>
                <w:bCs/>
                <w:color w:val="12A397"/>
                <w:sz w:val="17"/>
                <w:szCs w:val="17"/>
              </w:rPr>
              <w:t xml:space="preserve">Agent 09</w:t>
            </w:r>
          </w:p>
        </w:tc>
        <w:tc>
          <w:tcPr>
            <w:tcW w:type="dxa" w:w="8160"/>
            <w:tcBorders>
              <w:top w:val="single" w:color="DEDBD3" w:sz="1"/>
              <w:left w:val="single" w:color="DEDBD3" w:sz="1"/>
              <w:bottom w:val="single" w:color="DEDBD3" w:sz="1"/>
              <w:right w:val="single" w:color="DEDBD3" w:sz="1"/>
            </w:tcBorders>
            <w:shd w:fill="14263F" w:val="clear"/>
            <w:tcMar>
              <w:top w:type="dxa" w:w="80"/>
              <w:left w:type="dxa" w:w="160"/>
              <w:bottom w:type="dxa" w:w="80"/>
              <w:right w:type="dxa" w:w="140"/>
            </w:tcMar>
          </w:tcPr>
          <w:p>
            <w:pPr>
              <w:spacing w:after="0" w:before="0"/>
            </w:pPr>
            <w:r>
              <w:rPr>
                <w:rFonts w:ascii="Arial" w:cs="Arial" w:eastAsia="Arial" w:hAnsi="Arial"/>
                <w:b/>
                <w:bCs/>
                <w:color w:val="FFFFFF"/>
                <w:sz w:val="22"/>
                <w:szCs w:val="22"/>
              </w:rPr>
              <w:t xml:space="preserve">Programme Forecasting — Scenario modelling and forward projections</w:t>
            </w:r>
          </w:p>
        </w:tc>
      </w:tr>
    </w:tbl>
    <w:p>
      <w:pPr>
        <w:pBdr>
          <w:bottom w:val="single" w:color="DEDBD3" w:sz="4" w:space="1"/>
        </w:pBdr>
        <w:spacing w:after="200" w:before="200"/>
      </w:pPr>
    </w:p>
    <w:p>
      <w:pPr>
        <w:spacing w:after="80" w:before="320"/>
      </w:pPr>
      <w:r>
        <w:rPr>
          <w:rFonts w:ascii="Arial" w:cs="Arial" w:eastAsia="Arial" w:hAnsi="Arial"/>
          <w:b/>
          <w:bCs/>
          <w:color w:val="0E7A70"/>
          <w:spacing w:val="60"/>
          <w:sz w:val="18"/>
          <w:szCs w:val="18"/>
        </w:rPr>
        <w:t xml:space="preserve">HANDS-ON SESSION — DETAIL</w:t>
      </w:r>
    </w:p>
    <w:p>
      <w:pPr>
        <w:pStyle w:val="Heading1"/>
        <w:spacing w:after="160" w:before="80"/>
      </w:pPr>
      <w:r>
        <w:rPr>
          <w:rFonts w:ascii="Arial" w:cs="Arial" w:eastAsia="Arial" w:hAnsi="Arial"/>
          <w:b/>
          <w:bCs/>
          <w:color w:val="0B1629"/>
          <w:sz w:val="44"/>
          <w:szCs w:val="44"/>
        </w:rPr>
        <w:t xml:space="preserve">What participants do in the final hour</w:t>
      </w:r>
    </w:p>
    <w:p>
      <w:pPr>
        <w:spacing w:after="120" w:before="0"/>
      </w:pPr>
      <w:r>
        <w:rPr>
          <w:rFonts w:ascii="Arial" w:cs="Arial" w:eastAsia="Arial" w:hAnsi="Arial"/>
          <w:color w:val="3A3A48"/>
          <w:sz w:val="22"/>
          <w:szCs w:val="22"/>
        </w:rPr>
        <w:t xml:space="preserve">The hands-on hour is structured in three progressively open segments. All 40 participants have individual access to the live Antarious AI system on their own devices throughout.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BD3" w:sz="1"/>
              <w:left w:val="single" w:color="DEDBD3" w:sz="1"/>
              <w:bottom w:val="single" w:color="DEDBD3" w:sz="1"/>
              <w:right w:val="single" w:color="DEDBD3" w:sz="1"/>
            </w:tcBorders>
            <w:shd w:fill="E4EEF9" w:val="clear"/>
            <w:tcMar>
              <w:top w:type="dxa" w:w="100"/>
              <w:left w:type="dxa" w:w="160"/>
              <w:bottom w:type="dxa" w:w="0"/>
              <w:right w:type="dxa" w:w="160"/>
            </w:tcMar>
          </w:tcPr>
          <w:p>
            <w:pPr>
              <w:spacing w:after="0" w:before="0"/>
            </w:pPr>
            <w:r>
              <w:rPr>
                <w:rFonts w:ascii="Courier New" w:cs="Courier New" w:eastAsia="Courier New" w:hAnsi="Courier New"/>
                <w:b/>
                <w:bCs/>
                <w:color w:val="1455A0"/>
                <w:sz w:val="19"/>
                <w:szCs w:val="19"/>
              </w:rPr>
              <w:t xml:space="preserve">Exercise 01  ·  </w:t>
            </w:r>
            <w:r>
              <w:rPr>
                <w:rFonts w:ascii="Arial" w:cs="Arial" w:eastAsia="Arial" w:hAnsi="Arial"/>
                <w:b/>
                <w:bCs/>
                <w:color w:val="0B1629"/>
                <w:sz w:val="24"/>
                <w:szCs w:val="24"/>
              </w:rPr>
              <w:t xml:space="preserve">Guided Exercise 1 — Programme Query</w:t>
            </w:r>
          </w:p>
        </w:tc>
      </w:tr>
      <w:tr>
        <w:tc>
          <w:tcPr>
            <w:tcW w:type="dxa" w:w="9360"/>
            <w:tcBorders>
              <w:top w:val="single" w:color="DEDBD3" w:sz="1"/>
              <w:left w:val="single" w:color="DEDBD3" w:sz="1"/>
              <w:bottom w:val="single" w:color="DEDBD3" w:sz="1"/>
              <w:right w:val="single" w:color="DEDBD3" w:sz="1"/>
            </w:tcBorders>
            <w:shd w:fill="FFFFFF" w:val="clear"/>
            <w:tcMar>
              <w:top w:type="dxa" w:w="100"/>
              <w:left w:type="dxa" w:w="160"/>
              <w:bottom w:type="dxa" w:w="100"/>
              <w:right w:type="dxa" w:w="160"/>
            </w:tcMar>
          </w:tcPr>
          <w:p>
            <w:pPr>
              <w:spacing w:after="80" w:before="0"/>
            </w:pPr>
            <w:r>
              <w:rPr>
                <w:rFonts w:ascii="Arial" w:cs="Arial" w:eastAsia="Arial" w:hAnsi="Arial"/>
                <w:color w:val="3A3A48"/>
                <w:sz w:val="21"/>
                <w:szCs w:val="21"/>
              </w:rPr>
              <w:t xml:space="preserve">Each participant logs in, explores the dashboard, and asks a natural language question about PKSF programme data. Example prompts are provided. Participants see how the system reasons, what sources it cites, and how to interpret the structured output.</w:t>
            </w:r>
          </w:p>
          <w:p>
            <w:pPr>
              <w:spacing w:after="0" w:before="0"/>
            </w:pPr>
            <w:r>
              <w:rPr>
                <w:rFonts w:ascii="Courier New" w:cs="Courier New" w:eastAsia="Courier New" w:hAnsi="Courier New"/>
                <w:b/>
                <w:bCs/>
                <w:color w:val="0E7A70"/>
                <w:sz w:val="18"/>
                <w:szCs w:val="18"/>
              </w:rPr>
              <w:t xml:space="preserve">15 minutes · Facilitated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BD3" w:sz="1"/>
              <w:left w:val="single" w:color="DEDBD3" w:sz="1"/>
              <w:bottom w:val="single" w:color="DEDBD3" w:sz="1"/>
              <w:right w:val="single" w:color="DEDBD3" w:sz="1"/>
            </w:tcBorders>
            <w:shd w:fill="E4EEF9" w:val="clear"/>
            <w:tcMar>
              <w:top w:type="dxa" w:w="100"/>
              <w:left w:type="dxa" w:w="160"/>
              <w:bottom w:type="dxa" w:w="0"/>
              <w:right w:type="dxa" w:w="160"/>
            </w:tcMar>
          </w:tcPr>
          <w:p>
            <w:pPr>
              <w:spacing w:after="0" w:before="0"/>
            </w:pPr>
            <w:r>
              <w:rPr>
                <w:rFonts w:ascii="Courier New" w:cs="Courier New" w:eastAsia="Courier New" w:hAnsi="Courier New"/>
                <w:b/>
                <w:bCs/>
                <w:color w:val="1455A0"/>
                <w:sz w:val="19"/>
                <w:szCs w:val="19"/>
              </w:rPr>
              <w:t xml:space="preserve">Exercise 02  ·  </w:t>
            </w:r>
            <w:r>
              <w:rPr>
                <w:rFonts w:ascii="Arial" w:cs="Arial" w:eastAsia="Arial" w:hAnsi="Arial"/>
                <w:b/>
                <w:bCs/>
                <w:color w:val="0B1629"/>
                <w:sz w:val="24"/>
                <w:szCs w:val="24"/>
              </w:rPr>
              <w:t xml:space="preserve">Guided Exercise 2 — M&amp;E Report Task</w:t>
            </w:r>
          </w:p>
        </w:tc>
      </w:tr>
      <w:tr>
        <w:tc>
          <w:tcPr>
            <w:tcW w:type="dxa" w:w="9360"/>
            <w:tcBorders>
              <w:top w:val="single" w:color="DEDBD3" w:sz="1"/>
              <w:left w:val="single" w:color="DEDBD3" w:sz="1"/>
              <w:bottom w:val="single" w:color="DEDBD3" w:sz="1"/>
              <w:right w:val="single" w:color="DEDBD3" w:sz="1"/>
            </w:tcBorders>
            <w:shd w:fill="FFFFFF" w:val="clear"/>
            <w:tcMar>
              <w:top w:type="dxa" w:w="100"/>
              <w:left w:type="dxa" w:w="160"/>
              <w:bottom w:type="dxa" w:w="100"/>
              <w:right w:type="dxa" w:w="160"/>
            </w:tcMar>
          </w:tcPr>
          <w:p>
            <w:pPr>
              <w:spacing w:after="80" w:before="0"/>
            </w:pPr>
            <w:r>
              <w:rPr>
                <w:rFonts w:ascii="Arial" w:cs="Arial" w:eastAsia="Arial" w:hAnsi="Arial"/>
                <w:color w:val="3A3A48"/>
                <w:sz w:val="21"/>
                <w:szCs w:val="21"/>
              </w:rPr>
              <w:t xml:space="preserve">Each participant instructs the M&amp;E Report Agent to draft a quarterly PDO progress narrative. They review the output, make an edit, approve, and export — completing the full human-in-the-loop workflow from instruction to final approved document.</w:t>
            </w:r>
          </w:p>
          <w:p>
            <w:pPr>
              <w:spacing w:after="0" w:before="0"/>
            </w:pPr>
            <w:r>
              <w:rPr>
                <w:rFonts w:ascii="Courier New" w:cs="Courier New" w:eastAsia="Courier New" w:hAnsi="Courier New"/>
                <w:b/>
                <w:bCs/>
                <w:color w:val="0E7A70"/>
                <w:sz w:val="18"/>
                <w:szCs w:val="18"/>
              </w:rPr>
              <w:t xml:space="preserve">20 minutes · Structured task</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BD3" w:sz="1"/>
              <w:left w:val="single" w:color="DEDBD3" w:sz="1"/>
              <w:bottom w:val="single" w:color="DEDBD3" w:sz="1"/>
              <w:right w:val="single" w:color="DEDBD3" w:sz="1"/>
            </w:tcBorders>
            <w:shd w:fill="E4EEF9" w:val="clear"/>
            <w:tcMar>
              <w:top w:type="dxa" w:w="100"/>
              <w:left w:type="dxa" w:w="160"/>
              <w:bottom w:type="dxa" w:w="0"/>
              <w:right w:type="dxa" w:w="160"/>
            </w:tcMar>
          </w:tcPr>
          <w:p>
            <w:pPr>
              <w:spacing w:after="0" w:before="0"/>
            </w:pPr>
            <w:r>
              <w:rPr>
                <w:rFonts w:ascii="Courier New" w:cs="Courier New" w:eastAsia="Courier New" w:hAnsi="Courier New"/>
                <w:b/>
                <w:bCs/>
                <w:color w:val="1455A0"/>
                <w:sz w:val="19"/>
                <w:szCs w:val="19"/>
              </w:rPr>
              <w:t xml:space="preserve">Exercise 03  ·  </w:t>
            </w:r>
            <w:r>
              <w:rPr>
                <w:rFonts w:ascii="Arial" w:cs="Arial" w:eastAsia="Arial" w:hAnsi="Arial"/>
                <w:b/>
                <w:bCs/>
                <w:color w:val="0B1629"/>
                <w:sz w:val="24"/>
                <w:szCs w:val="24"/>
              </w:rPr>
              <w:t xml:space="preserve">Free Exploration</w:t>
            </w:r>
          </w:p>
        </w:tc>
      </w:tr>
      <w:tr>
        <w:tc>
          <w:tcPr>
            <w:tcW w:type="dxa" w:w="9360"/>
            <w:tcBorders>
              <w:top w:val="single" w:color="DEDBD3" w:sz="1"/>
              <w:left w:val="single" w:color="DEDBD3" w:sz="1"/>
              <w:bottom w:val="single" w:color="DEDBD3" w:sz="1"/>
              <w:right w:val="single" w:color="DEDBD3" w:sz="1"/>
            </w:tcBorders>
            <w:shd w:fill="FFFFFF" w:val="clear"/>
            <w:tcMar>
              <w:top w:type="dxa" w:w="100"/>
              <w:left w:type="dxa" w:w="160"/>
              <w:bottom w:type="dxa" w:w="100"/>
              <w:right w:type="dxa" w:w="160"/>
            </w:tcMar>
          </w:tcPr>
          <w:p>
            <w:pPr>
              <w:spacing w:after="80" w:before="0"/>
            </w:pPr>
            <w:r>
              <w:rPr>
                <w:rFonts w:ascii="Arial" w:cs="Arial" w:eastAsia="Arial" w:hAnsi="Arial"/>
                <w:color w:val="3A3A48"/>
                <w:sz w:val="21"/>
                <w:szCs w:val="21"/>
              </w:rPr>
              <w:t xml:space="preserve">Open session. Each participant navigates to the agent most relevant to their role — PO Monitor, Loan Portfolio, Beneficiary Analytics, Compliance, Forecasting. Facilitator circulates and addresses individual questions and scenarios in real time.</w:t>
            </w:r>
          </w:p>
          <w:p>
            <w:pPr>
              <w:spacing w:after="0" w:before="0"/>
            </w:pPr>
            <w:r>
              <w:rPr>
                <w:rFonts w:ascii="Courier New" w:cs="Courier New" w:eastAsia="Courier New" w:hAnsi="Courier New"/>
                <w:b/>
                <w:bCs/>
                <w:color w:val="0E7A70"/>
                <w:sz w:val="18"/>
                <w:szCs w:val="18"/>
              </w:rPr>
              <w:t xml:space="preserve">20 minutes · Self-directed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BD3" w:sz="1"/>
              <w:left w:val="single" w:color="DEDBD3" w:sz="1"/>
              <w:bottom w:val="single" w:color="DEDBD3" w:sz="1"/>
              <w:right w:val="single" w:color="DEDBD3" w:sz="1"/>
            </w:tcBorders>
            <w:shd w:fill="E4EEF9" w:val="clear"/>
            <w:tcMar>
              <w:top w:type="dxa" w:w="100"/>
              <w:left w:type="dxa" w:w="160"/>
              <w:bottom w:type="dxa" w:w="0"/>
              <w:right w:type="dxa" w:w="160"/>
            </w:tcMar>
          </w:tcPr>
          <w:p>
            <w:pPr>
              <w:spacing w:after="0" w:before="0"/>
            </w:pPr>
            <w:r>
              <w:rPr>
                <w:rFonts w:ascii="Courier New" w:cs="Courier New" w:eastAsia="Courier New" w:hAnsi="Courier New"/>
                <w:b/>
                <w:bCs/>
                <w:color w:val="1455A0"/>
                <w:sz w:val="19"/>
                <w:szCs w:val="19"/>
              </w:rPr>
              <w:t xml:space="preserve">Exercise 04  ·  </w:t>
            </w:r>
            <w:r>
              <w:rPr>
                <w:rFonts w:ascii="Arial" w:cs="Arial" w:eastAsia="Arial" w:hAnsi="Arial"/>
                <w:b/>
                <w:bCs/>
                <w:color w:val="0B1629"/>
                <w:sz w:val="24"/>
                <w:szCs w:val="24"/>
              </w:rPr>
              <w:t xml:space="preserve">Closing Share-Back &amp; Q&amp;A</w:t>
            </w:r>
          </w:p>
        </w:tc>
      </w:tr>
      <w:tr>
        <w:tc>
          <w:tcPr>
            <w:tcW w:type="dxa" w:w="9360"/>
            <w:tcBorders>
              <w:top w:val="single" w:color="DEDBD3" w:sz="1"/>
              <w:left w:val="single" w:color="DEDBD3" w:sz="1"/>
              <w:bottom w:val="single" w:color="DEDBD3" w:sz="1"/>
              <w:right w:val="single" w:color="DEDBD3" w:sz="1"/>
            </w:tcBorders>
            <w:shd w:fill="FFFFFF" w:val="clear"/>
            <w:tcMar>
              <w:top w:type="dxa" w:w="100"/>
              <w:left w:type="dxa" w:w="160"/>
              <w:bottom w:type="dxa" w:w="100"/>
              <w:right w:type="dxa" w:w="160"/>
            </w:tcMar>
          </w:tcPr>
          <w:p>
            <w:pPr>
              <w:spacing w:after="80" w:before="0"/>
            </w:pPr>
            <w:r>
              <w:rPr>
                <w:rFonts w:ascii="Arial" w:cs="Arial" w:eastAsia="Arial" w:hAnsi="Arial"/>
                <w:color w:val="3A3A48"/>
                <w:sz w:val="21"/>
                <w:szCs w:val="21"/>
              </w:rPr>
              <w:t xml:space="preserve">Each table shares the single most useful discovery from their session. Open Q&amp;A for strategic, implementation, and data questions. Facilitator closes with the concrete next steps — pilot scope, integration timeline, and onboarding plan.</w:t>
            </w:r>
          </w:p>
          <w:p>
            <w:pPr>
              <w:spacing w:after="0" w:before="0"/>
            </w:pPr>
            <w:r>
              <w:rPr>
                <w:rFonts w:ascii="Courier New" w:cs="Courier New" w:eastAsia="Courier New" w:hAnsi="Courier New"/>
                <w:b/>
                <w:bCs/>
                <w:color w:val="0E7A70"/>
                <w:sz w:val="18"/>
                <w:szCs w:val="18"/>
              </w:rPr>
              <w:t xml:space="preserve">15 minutes · Plenary</w:t>
            </w:r>
          </w:p>
        </w:tc>
      </w:tr>
    </w:tbl>
    <w:p>
      <w:pPr>
        <w:spacing w:after="120" w:before="0"/>
      </w:pPr>
    </w:p>
    <w:p>
      <w:pPr>
        <w:pBdr>
          <w:bottom w:val="single" w:color="DEDBD3" w:sz="4" w:space="1"/>
        </w:pBdr>
        <w:spacing w:after="200" w:before="200"/>
      </w:pPr>
    </w:p>
    <w:p>
      <w:pPr>
        <w:spacing w:after="80" w:before="320"/>
      </w:pPr>
      <w:r>
        <w:rPr>
          <w:rFonts w:ascii="Arial" w:cs="Arial" w:eastAsia="Arial" w:hAnsi="Arial"/>
          <w:b/>
          <w:bCs/>
          <w:color w:val="0E7A70"/>
          <w:spacing w:val="60"/>
          <w:sz w:val="18"/>
          <w:szCs w:val="18"/>
        </w:rPr>
        <w:t xml:space="preserve">LOGISTICS &amp; REQUIREMENTS</w:t>
      </w:r>
    </w:p>
    <w:p>
      <w:pPr>
        <w:pStyle w:val="Heading1"/>
        <w:spacing w:after="160" w:before="80"/>
      </w:pPr>
      <w:r>
        <w:rPr>
          <w:rFonts w:ascii="Arial" w:cs="Arial" w:eastAsia="Arial" w:hAnsi="Arial"/>
          <w:b/>
          <w:bCs/>
          <w:color w:val="0B1629"/>
          <w:sz w:val="44"/>
          <w:szCs w:val="44"/>
        </w:rPr>
        <w:t xml:space="preserve">What PKSF needs to arrange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c>
          <w:tcPr>
            <w:tcW w:type="dxa" w:w="2200"/>
            <w:tcBorders>
              <w:top w:val="single" w:color="DEDBD3" w:sz="1"/>
              <w:left w:val="single" w:color="DEDBD3" w:sz="1"/>
              <w:bottom w:val="single" w:color="DEDBD3" w:sz="1"/>
              <w:right w:val="single" w:color="DEDBD3" w:sz="1"/>
            </w:tcBorders>
            <w:shd w:fill="0B1629" w:val="clear"/>
            <w:tcMar>
              <w:top w:type="dxa" w:w="100"/>
              <w:left w:type="dxa" w:w="140"/>
              <w:bottom w:type="dxa" w:w="100"/>
              <w:right w:type="dxa" w:w="100"/>
            </w:tcMar>
          </w:tcPr>
          <w:p>
            <w:r>
              <w:rPr>
                <w:rFonts w:ascii="Courier New" w:cs="Courier New" w:eastAsia="Courier New" w:hAnsi="Courier New"/>
                <w:b/>
                <w:bCs/>
                <w:color w:val="12A397"/>
                <w:spacing w:val="40"/>
                <w:sz w:val="17"/>
                <w:szCs w:val="17"/>
              </w:rPr>
              <w:t xml:space="preserve">ITEM</w:t>
            </w:r>
          </w:p>
        </w:tc>
        <w:tc>
          <w:tcPr>
            <w:tcW w:type="dxa" w:w="3700"/>
            <w:tcBorders>
              <w:top w:val="single" w:color="DEDBD3" w:sz="1"/>
              <w:left w:val="single" w:color="DEDBD3" w:sz="1"/>
              <w:bottom w:val="single" w:color="DEDBD3" w:sz="1"/>
              <w:right w:val="single" w:color="DEDBD3" w:sz="1"/>
            </w:tcBorders>
            <w:shd w:fill="0B1629" w:val="clear"/>
            <w:tcMar>
              <w:top w:type="dxa" w:w="100"/>
              <w:left w:type="dxa" w:w="140"/>
              <w:bottom w:type="dxa" w:w="100"/>
              <w:right w:type="dxa" w:w="100"/>
            </w:tcMar>
          </w:tcPr>
          <w:p>
            <w:r>
              <w:rPr>
                <w:rFonts w:ascii="Courier New" w:cs="Courier New" w:eastAsia="Courier New" w:hAnsi="Courier New"/>
                <w:b/>
                <w:bCs/>
                <w:color w:val="12A397"/>
                <w:spacing w:val="40"/>
                <w:sz w:val="17"/>
                <w:szCs w:val="17"/>
              </w:rPr>
              <w:t xml:space="preserve">REQUIREMENT</w:t>
            </w:r>
          </w:p>
        </w:tc>
        <w:tc>
          <w:tcPr>
            <w:tcW w:type="dxa" w:w="3460"/>
            <w:tcBorders>
              <w:top w:val="single" w:color="DEDBD3" w:sz="1"/>
              <w:left w:val="single" w:color="DEDBD3" w:sz="1"/>
              <w:bottom w:val="single" w:color="DEDBD3" w:sz="1"/>
              <w:right w:val="single" w:color="DEDBD3" w:sz="1"/>
            </w:tcBorders>
            <w:shd w:fill="0B1629" w:val="clear"/>
            <w:tcMar>
              <w:top w:type="dxa" w:w="100"/>
              <w:left w:type="dxa" w:w="140"/>
              <w:bottom w:type="dxa" w:w="100"/>
              <w:right w:type="dxa" w:w="100"/>
            </w:tcMar>
          </w:tcPr>
          <w:p>
            <w:r>
              <w:rPr>
                <w:rFonts w:ascii="Courier New" w:cs="Courier New" w:eastAsia="Courier New" w:hAnsi="Courier New"/>
                <w:b/>
                <w:bCs/>
                <w:color w:val="12A397"/>
                <w:spacing w:val="40"/>
                <w:sz w:val="17"/>
                <w:szCs w:val="17"/>
              </w:rPr>
              <w:t xml:space="preserve">NOTES</w:t>
            </w:r>
          </w:p>
        </w:tc>
      </w:tr>
      <w:tr>
        <w:tc>
          <w:tcPr>
            <w:tcW w:type="dxa" w:w="2200"/>
            <w:tcBorders>
              <w:top w:val="single" w:color="DEDBD3" w:sz="1"/>
              <w:left w:val="single" w:color="DEDBD3" w:sz="1"/>
              <w:bottom w:val="single" w:color="DEDBD3" w:sz="1"/>
              <w:right w:val="single" w:color="DEDBD3" w:sz="1"/>
            </w:tcBorders>
            <w:shd w:fill="F5F4F0" w:val="clear"/>
            <w:tcMar>
              <w:top w:type="dxa" w:w="80"/>
              <w:left w:type="dxa" w:w="140"/>
              <w:bottom w:type="dxa" w:w="80"/>
              <w:right w:type="dxa" w:w="100"/>
            </w:tcMar>
          </w:tcPr>
          <w:p>
            <w:r>
              <w:rPr>
                <w:rFonts w:ascii="Arial" w:cs="Arial" w:eastAsia="Arial" w:hAnsi="Arial"/>
                <w:b/>
                <w:bCs/>
                <w:color w:val="0E7A70"/>
                <w:sz w:val="20"/>
                <w:szCs w:val="20"/>
              </w:rPr>
              <w:t xml:space="preserve">Venue</w:t>
            </w:r>
          </w:p>
        </w:tc>
        <w:tc>
          <w:tcPr>
            <w:tcW w:type="dxa" w:w="3700"/>
            <w:tcBorders>
              <w:top w:val="single" w:color="DEDBD3" w:sz="1"/>
              <w:left w:val="single" w:color="DEDBD3" w:sz="1"/>
              <w:bottom w:val="single" w:color="DEDBD3" w:sz="1"/>
              <w:right w:val="single" w:color="DEDBD3" w:sz="1"/>
            </w:tcBorders>
            <w:shd w:fill="F5F4F0" w:val="clear"/>
            <w:tcMar>
              <w:top w:type="dxa" w:w="80"/>
              <w:left w:type="dxa" w:w="140"/>
              <w:bottom w:type="dxa" w:w="80"/>
              <w:right w:type="dxa" w:w="100"/>
            </w:tcMar>
          </w:tcPr>
          <w:p>
            <w:r>
              <w:rPr>
                <w:rFonts w:ascii="Arial" w:cs="Arial" w:eastAsia="Arial" w:hAnsi="Arial"/>
                <w:b/>
                <w:bCs/>
                <w:color w:val="0B1629"/>
                <w:sz w:val="20"/>
                <w:szCs w:val="20"/>
              </w:rPr>
              <w:t xml:space="preserve">Conference room or auditorium</w:t>
            </w:r>
          </w:p>
        </w:tc>
        <w:tc>
          <w:tcPr>
            <w:tcW w:type="dxa" w:w="3460"/>
            <w:tcBorders>
              <w:top w:val="single" w:color="DEDBD3" w:sz="1"/>
              <w:left w:val="single" w:color="DEDBD3" w:sz="1"/>
              <w:bottom w:val="single" w:color="DEDBD3" w:sz="1"/>
              <w:right w:val="single" w:color="DEDBD3" w:sz="1"/>
            </w:tcBorders>
            <w:shd w:fill="F5F4F0" w:val="clear"/>
            <w:tcMar>
              <w:top w:type="dxa" w:w="80"/>
              <w:left w:type="dxa" w:w="140"/>
              <w:bottom w:type="dxa" w:w="80"/>
              <w:right w:type="dxa" w:w="100"/>
            </w:tcMar>
          </w:tcPr>
          <w:p>
            <w:r>
              <w:rPr>
                <w:rFonts w:ascii="Arial" w:cs="Arial" w:eastAsia="Arial" w:hAnsi="Arial"/>
                <w:color w:val="7A7A88"/>
                <w:sz w:val="19"/>
                <w:szCs w:val="19"/>
              </w:rPr>
              <w:t xml:space="preserve">Capacity for 40 participants, seated at tables of 4–5</w:t>
            </w:r>
          </w:p>
        </w:tc>
      </w:tr>
      <w:tr>
        <w:tc>
          <w:tcPr>
            <w:tcW w:type="dxa" w:w="2200"/>
            <w:tcBorders>
              <w:top w:val="single" w:color="DEDBD3" w:sz="1"/>
              <w:left w:val="single" w:color="DEDBD3" w:sz="1"/>
              <w:bottom w:val="single" w:color="DEDBD3" w:sz="1"/>
              <w:right w:val="single" w:color="DEDBD3" w:sz="1"/>
            </w:tcBorders>
            <w:shd w:fill="FFFFFF" w:val="clear"/>
            <w:tcMar>
              <w:top w:type="dxa" w:w="80"/>
              <w:left w:type="dxa" w:w="140"/>
              <w:bottom w:type="dxa" w:w="80"/>
              <w:right w:type="dxa" w:w="100"/>
            </w:tcMar>
          </w:tcPr>
          <w:p>
            <w:r>
              <w:rPr>
                <w:rFonts w:ascii="Arial" w:cs="Arial" w:eastAsia="Arial" w:hAnsi="Arial"/>
                <w:b/>
                <w:bCs/>
                <w:color w:val="0E7A70"/>
                <w:sz w:val="20"/>
                <w:szCs w:val="20"/>
              </w:rPr>
              <w:t xml:space="preserve">Projection</w:t>
            </w:r>
          </w:p>
        </w:tc>
        <w:tc>
          <w:tcPr>
            <w:tcW w:type="dxa" w:w="3700"/>
            <w:tcBorders>
              <w:top w:val="single" w:color="DEDBD3" w:sz="1"/>
              <w:left w:val="single" w:color="DEDBD3" w:sz="1"/>
              <w:bottom w:val="single" w:color="DEDBD3" w:sz="1"/>
              <w:right w:val="single" w:color="DEDBD3" w:sz="1"/>
            </w:tcBorders>
            <w:shd w:fill="FFFFFF" w:val="clear"/>
            <w:tcMar>
              <w:top w:type="dxa" w:w="80"/>
              <w:left w:type="dxa" w:w="140"/>
              <w:bottom w:type="dxa" w:w="80"/>
              <w:right w:type="dxa" w:w="100"/>
            </w:tcMar>
          </w:tcPr>
          <w:p>
            <w:r>
              <w:rPr>
                <w:rFonts w:ascii="Arial" w:cs="Arial" w:eastAsia="Arial" w:hAnsi="Arial"/>
                <w:b/>
                <w:bCs/>
                <w:color w:val="0B1629"/>
                <w:sz w:val="20"/>
                <w:szCs w:val="20"/>
              </w:rPr>
              <w:t xml:space="preserve">Main screen + facilitator laptop</w:t>
            </w:r>
          </w:p>
        </w:tc>
        <w:tc>
          <w:tcPr>
            <w:tcW w:type="dxa" w:w="3460"/>
            <w:tcBorders>
              <w:top w:val="single" w:color="DEDBD3" w:sz="1"/>
              <w:left w:val="single" w:color="DEDBD3" w:sz="1"/>
              <w:bottom w:val="single" w:color="DEDBD3" w:sz="1"/>
              <w:right w:val="single" w:color="DEDBD3" w:sz="1"/>
            </w:tcBorders>
            <w:shd w:fill="FFFFFF" w:val="clear"/>
            <w:tcMar>
              <w:top w:type="dxa" w:w="80"/>
              <w:left w:type="dxa" w:w="140"/>
              <w:bottom w:type="dxa" w:w="80"/>
              <w:right w:type="dxa" w:w="100"/>
            </w:tcMar>
          </w:tcPr>
          <w:p>
            <w:r>
              <w:rPr>
                <w:rFonts w:ascii="Arial" w:cs="Arial" w:eastAsia="Arial" w:hAnsi="Arial"/>
                <w:color w:val="7A7A88"/>
                <w:sz w:val="19"/>
                <w:szCs w:val="19"/>
              </w:rPr>
              <w:t xml:space="preserve">HDMI connection, visible from all seats</w:t>
            </w:r>
          </w:p>
        </w:tc>
      </w:tr>
      <w:tr>
        <w:tc>
          <w:tcPr>
            <w:tcW w:type="dxa" w:w="2200"/>
            <w:tcBorders>
              <w:top w:val="single" w:color="DEDBD3" w:sz="1"/>
              <w:left w:val="single" w:color="DEDBD3" w:sz="1"/>
              <w:bottom w:val="single" w:color="DEDBD3" w:sz="1"/>
              <w:right w:val="single" w:color="DEDBD3" w:sz="1"/>
            </w:tcBorders>
            <w:shd w:fill="F5F4F0" w:val="clear"/>
            <w:tcMar>
              <w:top w:type="dxa" w:w="80"/>
              <w:left w:type="dxa" w:w="140"/>
              <w:bottom w:type="dxa" w:w="80"/>
              <w:right w:type="dxa" w:w="100"/>
            </w:tcMar>
          </w:tcPr>
          <w:p>
            <w:r>
              <w:rPr>
                <w:rFonts w:ascii="Arial" w:cs="Arial" w:eastAsia="Arial" w:hAnsi="Arial"/>
                <w:b/>
                <w:bCs/>
                <w:color w:val="0E7A70"/>
                <w:sz w:val="20"/>
                <w:szCs w:val="20"/>
              </w:rPr>
              <w:t xml:space="preserve">Devices</w:t>
            </w:r>
          </w:p>
        </w:tc>
        <w:tc>
          <w:tcPr>
            <w:tcW w:type="dxa" w:w="3700"/>
            <w:tcBorders>
              <w:top w:val="single" w:color="DEDBD3" w:sz="1"/>
              <w:left w:val="single" w:color="DEDBD3" w:sz="1"/>
              <w:bottom w:val="single" w:color="DEDBD3" w:sz="1"/>
              <w:right w:val="single" w:color="DEDBD3" w:sz="1"/>
            </w:tcBorders>
            <w:shd w:fill="F5F4F0" w:val="clear"/>
            <w:tcMar>
              <w:top w:type="dxa" w:w="80"/>
              <w:left w:type="dxa" w:w="140"/>
              <w:bottom w:type="dxa" w:w="80"/>
              <w:right w:type="dxa" w:w="100"/>
            </w:tcMar>
          </w:tcPr>
          <w:p>
            <w:r>
              <w:rPr>
                <w:rFonts w:ascii="Arial" w:cs="Arial" w:eastAsia="Arial" w:hAnsi="Arial"/>
                <w:b/>
                <w:bCs/>
                <w:color w:val="0B1629"/>
                <w:sz w:val="20"/>
                <w:szCs w:val="20"/>
              </w:rPr>
              <w:t xml:space="preserve">1 laptop or tablet per participant</w:t>
            </w:r>
          </w:p>
        </w:tc>
        <w:tc>
          <w:tcPr>
            <w:tcW w:type="dxa" w:w="3460"/>
            <w:tcBorders>
              <w:top w:val="single" w:color="DEDBD3" w:sz="1"/>
              <w:left w:val="single" w:color="DEDBD3" w:sz="1"/>
              <w:bottom w:val="single" w:color="DEDBD3" w:sz="1"/>
              <w:right w:val="single" w:color="DEDBD3" w:sz="1"/>
            </w:tcBorders>
            <w:shd w:fill="F5F4F0" w:val="clear"/>
            <w:tcMar>
              <w:top w:type="dxa" w:w="80"/>
              <w:left w:type="dxa" w:w="140"/>
              <w:bottom w:type="dxa" w:w="80"/>
              <w:right w:type="dxa" w:w="100"/>
            </w:tcMar>
          </w:tcPr>
          <w:p>
            <w:r>
              <w:rPr>
                <w:rFonts w:ascii="Arial" w:cs="Arial" w:eastAsia="Arial" w:hAnsi="Arial"/>
                <w:color w:val="7A7A88"/>
                <w:sz w:val="19"/>
                <w:szCs w:val="19"/>
              </w:rPr>
              <w:t xml:space="preserve">Browser-based — no software installation required</w:t>
            </w:r>
          </w:p>
        </w:tc>
      </w:tr>
      <w:tr>
        <w:tc>
          <w:tcPr>
            <w:tcW w:type="dxa" w:w="2200"/>
            <w:tcBorders>
              <w:top w:val="single" w:color="DEDBD3" w:sz="1"/>
              <w:left w:val="single" w:color="DEDBD3" w:sz="1"/>
              <w:bottom w:val="single" w:color="DEDBD3" w:sz="1"/>
              <w:right w:val="single" w:color="DEDBD3" w:sz="1"/>
            </w:tcBorders>
            <w:shd w:fill="FFFFFF" w:val="clear"/>
            <w:tcMar>
              <w:top w:type="dxa" w:w="80"/>
              <w:left w:type="dxa" w:w="140"/>
              <w:bottom w:type="dxa" w:w="80"/>
              <w:right w:type="dxa" w:w="100"/>
            </w:tcMar>
          </w:tcPr>
          <w:p>
            <w:r>
              <w:rPr>
                <w:rFonts w:ascii="Arial" w:cs="Arial" w:eastAsia="Arial" w:hAnsi="Arial"/>
                <w:b/>
                <w:bCs/>
                <w:color w:val="0E7A70"/>
                <w:sz w:val="20"/>
                <w:szCs w:val="20"/>
              </w:rPr>
              <w:t xml:space="preserve">Internet</w:t>
            </w:r>
          </w:p>
        </w:tc>
        <w:tc>
          <w:tcPr>
            <w:tcW w:type="dxa" w:w="3700"/>
            <w:tcBorders>
              <w:top w:val="single" w:color="DEDBD3" w:sz="1"/>
              <w:left w:val="single" w:color="DEDBD3" w:sz="1"/>
              <w:bottom w:val="single" w:color="DEDBD3" w:sz="1"/>
              <w:right w:val="single" w:color="DEDBD3" w:sz="1"/>
            </w:tcBorders>
            <w:shd w:fill="FFFFFF" w:val="clear"/>
            <w:tcMar>
              <w:top w:type="dxa" w:w="80"/>
              <w:left w:type="dxa" w:w="140"/>
              <w:bottom w:type="dxa" w:w="80"/>
              <w:right w:type="dxa" w:w="100"/>
            </w:tcMar>
          </w:tcPr>
          <w:p>
            <w:r>
              <w:rPr>
                <w:rFonts w:ascii="Arial" w:cs="Arial" w:eastAsia="Arial" w:hAnsi="Arial"/>
                <w:b/>
                <w:bCs/>
                <w:color w:val="0B1629"/>
                <w:sz w:val="20"/>
                <w:szCs w:val="20"/>
              </w:rPr>
              <w:t xml:space="preserve">Stable WiFi for all 40 participants</w:t>
            </w:r>
          </w:p>
        </w:tc>
        <w:tc>
          <w:tcPr>
            <w:tcW w:type="dxa" w:w="3460"/>
            <w:tcBorders>
              <w:top w:val="single" w:color="DEDBD3" w:sz="1"/>
              <w:left w:val="single" w:color="DEDBD3" w:sz="1"/>
              <w:bottom w:val="single" w:color="DEDBD3" w:sz="1"/>
              <w:right w:val="single" w:color="DEDBD3" w:sz="1"/>
            </w:tcBorders>
            <w:shd w:fill="FFFFFF" w:val="clear"/>
            <w:tcMar>
              <w:top w:type="dxa" w:w="80"/>
              <w:left w:type="dxa" w:w="140"/>
              <w:bottom w:type="dxa" w:w="80"/>
              <w:right w:type="dxa" w:w="100"/>
            </w:tcMar>
          </w:tcPr>
          <w:p>
            <w:r>
              <w:rPr>
                <w:rFonts w:ascii="Arial" w:cs="Arial" w:eastAsia="Arial" w:hAnsi="Arial"/>
                <w:color w:val="7A7A88"/>
                <w:sz w:val="19"/>
                <w:szCs w:val="19"/>
              </w:rPr>
              <w:t xml:space="preserve">Minimum 10 Mbps upload recommended</w:t>
            </w:r>
          </w:p>
        </w:tc>
      </w:tr>
      <w:tr>
        <w:tc>
          <w:tcPr>
            <w:tcW w:type="dxa" w:w="2200"/>
            <w:tcBorders>
              <w:top w:val="single" w:color="DEDBD3" w:sz="1"/>
              <w:left w:val="single" w:color="DEDBD3" w:sz="1"/>
              <w:bottom w:val="single" w:color="DEDBD3" w:sz="1"/>
              <w:right w:val="single" w:color="DEDBD3" w:sz="1"/>
            </w:tcBorders>
            <w:shd w:fill="F5F4F0" w:val="clear"/>
            <w:tcMar>
              <w:top w:type="dxa" w:w="80"/>
              <w:left w:type="dxa" w:w="140"/>
              <w:bottom w:type="dxa" w:w="80"/>
              <w:right w:type="dxa" w:w="100"/>
            </w:tcMar>
          </w:tcPr>
          <w:p>
            <w:r>
              <w:rPr>
                <w:rFonts w:ascii="Arial" w:cs="Arial" w:eastAsia="Arial" w:hAnsi="Arial"/>
                <w:b/>
                <w:bCs/>
                <w:color w:val="0E7A70"/>
                <w:sz w:val="20"/>
                <w:szCs w:val="20"/>
              </w:rPr>
              <w:t xml:space="preserve">Login Credentials</w:t>
            </w:r>
          </w:p>
        </w:tc>
        <w:tc>
          <w:tcPr>
            <w:tcW w:type="dxa" w:w="3700"/>
            <w:tcBorders>
              <w:top w:val="single" w:color="DEDBD3" w:sz="1"/>
              <w:left w:val="single" w:color="DEDBD3" w:sz="1"/>
              <w:bottom w:val="single" w:color="DEDBD3" w:sz="1"/>
              <w:right w:val="single" w:color="DEDBD3" w:sz="1"/>
            </w:tcBorders>
            <w:shd w:fill="F5F4F0" w:val="clear"/>
            <w:tcMar>
              <w:top w:type="dxa" w:w="80"/>
              <w:left w:type="dxa" w:w="140"/>
              <w:bottom w:type="dxa" w:w="80"/>
              <w:right w:type="dxa" w:w="100"/>
            </w:tcMar>
          </w:tcPr>
          <w:p>
            <w:r>
              <w:rPr>
                <w:rFonts w:ascii="Arial" w:cs="Arial" w:eastAsia="Arial" w:hAnsi="Arial"/>
                <w:b/>
                <w:bCs/>
                <w:color w:val="0B1629"/>
                <w:sz w:val="20"/>
                <w:szCs w:val="20"/>
              </w:rPr>
              <w:t xml:space="preserve">40 pre-created accounts</w:t>
            </w:r>
          </w:p>
        </w:tc>
        <w:tc>
          <w:tcPr>
            <w:tcW w:type="dxa" w:w="3460"/>
            <w:tcBorders>
              <w:top w:val="single" w:color="DEDBD3" w:sz="1"/>
              <w:left w:val="single" w:color="DEDBD3" w:sz="1"/>
              <w:bottom w:val="single" w:color="DEDBD3" w:sz="1"/>
              <w:right w:val="single" w:color="DEDBD3" w:sz="1"/>
            </w:tcBorders>
            <w:shd w:fill="F5F4F0" w:val="clear"/>
            <w:tcMar>
              <w:top w:type="dxa" w:w="80"/>
              <w:left w:type="dxa" w:w="140"/>
              <w:bottom w:type="dxa" w:w="80"/>
              <w:right w:type="dxa" w:w="100"/>
            </w:tcMar>
          </w:tcPr>
          <w:p>
            <w:r>
              <w:rPr>
                <w:rFonts w:ascii="Arial" w:cs="Arial" w:eastAsia="Arial" w:hAnsi="Arial"/>
                <w:color w:val="7A7A88"/>
                <w:sz w:val="19"/>
                <w:szCs w:val="19"/>
              </w:rPr>
              <w:t xml:space="preserve">Provided by Velondra 1 week before the session</w:t>
            </w:r>
          </w:p>
        </w:tc>
      </w:tr>
      <w:tr>
        <w:tc>
          <w:tcPr>
            <w:tcW w:type="dxa" w:w="2200"/>
            <w:tcBorders>
              <w:top w:val="single" w:color="DEDBD3" w:sz="1"/>
              <w:left w:val="single" w:color="DEDBD3" w:sz="1"/>
              <w:bottom w:val="single" w:color="DEDBD3" w:sz="1"/>
              <w:right w:val="single" w:color="DEDBD3" w:sz="1"/>
            </w:tcBorders>
            <w:shd w:fill="FFFFFF" w:val="clear"/>
            <w:tcMar>
              <w:top w:type="dxa" w:w="80"/>
              <w:left w:type="dxa" w:w="140"/>
              <w:bottom w:type="dxa" w:w="80"/>
              <w:right w:type="dxa" w:w="100"/>
            </w:tcMar>
          </w:tcPr>
          <w:p>
            <w:r>
              <w:rPr>
                <w:rFonts w:ascii="Arial" w:cs="Arial" w:eastAsia="Arial" w:hAnsi="Arial"/>
                <w:b/>
                <w:bCs/>
                <w:color w:val="0E7A70"/>
                <w:sz w:val="20"/>
                <w:szCs w:val="20"/>
              </w:rPr>
              <w:t xml:space="preserve">Data Environment</w:t>
            </w:r>
          </w:p>
        </w:tc>
        <w:tc>
          <w:tcPr>
            <w:tcW w:type="dxa" w:w="3700"/>
            <w:tcBorders>
              <w:top w:val="single" w:color="DEDBD3" w:sz="1"/>
              <w:left w:val="single" w:color="DEDBD3" w:sz="1"/>
              <w:bottom w:val="single" w:color="DEDBD3" w:sz="1"/>
              <w:right w:val="single" w:color="DEDBD3" w:sz="1"/>
            </w:tcBorders>
            <w:shd w:fill="FFFFFF" w:val="clear"/>
            <w:tcMar>
              <w:top w:type="dxa" w:w="80"/>
              <w:left w:type="dxa" w:w="140"/>
              <w:bottom w:type="dxa" w:w="80"/>
              <w:right w:type="dxa" w:w="100"/>
            </w:tcMar>
          </w:tcPr>
          <w:p>
            <w:r>
              <w:rPr>
                <w:rFonts w:ascii="Arial" w:cs="Arial" w:eastAsia="Arial" w:hAnsi="Arial"/>
                <w:b/>
                <w:bCs/>
                <w:color w:val="0B1629"/>
                <w:sz w:val="20"/>
                <w:szCs w:val="20"/>
              </w:rPr>
              <w:t xml:space="preserve">Demo dataset pre-loaded</w:t>
            </w:r>
          </w:p>
        </w:tc>
        <w:tc>
          <w:tcPr>
            <w:tcW w:type="dxa" w:w="3460"/>
            <w:tcBorders>
              <w:top w:val="single" w:color="DEDBD3" w:sz="1"/>
              <w:left w:val="single" w:color="DEDBD3" w:sz="1"/>
              <w:bottom w:val="single" w:color="DEDBD3" w:sz="1"/>
              <w:right w:val="single" w:color="DEDBD3" w:sz="1"/>
            </w:tcBorders>
            <w:shd w:fill="FFFFFF" w:val="clear"/>
            <w:tcMar>
              <w:top w:type="dxa" w:w="80"/>
              <w:left w:type="dxa" w:w="140"/>
              <w:bottom w:type="dxa" w:w="80"/>
              <w:right w:type="dxa" w:w="100"/>
            </w:tcMar>
          </w:tcPr>
          <w:p>
            <w:r>
              <w:rPr>
                <w:rFonts w:ascii="Arial" w:cs="Arial" w:eastAsia="Arial" w:hAnsi="Arial"/>
                <w:color w:val="7A7A88"/>
                <w:sz w:val="19"/>
                <w:szCs w:val="19"/>
              </w:rPr>
              <w:t xml:space="preserve">PKSF-aligned sample data prepared for the session</w:t>
            </w:r>
          </w:p>
        </w:tc>
      </w:tr>
    </w:tbl>
    <w:p>
      <w:pPr>
        <w:pBdr>
          <w:bottom w:val="single" w:color="DEDBD3" w:sz="4" w:space="1"/>
        </w:pBdr>
        <w:spacing w:after="200" w:before="200"/>
      </w:pPr>
    </w:p>
    <w:p>
      <w:pPr>
        <w:spacing w:after="80" w:before="320"/>
      </w:pPr>
      <w:r>
        <w:rPr>
          <w:rFonts w:ascii="Arial" w:cs="Arial" w:eastAsia="Arial" w:hAnsi="Arial"/>
          <w:b/>
          <w:bCs/>
          <w:color w:val="0E7A70"/>
          <w:spacing w:val="60"/>
          <w:sz w:val="18"/>
          <w:szCs w:val="18"/>
        </w:rPr>
        <w:t xml:space="preserve">SESSION FACILITATOR</w:t>
      </w:r>
    </w:p>
    <w:p>
      <w:pPr>
        <w:pStyle w:val="Heading1"/>
        <w:spacing w:after="160" w:before="80"/>
      </w:pPr>
      <w:r>
        <w:rPr>
          <w:rFonts w:ascii="Arial" w:cs="Arial" w:eastAsia="Arial" w:hAnsi="Arial"/>
          <w:b/>
          <w:bCs/>
          <w:color w:val="0B1629"/>
          <w:sz w:val="44"/>
          <w:szCs w:val="44"/>
        </w:rPr>
        <w:t xml:space="preserve">Who is conducting the session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DEDBD3" w:sz="1"/>
              <w:left w:val="single" w:color="DEDBD3" w:sz="1"/>
              <w:bottom w:val="single" w:color="DEDBD3" w:sz="1"/>
              <w:right w:val="single" w:color="DEDBD3" w:sz="1"/>
            </w:tcBorders>
            <w:shd w:fill="0B1629" w:val="clear"/>
            <w:tcMar>
              <w:top w:type="dxa" w:w="120"/>
              <w:left w:type="dxa" w:w="100"/>
              <w:bottom w:type="dxa" w:w="120"/>
              <w:right w:type="dxa" w:w="100"/>
            </w:tcMar>
            <w:vAlign w:val="center"/>
          </w:tcPr>
          <w:p>
            <w:pPr>
              <w:jc w:val="center"/>
            </w:pPr>
            <w:r>
              <w:rPr>
                <w:rFonts w:ascii="Courier New" w:cs="Courier New" w:eastAsia="Courier New" w:hAnsi="Courier New"/>
                <w:b/>
                <w:bCs/>
                <w:color w:val="12A397"/>
                <w:sz w:val="36"/>
                <w:szCs w:val="36"/>
              </w:rPr>
              <w:t xml:space="preserve">AH</w:t>
            </w:r>
          </w:p>
        </w:tc>
        <w:tc>
          <w:tcPr>
            <w:tcW w:type="dxa" w:w="8280"/>
            <w:tcBorders>
              <w:top w:val="single" w:color="DEDBD3" w:sz="1"/>
              <w:left w:val="single" w:color="DEDBD3" w:sz="1"/>
              <w:bottom w:val="single" w:color="DEDBD3" w:sz="1"/>
              <w:right w:val="single" w:color="DEDBD3" w:sz="1"/>
            </w:tcBorders>
            <w:shd w:fill="F5F4F0" w:val="clear"/>
            <w:tcMar>
              <w:top w:type="dxa" w:w="120"/>
              <w:left w:type="dxa" w:w="160"/>
              <w:bottom w:type="dxa" w:w="120"/>
              <w:right w:type="dxa" w:w="160"/>
            </w:tcMar>
          </w:tcPr>
          <w:p>
            <w:pPr>
              <w:spacing w:after="60" w:before="0"/>
            </w:pPr>
            <w:r>
              <w:rPr>
                <w:rFonts w:ascii="Arial" w:cs="Arial" w:eastAsia="Arial" w:hAnsi="Arial"/>
                <w:b/>
                <w:bCs/>
                <w:color w:val="0B1629"/>
                <w:sz w:val="32"/>
                <w:szCs w:val="32"/>
              </w:rPr>
              <w:t xml:space="preserve">Asif Hasan</w:t>
            </w:r>
          </w:p>
          <w:p>
            <w:pPr>
              <w:spacing w:after="100" w:before="0"/>
            </w:pPr>
            <w:r>
              <w:rPr>
                <w:rFonts w:ascii="Arial" w:cs="Arial" w:eastAsia="Arial" w:hAnsi="Arial"/>
                <w:color w:val="7A7A88"/>
                <w:sz w:val="20"/>
                <w:szCs w:val="20"/>
              </w:rPr>
              <w:t xml:space="preserve">AI, Tech &amp; Management Consultant  ·  Founder &amp; CEO, Antarious AI  ·  Velondra Group</w:t>
            </w:r>
          </w:p>
          <w:p>
            <w:pPr>
              <w:spacing w:after="0" w:before="0"/>
            </w:pPr>
            <w:r>
              <w:rPr>
                <w:rFonts w:ascii="Courier New" w:cs="Courier New" w:eastAsia="Courier New" w:hAnsi="Courier New"/>
                <w:b/>
                <w:bCs/>
                <w:color w:val="0E7A70"/>
                <w:sz w:val="18"/>
                <w:szCs w:val="18"/>
              </w:rPr>
              <w:t xml:space="preserve">Agentic AI Systems  ·  AI Product Development  ·  Development Sector Technology  ·  Microfinance Operations  ·  Executive Training</w:t>
            </w:r>
          </w:p>
        </w:tc>
      </w:tr>
    </w:tbl>
    <w:p>
      <w:pPr>
        <w:spacing w:after="160" w:before="0"/>
      </w:pPr>
    </w:p>
    <w:p>
      <w:pPr>
        <w:pBdr>
          <w:top w:val="single" w:color="DEDBD3" w:sz="4" w:space="1"/>
        </w:pBdr>
        <w:spacing w:after="0" w:before="200"/>
        <w:jc w:val="center"/>
      </w:pPr>
      <w:r>
        <w:rPr>
          <w:rFonts w:ascii="Courier New" w:cs="Courier New" w:eastAsia="Courier New" w:hAnsi="Courier New"/>
          <w:color w:val="7A7A88"/>
          <w:sz w:val="17"/>
          <w:szCs w:val="17"/>
        </w:rPr>
        <w:t xml:space="preserve">Asif Hasan  ·  +880 1832 311 826  ·  Antarious AI  ·  Velondra Group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BD3" w:sz="4" w:space="1"/>
      </w:pBdr>
      <w:spacing w:before="0"/>
    </w:pPr>
    <w:r>
      <w:rPr>
        <w:rFonts w:ascii="Courier New" w:cs="Courier New" w:eastAsia="Courier New" w:hAnsi="Courier New"/>
        <w:color w:val="7A7A88"/>
        <w:sz w:val="16"/>
        <w:szCs w:val="16"/>
      </w:rPr>
      <w:t xml:space="preserve">Antarious AI · Velondra Group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BD3" w:sz="4" w:space="1"/>
      </w:pBdr>
      <w:spacing w:after="0"/>
    </w:pPr>
    <w:r>
      <w:rPr>
        <w:rFonts w:ascii="Courier New" w:cs="Courier New" w:eastAsia="Courier New" w:hAnsi="Courier New"/>
        <w:b/>
        <w:bCs/>
        <w:color w:val="12A397"/>
        <w:spacing w:val="60"/>
        <w:sz w:val="16"/>
        <w:szCs w:val="16"/>
      </w:rPr>
      <w:t xml:space="preserve">AGENTIC AI WORKSHOP — PKSF</w:t>
    </w:r>
    <w:r>
      <w:rPr>
        <w:rFonts w:ascii="Courier New" w:cs="Courier New" w:eastAsia="Courier New" w:hAnsi="Courier New"/>
        <w:color w:val="7A7A88"/>
        <w:sz w:val="16"/>
        <w:szCs w:val="16"/>
      </w:rPr>
      <w:t xml:space="preserve">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1629"/>
      <w:sz w:val="44"/>
      <w:szCs w:val="44"/>
    </w:rPr>
  </w:style>
  <w:style w:type="paragraph" w:styleId="Heading2">
    <w:name w:val="Heading 2"/>
    <w:basedOn w:val="Normal"/>
    <w:next w:val="Normal"/>
    <w:qFormat/>
    <w:pPr>
      <w:spacing w:after="100" w:before="240"/>
      <w:outlineLvl w:val="1"/>
    </w:pPr>
    <w:rPr>
      <w:rFonts w:ascii="Arial" w:cs="Arial" w:eastAsia="Arial" w:hAnsi="Arial"/>
      <w:b/>
      <w:bCs/>
      <w:color w:val="0B162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2026-05-02T15:33:02.085Z</dcterms:created>
  <dcterms:modified xsi:type="dcterms:W3CDTF">2026-05-02T15:33:02.087Z</dcterms:modified>
</cp:coreProperties>
</file>

<file path=docProps/custom.xml><?xml version="1.0" encoding="utf-8"?>
<Properties xmlns="http://schemas.openxmlformats.org/officeDocument/2006/custom-properties" xmlns:vt="http://schemas.openxmlformats.org/officeDocument/2006/docPropsVTypes"/>
</file>