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(5549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then </w:t>
      </w:r>
      <w:r>
        <w:rPr>
          <w:rFonts w:ascii="Courier New" w:eastAsia="Courier New" w:hAnsi="Courier New" w:cs="Courier New"/>
          <w:lang w:val="en-GB"/>
        </w:rPr>
        <w:t xml:space="preserve">OF RETROCOMPUTING !</w:t>
      </w:r>
      <w:r>
        <w:rPr>
          <w:lang w:val="en-GB"/>
        </w:rPr>
        <w:t xml:space="preserve"> while it plays the opening of J.S. Bach’s Toccata in D minor,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 Your losses follow; these screens change by themselves, about 1.5 seconds each. The CC also takes some of your gold and retro stuff: </w:t>
      </w:r>
      <w:r>
        <w:rPr>
          <w:rFonts w:ascii="Courier New" w:eastAsia="Courier New" w:hAnsi="Courier New" w:cs="Courier New"/>
          <w:lang w:val="en-GB"/>
        </w:rPr>
        <w:t xml:space="preserve">LOST g GOLD, r RETRO</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