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line="276" w:lineRule="auto"/>
      </w:pPr>
      <w:r>
        <w:rPr>
          <w:rFonts w:ascii="Arial" w:hAnsi="Arial"/>
          <w:b/>
          <w:i w:val="0"/>
          <w:color w:val="1A365D"/>
          <w:sz w:val="48"/>
        </w:rPr>
        <w:t>Competitive Intelligence &amp; Gap Analysis</w:t>
      </w:r>
    </w:p>
    <w:p>
      <w:pPr>
        <w:spacing w:before="0" w:after="480" w:line="276" w:lineRule="auto"/>
      </w:pPr>
      <w:r>
        <w:rPr>
          <w:rFonts w:ascii="Arial" w:hAnsi="Arial"/>
          <w:b/>
          <w:i w:val="0"/>
          <w:color w:val="2B6CB0"/>
          <w:sz w:val="28"/>
        </w:rPr>
        <w:t>Internal Product Roadmap Supplement  —  May 2026</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bottom w:val="none"/>
              <w:left w:val="single" w:sz="36" w:space="0" w:color="1A365D"/>
              <w:right w:val="none"/>
            </w:tcBorders>
            <w:tcMar>
              <w:top w:w="140" w:type="dxa"/>
              <w:bottom w:w="140" w:type="dxa"/>
              <w:left w:w="200" w:type="dxa"/>
              <w:right w:w="200" w:type="dxa"/>
            </w:tcMar>
          </w:tcPr>
          <w:p>
            <w:pPr>
              <w:spacing w:before="0" w:after="0" w:line="276" w:lineRule="auto"/>
            </w:pPr>
            <w:r>
              <w:rPr>
                <w:rFonts w:ascii="Arial" w:hAnsi="Arial"/>
                <w:b/>
                <w:i w:val="0"/>
                <w:color w:val="1A365D"/>
                <w:sz w:val="22"/>
              </w:rPr>
              <w:t>CORE POSITIONING STATEMENT</w:t>
              <w:br/>
            </w:r>
            <w:r>
              <w:rPr>
                <w:rFonts w:ascii="Arial" w:hAnsi="Arial"/>
                <w:b w:val="0"/>
                <w:i/>
                <w:color w:val="2D3748"/>
                <w:sz w:val="21"/>
              </w:rPr>
              <w:t>MeshFlow is the world's only production-grade multi-agent framework that combines durable execution, strict compliance governance, and systematic token cost optimization into a single developer-first, code-first platform.</w:t>
            </w:r>
          </w:p>
        </w:tc>
      </w:tr>
    </w:tbl>
    <w:p>
      <w:pPr>
        <w:spacing w:before="0" w:after="120" w:line="276" w:lineRule="auto"/>
      </w:pPr>
    </w:p>
    <w:p>
      <w:pPr>
        <w:keepNext/>
        <w:spacing w:before="360" w:after="120" w:line="276" w:lineRule="auto"/>
      </w:pPr>
      <w:r>
        <w:rPr>
          <w:rFonts w:ascii="Arial" w:hAnsi="Arial"/>
          <w:b/>
          <w:i w:val="0"/>
          <w:color w:val="1A365D"/>
          <w:sz w:val="36"/>
        </w:rPr>
        <w:t>Executive Summary</w:t>
      </w:r>
    </w:p>
    <w:p>
      <w:pPr>
        <w:spacing w:before="0" w:after="120" w:line="276" w:lineRule="auto"/>
      </w:pPr>
      <w:r>
        <w:rPr>
          <w:rFonts w:ascii="Arial" w:hAnsi="Arial"/>
          <w:b w:val="0"/>
          <w:i w:val="0"/>
          <w:color w:val="2D3748"/>
          <w:sz w:val="21"/>
        </w:rPr>
        <w:t>This document updates the competitive analysis across three axes: (1) MeshFlow coverage gaps in the existing three frameworks, (2) three additional competitors — Dify, Flowise, and Haystack — and (3) the token optimization layer, which remains the single largest unaddressed whitespace across the entire landscape. The goal is to inform sprint prioritization for the next two planning cycles with enterprise readiness, cost-efficiency, and secure-execution acting as our north star.</w:t>
      </w:r>
    </w:p>
    <w:p>
      <w:pPr>
        <w:keepNext/>
        <w:spacing w:before="360" w:after="120" w:line="276" w:lineRule="auto"/>
      </w:pPr>
      <w:r>
        <w:rPr>
          <w:rFonts w:ascii="Arial" w:hAnsi="Arial"/>
          <w:b/>
          <w:i w:val="0"/>
          <w:color w:val="1A365D"/>
          <w:sz w:val="36"/>
        </w:rPr>
        <w:t>Section 1 — MeshFlow Gaps: LangGraph, CrewAI, AutoGen</w:t>
      </w:r>
    </w:p>
    <w:p>
      <w:pPr>
        <w:keepNext/>
        <w:spacing w:before="240" w:after="80" w:line="276" w:lineRule="auto"/>
      </w:pPr>
      <w:r>
        <w:rPr>
          <w:rFonts w:ascii="Arial" w:hAnsi="Arial"/>
          <w:b/>
          <w:i w:val="0"/>
          <w:color w:val="2B6CB0"/>
          <w:sz w:val="26"/>
        </w:rPr>
        <w:t>1.1 LangGraph — Deepened Gap Analysis</w:t>
      </w:r>
    </w:p>
    <w:p>
      <w:pPr>
        <w:pStyle w:val="ListBullet"/>
        <w:spacing w:before="0" w:after="60" w:line="276" w:lineRule="auto"/>
        <w:ind w:left="360"/>
      </w:pPr>
      <w:r>
        <w:rPr>
          <w:rFonts w:ascii="Arial" w:hAnsi="Arial"/>
          <w:b/>
          <w:i w:val="0"/>
          <w:color w:val="2D3748"/>
          <w:sz w:val="21"/>
        </w:rPr>
        <w:t xml:space="preserve">Time-Travel Debugging (Replay/Fork/Inject): </w:t>
      </w:r>
      <w:r>
        <w:rPr>
          <w:rFonts w:ascii="Arial" w:hAnsi="Arial"/>
          <w:b w:val="0"/>
          <w:i w:val="0"/>
          <w:color w:val="2D3748"/>
          <w:sz w:val="21"/>
        </w:rPr>
        <w:t>LangGraph supports three modes: Replay, Fork, and State Injection. MeshFlow exposes its ReplayLedger as an interactive backend via the RewindEngine in time_travel.py, enabling full state branching and context patch modification.</w:t>
      </w:r>
    </w:p>
    <w:p>
      <w:pPr>
        <w:pStyle w:val="ListBullet"/>
        <w:spacing w:before="0" w:after="60" w:line="276" w:lineRule="auto"/>
        <w:ind w:left="360"/>
      </w:pPr>
      <w:r>
        <w:rPr>
          <w:rFonts w:ascii="Arial" w:hAnsi="Arial"/>
          <w:b/>
          <w:i w:val="0"/>
          <w:color w:val="2D3748"/>
          <w:sz w:val="21"/>
        </w:rPr>
        <w:t xml:space="preserve">Visual Trace UI vs OTEL: </w:t>
      </w:r>
      <w:r>
        <w:rPr>
          <w:rFonts w:ascii="Arial" w:hAnsi="Arial"/>
          <w:b w:val="0"/>
          <w:i w:val="0"/>
          <w:color w:val="2D3748"/>
          <w:sz w:val="21"/>
        </w:rPr>
        <w:t>LangSmith's trace UI is matched by MeshFlow's TraceServer, which serves an interactive Mermaid execution graph, timeline water-fall view, and details panels to make logging developer-friendly.</w:t>
      </w:r>
    </w:p>
    <w:p>
      <w:pPr>
        <w:pStyle w:val="ListBullet"/>
        <w:spacing w:before="0" w:after="60" w:line="276" w:lineRule="auto"/>
        <w:ind w:left="360"/>
      </w:pPr>
      <w:r>
        <w:rPr>
          <w:rFonts w:ascii="Arial" w:hAnsi="Arial"/>
          <w:b/>
          <w:i w:val="0"/>
          <w:color w:val="2D3748"/>
          <w:sz w:val="21"/>
        </w:rPr>
        <w:t xml:space="preserve">Cloud-Managed Resume: </w:t>
      </w:r>
      <w:r>
        <w:rPr>
          <w:rFonts w:ascii="Arial" w:hAnsi="Arial"/>
          <w:b w:val="0"/>
          <w:i w:val="0"/>
          <w:color w:val="2D3748"/>
          <w:sz w:val="21"/>
        </w:rPr>
        <w:t>MeshFlow has expanded DurableWorkflowExecutor to support PostgreSQL, Redis, and Amazon S3 backends, providing durable execution and state checkpoints that survive process restarts.</w:t>
      </w:r>
    </w:p>
    <w:p>
      <w:pPr>
        <w:keepNext/>
        <w:spacing w:before="240" w:after="80" w:line="276" w:lineRule="auto"/>
      </w:pPr>
      <w:r>
        <w:rPr>
          <w:rFonts w:ascii="Arial" w:hAnsi="Arial"/>
          <w:b/>
          <w:i w:val="0"/>
          <w:color w:val="2B6CB0"/>
          <w:sz w:val="26"/>
        </w:rPr>
        <w:t>1.2 CrewAI — Deepened Gap Analysis</w:t>
      </w:r>
    </w:p>
    <w:p>
      <w:pPr>
        <w:pStyle w:val="ListBullet"/>
        <w:spacing w:before="0" w:after="60" w:line="276" w:lineRule="auto"/>
        <w:ind w:left="360"/>
      </w:pPr>
      <w:r>
        <w:rPr>
          <w:rFonts w:ascii="Arial" w:hAnsi="Arial"/>
          <w:b/>
          <w:i w:val="0"/>
          <w:color w:val="2D3748"/>
          <w:sz w:val="21"/>
        </w:rPr>
        <w:t xml:space="preserve">Agent Marketplace: </w:t>
      </w:r>
      <w:r>
        <w:rPr>
          <w:rFonts w:ascii="Arial" w:hAnsi="Arial"/>
          <w:b w:val="0"/>
          <w:i w:val="0"/>
          <w:color w:val="2D3748"/>
          <w:sz w:val="21"/>
        </w:rPr>
        <w:t>MeshFlow features a template gallery of 20 pre-built specialist agents, along with push/pull commands via MarketplaceServer and MarketplaceClient to compete with CrewAI's community moat.</w:t>
      </w:r>
    </w:p>
    <w:p>
      <w:pPr>
        <w:pStyle w:val="ListBullet"/>
        <w:spacing w:before="0" w:after="60" w:line="276" w:lineRule="auto"/>
        <w:ind w:left="360"/>
      </w:pPr>
      <w:r>
        <w:rPr>
          <w:rFonts w:ascii="Arial" w:hAnsi="Arial"/>
          <w:b/>
          <w:i w:val="0"/>
          <w:color w:val="2D3748"/>
          <w:sz w:val="21"/>
        </w:rPr>
        <w:t xml:space="preserve">Cross-Session Memory: </w:t>
      </w:r>
      <w:r>
        <w:rPr>
          <w:rFonts w:ascii="Arial" w:hAnsi="Arial"/>
          <w:b w:val="0"/>
          <w:i w:val="0"/>
          <w:color w:val="2D3748"/>
          <w:sz w:val="21"/>
        </w:rPr>
        <w:t>CrewAI resets memory between runs. MeshFlow implements persistent episodic memory via SQLite-backed CrossSessionMemoryStore to allow long-term context recall.</w:t>
      </w:r>
    </w:p>
    <w:p>
      <w:pPr>
        <w:pStyle w:val="ListBullet"/>
        <w:spacing w:before="0" w:after="60" w:line="276" w:lineRule="auto"/>
        <w:ind w:left="360"/>
      </w:pPr>
      <w:r>
        <w:rPr>
          <w:rFonts w:ascii="Arial" w:hAnsi="Arial"/>
          <w:b/>
          <w:i w:val="0"/>
          <w:color w:val="2D3748"/>
          <w:sz w:val="21"/>
        </w:rPr>
        <w:t xml:space="preserve">Dynamic Role Delegation: </w:t>
      </w:r>
      <w:r>
        <w:rPr>
          <w:rFonts w:ascii="Arial" w:hAnsi="Arial"/>
          <w:b w:val="0"/>
          <w:i w:val="0"/>
          <w:color w:val="2D3748"/>
          <w:sz w:val="21"/>
        </w:rPr>
        <w:t>Implemented RoleRouter and AgentSpec, enabling LLM-driven and keyword-heuristic-driven dynamic agent role assignment at runtime, giving MeshFlow a distinct first-mover advantage.</w:t>
      </w:r>
    </w:p>
    <w:p>
      <w:pPr>
        <w:keepNext/>
        <w:spacing w:before="240" w:after="80" w:line="276" w:lineRule="auto"/>
      </w:pPr>
      <w:r>
        <w:rPr>
          <w:rFonts w:ascii="Arial" w:hAnsi="Arial"/>
          <w:b/>
          <w:i w:val="0"/>
          <w:color w:val="2B6CB0"/>
          <w:sz w:val="26"/>
        </w:rPr>
        <w:t>1.3 AutoGen — Deepened Gap Analysis</w:t>
      </w:r>
    </w:p>
    <w:p>
      <w:pPr>
        <w:pStyle w:val="ListBullet"/>
        <w:spacing w:before="0" w:after="60" w:line="276" w:lineRule="auto"/>
        <w:ind w:left="360"/>
      </w:pPr>
      <w:r>
        <w:rPr>
          <w:rFonts w:ascii="Arial" w:hAnsi="Arial"/>
          <w:b/>
          <w:i w:val="0"/>
          <w:color w:val="2D3748"/>
          <w:sz w:val="21"/>
        </w:rPr>
        <w:t xml:space="preserve">Agent Debate / Critique Loops: </w:t>
      </w:r>
      <w:r>
        <w:rPr>
          <w:rFonts w:ascii="Arial" w:hAnsi="Arial"/>
          <w:b w:val="0"/>
          <w:i w:val="0"/>
          <w:color w:val="2D3748"/>
          <w:sz w:val="21"/>
        </w:rPr>
        <w:t>Added CriticAgent to implement multi-agent proposal-review-refinement loops cleanly without arbiter overhead.</w:t>
      </w:r>
    </w:p>
    <w:p>
      <w:pPr>
        <w:pStyle w:val="ListBullet"/>
        <w:spacing w:before="0" w:after="60" w:line="276" w:lineRule="auto"/>
        <w:ind w:left="360"/>
      </w:pPr>
      <w:r>
        <w:rPr>
          <w:rFonts w:ascii="Arial" w:hAnsi="Arial"/>
          <w:b/>
          <w:i w:val="0"/>
          <w:color w:val="2D3748"/>
          <w:sz w:val="21"/>
        </w:rPr>
        <w:t xml:space="preserve">Sandboxed Code Execution: </w:t>
      </w:r>
      <w:r>
        <w:rPr>
          <w:rFonts w:ascii="Arial" w:hAnsi="Arial"/>
          <w:b w:val="0"/>
          <w:i w:val="0"/>
          <w:color w:val="2D3748"/>
          <w:sz w:val="21"/>
        </w:rPr>
        <w:t>Hardened CodeInterpreter with subprocess resource limits (memory, time limits) and network interface blocking to satisfy HIPAA and SOC2 compliance.</w:t>
      </w:r>
    </w:p>
    <w:p>
      <w:pPr>
        <w:keepNext/>
        <w:spacing w:before="360" w:after="120" w:line="276" w:lineRule="auto"/>
      </w:pPr>
      <w:r>
        <w:rPr>
          <w:rFonts w:ascii="Arial" w:hAnsi="Arial"/>
          <w:b/>
          <w:i w:val="0"/>
          <w:color w:val="1A365D"/>
          <w:sz w:val="36"/>
        </w:rPr>
        <w:t>Section 2 — New Competitors: Dify, Flowise, Haystack</w:t>
      </w:r>
    </w:p>
    <w:p>
      <w:pPr>
        <w:keepNext/>
        <w:spacing w:before="240" w:after="80" w:line="276" w:lineRule="auto"/>
      </w:pPr>
      <w:r>
        <w:rPr>
          <w:rFonts w:ascii="Arial" w:hAnsi="Arial"/>
          <w:b/>
          <w:i w:val="0"/>
          <w:color w:val="2B6CB0"/>
          <w:sz w:val="26"/>
        </w:rPr>
        <w:t>2.1 Dify</w:t>
      </w:r>
    </w:p>
    <w:p>
      <w:pPr>
        <w:spacing w:before="0" w:after="120" w:line="276" w:lineRule="auto"/>
      </w:pPr>
      <w:r>
        <w:rPr>
          <w:rFonts w:ascii="Arial" w:hAnsi="Arial"/>
          <w:b w:val="0"/>
          <w:i w:val="0"/>
          <w:color w:val="2D3748"/>
          <w:sz w:val="21"/>
        </w:rPr>
        <w:t>Dify focuses on visual, low-code knowledge pipelines and rapid prototyping. MeshFlow matches this visual appeal with the drag-and-drop RAG configurator UI in rag_builder.html, while keeping robust code-first decorator-driven orchestration as our primary strength.</w:t>
      </w:r>
    </w:p>
    <w:p>
      <w:pPr>
        <w:keepNext/>
        <w:spacing w:before="240" w:after="80" w:line="276" w:lineRule="auto"/>
      </w:pPr>
      <w:r>
        <w:rPr>
          <w:rFonts w:ascii="Arial" w:hAnsi="Arial"/>
          <w:b/>
          <w:i w:val="0"/>
          <w:color w:val="2B6CB0"/>
          <w:sz w:val="26"/>
        </w:rPr>
        <w:t>2.2 Flowise</w:t>
      </w:r>
    </w:p>
    <w:p>
      <w:pPr>
        <w:spacing w:before="0" w:after="120" w:line="276" w:lineRule="auto"/>
      </w:pPr>
      <w:r>
        <w:rPr>
          <w:rFonts w:ascii="Arial" w:hAnsi="Arial"/>
          <w:b w:val="0"/>
          <w:i w:val="0"/>
          <w:color w:val="2D3748"/>
          <w:sz w:val="21"/>
        </w:rPr>
        <w:t>Flowise's visual graphs have memory and performance scaling issues under load. Furthermore, its severe RCE vulnerability (CVE-2025-59528) presents a direct opportunity for MeshFlow. We position MeshFlow's strict PolicyGuard and SHA-256 audit chain as the secure, production-grade alternative.</w:t>
      </w:r>
    </w:p>
    <w:p>
      <w:pPr>
        <w:keepNext/>
        <w:spacing w:before="240" w:after="80" w:line="276" w:lineRule="auto"/>
      </w:pPr>
      <w:r>
        <w:rPr>
          <w:rFonts w:ascii="Arial" w:hAnsi="Arial"/>
          <w:b/>
          <w:i w:val="0"/>
          <w:color w:val="2B6CB0"/>
          <w:sz w:val="26"/>
        </w:rPr>
        <w:t>2.3 Haystack</w:t>
      </w:r>
    </w:p>
    <w:p>
      <w:pPr>
        <w:spacing w:before="0" w:after="120" w:line="276" w:lineRule="auto"/>
      </w:pPr>
      <w:r>
        <w:rPr>
          <w:rFonts w:ascii="Arial" w:hAnsi="Arial"/>
          <w:b w:val="0"/>
          <w:i w:val="0"/>
          <w:color w:val="2D3748"/>
          <w:sz w:val="21"/>
        </w:rPr>
        <w:t>Haystack has deep retrieval capabilities. MeshFlow closes this gap by implementing LLMRanker, HybridRetriever, and SelfCorrectingRAG retrieval-grader loops, alongside full YAML serialization support.</w:t>
      </w:r>
    </w:p>
    <w:p>
      <w:pPr>
        <w:keepNext/>
        <w:spacing w:before="240" w:after="80" w:line="276" w:lineRule="auto"/>
      </w:pPr>
      <w:r>
        <w:rPr>
          <w:rFonts w:ascii="Arial" w:hAnsi="Arial"/>
          <w:b/>
          <w:i w:val="0"/>
          <w:color w:val="2B6CB0"/>
          <w:sz w:val="26"/>
        </w:rPr>
        <w:t>2.4 Six-Competitor Feature Matrix</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1170"/>
        <w:gridCol w:w="1170"/>
        <w:gridCol w:w="1170"/>
        <w:gridCol w:w="1170"/>
        <w:gridCol w:w="1170"/>
        <w:gridCol w:w="1170"/>
        <w:gridCol w:w="1170"/>
        <w:gridCol w:w="1170"/>
      </w:tblGrid>
      <w:tr>
        <w:tc>
          <w:tcPr>
            <w:tcW w:type="dxa" w:w="2880"/>
            <w:shd w:fill="1A365D"/>
            <w:tcMar>
              <w:top w:w="80" w:type="dxa"/>
              <w:bottom w:w="80" w:type="dxa"/>
              <w:left w:w="80" w:type="dxa"/>
              <w:right w:w="80" w:type="dxa"/>
            </w:tcMar>
          </w:tcPr>
          <w:p>
            <w:pPr>
              <w:spacing w:before="80" w:after="80" w:line="276" w:lineRule="auto"/>
            </w:pPr>
            <w:r>
              <w:rPr>
                <w:rFonts w:ascii="Arial" w:hAnsi="Arial"/>
                <w:b/>
                <w:i w:val="0"/>
                <w:color w:val="FFFFFF"/>
                <w:sz w:val="19"/>
              </w:rPr>
              <w:t>Feature</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LangGraph</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CrewAI</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AutoGen</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Dify</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Flowise</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Haystack</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MeshFlow</w:t>
            </w:r>
          </w:p>
        </w:tc>
      </w:tr>
      <w:tr>
        <w:tc>
          <w:tcPr>
            <w:tcW w:type="dxa" w:w="2880"/>
            <w:shd w:fill="FFFFFF"/>
            <w:tcMar>
              <w:top w:w="80" w:type="dxa"/>
              <w:bottom w:w="80" w:type="dxa"/>
              <w:left w:w="80" w:type="dxa"/>
              <w:right w:w="80" w:type="dxa"/>
            </w:tcMar>
          </w:tcPr>
          <w:p>
            <w:pPr>
              <w:spacing w:before="80" w:after="80" w:line="276" w:lineRule="auto"/>
            </w:pPr>
            <w:r>
              <w:rPr>
                <w:rFonts w:ascii="Arial" w:hAnsi="Arial"/>
                <w:b w:val="0"/>
                <w:i w:val="0"/>
                <w:color w:val="2D3748"/>
                <w:sz w:val="18"/>
              </w:rPr>
              <w:t>Multi-agent Orchestration</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Partial</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Partial</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i w:val="0"/>
                <w:color w:val="1A365D"/>
                <w:sz w:val="18"/>
              </w:rPr>
              <w:t>Yes</w:t>
            </w:r>
          </w:p>
        </w:tc>
      </w:tr>
      <w:tr>
        <w:tc>
          <w:tcPr>
            <w:tcW w:type="dxa" w:w="2880"/>
            <w:shd w:fill="F7FAFC"/>
            <w:tcMar>
              <w:top w:w="80" w:type="dxa"/>
              <w:bottom w:w="80" w:type="dxa"/>
              <w:left w:w="80" w:type="dxa"/>
              <w:right w:w="80" w:type="dxa"/>
            </w:tcMar>
          </w:tcPr>
          <w:p>
            <w:pPr>
              <w:spacing w:before="80" w:after="80" w:line="276" w:lineRule="auto"/>
            </w:pPr>
            <w:r>
              <w:rPr>
                <w:rFonts w:ascii="Arial" w:hAnsi="Arial"/>
                <w:b w:val="0"/>
                <w:i w:val="0"/>
                <w:color w:val="2D3748"/>
                <w:sz w:val="18"/>
              </w:rPr>
              <w:t>HITL Interrupt / Command</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Partial</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i w:val="0"/>
                <w:color w:val="1A365D"/>
                <w:sz w:val="18"/>
              </w:rPr>
              <w:t>Yes</w:t>
            </w:r>
          </w:p>
        </w:tc>
      </w:tr>
      <w:tr>
        <w:tc>
          <w:tcPr>
            <w:tcW w:type="dxa" w:w="2880"/>
            <w:shd w:fill="FFFFFF"/>
            <w:tcMar>
              <w:top w:w="80" w:type="dxa"/>
              <w:bottom w:w="80" w:type="dxa"/>
              <w:left w:w="80" w:type="dxa"/>
              <w:right w:w="80" w:type="dxa"/>
            </w:tcMar>
          </w:tcPr>
          <w:p>
            <w:pPr>
              <w:spacing w:before="80" w:after="80" w:line="276" w:lineRule="auto"/>
            </w:pPr>
            <w:r>
              <w:rPr>
                <w:rFonts w:ascii="Arial" w:hAnsi="Arial"/>
                <w:b w:val="0"/>
                <w:i w:val="0"/>
                <w:color w:val="2D3748"/>
                <w:sz w:val="18"/>
              </w:rPr>
              <w:t>Durable execution / resume</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Partial</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i w:val="0"/>
                <w:color w:val="1A365D"/>
                <w:sz w:val="18"/>
              </w:rPr>
              <w:t>Yes (Unique)</w:t>
            </w:r>
          </w:p>
        </w:tc>
      </w:tr>
      <w:tr>
        <w:tc>
          <w:tcPr>
            <w:tcW w:type="dxa" w:w="2880"/>
            <w:shd w:fill="F7FAFC"/>
            <w:tcMar>
              <w:top w:w="80" w:type="dxa"/>
              <w:bottom w:w="80" w:type="dxa"/>
              <w:left w:w="80" w:type="dxa"/>
              <w:right w:w="80" w:type="dxa"/>
            </w:tcMar>
          </w:tcPr>
          <w:p>
            <w:pPr>
              <w:spacing w:before="80" w:after="80" w:line="276" w:lineRule="auto"/>
            </w:pPr>
            <w:r>
              <w:rPr>
                <w:rFonts w:ascii="Arial" w:hAnsi="Arial"/>
                <w:b w:val="0"/>
                <w:i w:val="0"/>
                <w:color w:val="2D3748"/>
                <w:sz w:val="18"/>
              </w:rPr>
              <w:t>Compliance Guardrails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Partial</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i w:val="0"/>
                <w:color w:val="1A365D"/>
                <w:sz w:val="18"/>
              </w:rPr>
              <w:t>Yes (Unique)</w:t>
            </w:r>
          </w:p>
        </w:tc>
      </w:tr>
      <w:tr>
        <w:tc>
          <w:tcPr>
            <w:tcW w:type="dxa" w:w="2880"/>
            <w:shd w:fill="FFFFFF"/>
            <w:tcMar>
              <w:top w:w="80" w:type="dxa"/>
              <w:bottom w:w="80" w:type="dxa"/>
              <w:left w:w="80" w:type="dxa"/>
              <w:right w:w="80" w:type="dxa"/>
            </w:tcMar>
          </w:tcPr>
          <w:p>
            <w:pPr>
              <w:spacing w:before="80" w:after="80" w:line="276" w:lineRule="auto"/>
            </w:pPr>
            <w:r>
              <w:rPr>
                <w:rFonts w:ascii="Arial" w:hAnsi="Arial"/>
                <w:b w:val="0"/>
                <w:i w:val="0"/>
                <w:color w:val="2D3748"/>
                <w:sz w:val="18"/>
              </w:rPr>
              <w:t>Cost cap &amp; token budget</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i w:val="0"/>
                <w:color w:val="1A365D"/>
                <w:sz w:val="18"/>
              </w:rPr>
              <w:t>Yes (Unique)</w:t>
            </w:r>
          </w:p>
        </w:tc>
      </w:tr>
      <w:tr>
        <w:tc>
          <w:tcPr>
            <w:tcW w:type="dxa" w:w="2880"/>
            <w:shd w:fill="F7FAFC"/>
            <w:tcMar>
              <w:top w:w="80" w:type="dxa"/>
              <w:bottom w:w="80" w:type="dxa"/>
              <w:left w:w="80" w:type="dxa"/>
              <w:right w:w="80" w:type="dxa"/>
            </w:tcMar>
          </w:tcPr>
          <w:p>
            <w:pPr>
              <w:spacing w:before="80" w:after="80" w:line="276" w:lineRule="auto"/>
            </w:pPr>
            <w:r>
              <w:rPr>
                <w:rFonts w:ascii="Arial" w:hAnsi="Arial"/>
                <w:b w:val="0"/>
                <w:i w:val="0"/>
                <w:color w:val="2D3748"/>
                <w:sz w:val="18"/>
              </w:rPr>
              <w:t>Visual workflow builder</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Partial</w:t>
            </w:r>
          </w:p>
        </w:tc>
        <w:tc>
          <w:tcPr>
            <w:tcW w:type="dxa" w:w="1296"/>
            <w:shd w:fill="F7FAFC"/>
            <w:tcMar>
              <w:top w:w="80" w:type="dxa"/>
              <w:bottom w:w="80" w:type="dxa"/>
              <w:left w:w="80" w:type="dxa"/>
              <w:right w:w="80" w:type="dxa"/>
            </w:tcMar>
          </w:tcPr>
          <w:p>
            <w:pPr>
              <w:spacing w:before="80" w:after="80" w:line="276" w:lineRule="auto"/>
            </w:pPr>
            <w:r>
              <w:rPr>
                <w:rFonts w:ascii="Arial" w:hAnsi="Arial"/>
                <w:b/>
                <w:i w:val="0"/>
                <w:color w:val="1A365D"/>
                <w:sz w:val="18"/>
              </w:rPr>
              <w:t>Partial</w:t>
            </w:r>
          </w:p>
        </w:tc>
      </w:tr>
      <w:tr>
        <w:tc>
          <w:tcPr>
            <w:tcW w:type="dxa" w:w="2880"/>
            <w:shd w:fill="FFFFFF"/>
            <w:tcMar>
              <w:top w:w="80" w:type="dxa"/>
              <w:bottom w:w="80" w:type="dxa"/>
              <w:left w:w="80" w:type="dxa"/>
              <w:right w:w="80" w:type="dxa"/>
            </w:tcMar>
          </w:tcPr>
          <w:p>
            <w:pPr>
              <w:spacing w:before="80" w:after="80" w:line="276" w:lineRule="auto"/>
            </w:pPr>
            <w:r>
              <w:rPr>
                <w:rFonts w:ascii="Arial" w:hAnsi="Arial"/>
                <w:b w:val="0"/>
                <w:i w:val="0"/>
                <w:color w:val="2D3748"/>
                <w:sz w:val="18"/>
              </w:rPr>
              <w:t>RAG pipeline depth</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Partial</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FFFFF"/>
            <w:tcMar>
              <w:top w:w="80" w:type="dxa"/>
              <w:bottom w:w="80" w:type="dxa"/>
              <w:left w:w="80" w:type="dxa"/>
              <w:right w:w="80" w:type="dxa"/>
            </w:tcMar>
          </w:tcPr>
          <w:p>
            <w:pPr>
              <w:spacing w:before="80" w:after="80" w:line="276" w:lineRule="auto"/>
            </w:pPr>
            <w:r>
              <w:rPr>
                <w:rFonts w:ascii="Arial" w:hAnsi="Arial"/>
                <w:b/>
                <w:i w:val="0"/>
                <w:color w:val="1A365D"/>
                <w:sz w:val="18"/>
              </w:rPr>
              <w:t>Yes</w:t>
            </w:r>
          </w:p>
        </w:tc>
      </w:tr>
      <w:tr>
        <w:tc>
          <w:tcPr>
            <w:tcW w:type="dxa" w:w="2880"/>
            <w:shd w:fill="F7FAFC"/>
            <w:tcMar>
              <w:top w:w="80" w:type="dxa"/>
              <w:bottom w:w="80" w:type="dxa"/>
              <w:left w:w="80" w:type="dxa"/>
              <w:right w:w="80" w:type="dxa"/>
            </w:tcMar>
          </w:tcPr>
          <w:p>
            <w:pPr>
              <w:spacing w:before="80" w:after="80" w:line="276" w:lineRule="auto"/>
            </w:pPr>
            <w:r>
              <w:rPr>
                <w:rFonts w:ascii="Arial" w:hAnsi="Arial"/>
                <w:b w:val="0"/>
                <w:i w:val="0"/>
                <w:color w:val="2D3748"/>
                <w:sz w:val="18"/>
              </w:rPr>
              <w:t>Time-travel debugging</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Yes</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No</w:t>
            </w:r>
          </w:p>
        </w:tc>
        <w:tc>
          <w:tcPr>
            <w:tcW w:type="dxa" w:w="1296"/>
            <w:shd w:fill="F7FAFC"/>
            <w:tcMar>
              <w:top w:w="80" w:type="dxa"/>
              <w:bottom w:w="80" w:type="dxa"/>
              <w:left w:w="80" w:type="dxa"/>
              <w:right w:w="80" w:type="dxa"/>
            </w:tcMar>
          </w:tcPr>
          <w:p>
            <w:pPr>
              <w:spacing w:before="80" w:after="80" w:line="276" w:lineRule="auto"/>
            </w:pPr>
            <w:r>
              <w:rPr>
                <w:rFonts w:ascii="Arial" w:hAnsi="Arial"/>
                <w:b/>
                <w:i w:val="0"/>
                <w:color w:val="1A365D"/>
                <w:sz w:val="18"/>
              </w:rPr>
              <w:t>Yes</w:t>
            </w:r>
          </w:p>
        </w:tc>
      </w:tr>
    </w:tbl>
    <w:p>
      <w:pPr>
        <w:spacing w:before="0" w:after="240" w:line="276" w:lineRule="auto"/>
      </w:pPr>
    </w:p>
    <w:p>
      <w:pPr>
        <w:keepNext/>
        <w:spacing w:before="360" w:after="120" w:line="276" w:lineRule="auto"/>
      </w:pPr>
      <w:r>
        <w:rPr>
          <w:rFonts w:ascii="Arial" w:hAnsi="Arial"/>
          <w:b/>
          <w:i w:val="0"/>
          <w:color w:val="1A365D"/>
          <w:sz w:val="36"/>
        </w:rPr>
        <w:t>Section 3 — Token Optimization: The Unclaimed Layer</w:t>
      </w:r>
    </w:p>
    <w:p>
      <w:pPr>
        <w:spacing w:before="0" w:after="120" w:line="276" w:lineRule="auto"/>
      </w:pPr>
      <w:r>
        <w:rPr>
          <w:rFonts w:ascii="Arial" w:hAnsi="Arial"/>
          <w:b w:val="0"/>
          <w:i w:val="0"/>
          <w:color w:val="2D3748"/>
          <w:sz w:val="21"/>
        </w:rPr>
        <w:t>Production agent systems waste 40–60% of token spend on preventable redundancies. MeshFlow has designed and built a three-tier optimization framework to claim this layer as a defensive moat.</w:t>
      </w:r>
    </w:p>
    <w:p>
      <w:pPr>
        <w:keepNext/>
        <w:spacing w:before="240" w:after="80" w:line="276" w:lineRule="auto"/>
      </w:pPr>
      <w:r>
        <w:rPr>
          <w:rFonts w:ascii="Arial" w:hAnsi="Arial"/>
          <w:b/>
          <w:i w:val="0"/>
          <w:color w:val="2B6CB0"/>
          <w:sz w:val="26"/>
        </w:rPr>
        <w:t>3.1 Token Waste Taxonomy</w:t>
      </w:r>
    </w:p>
    <w:p>
      <w:pPr>
        <w:pStyle w:val="ListBullet"/>
        <w:spacing w:before="0" w:after="60" w:line="276" w:lineRule="auto"/>
        <w:ind w:left="360"/>
      </w:pPr>
      <w:r>
        <w:rPr>
          <w:rFonts w:ascii="Arial" w:hAnsi="Arial"/>
          <w:b/>
          <w:i w:val="0"/>
          <w:color w:val="2D3748"/>
          <w:sz w:val="21"/>
        </w:rPr>
        <w:t xml:space="preserve">System prompt repetition: </w:t>
      </w:r>
      <w:r>
        <w:rPr>
          <w:rFonts w:ascii="Arial" w:hAnsi="Arial"/>
          <w:b w:val="0"/>
          <w:i w:val="0"/>
          <w:color w:val="2D3748"/>
          <w:sz w:val="21"/>
        </w:rPr>
        <w:t>Sending static system prompts repeatedly in graph loops.</w:t>
      </w:r>
    </w:p>
    <w:p>
      <w:pPr>
        <w:pStyle w:val="ListBullet"/>
        <w:spacing w:before="0" w:after="60" w:line="276" w:lineRule="auto"/>
        <w:ind w:left="360"/>
      </w:pPr>
      <w:r>
        <w:rPr>
          <w:rFonts w:ascii="Arial" w:hAnsi="Arial"/>
          <w:b/>
          <w:i w:val="0"/>
          <w:color w:val="2D3748"/>
          <w:sz w:val="21"/>
        </w:rPr>
        <w:t xml:space="preserve">Context accumulation: </w:t>
      </w:r>
      <w:r>
        <w:rPr>
          <w:rFonts w:ascii="Arial" w:hAnsi="Arial"/>
          <w:b w:val="0"/>
          <w:i w:val="0"/>
          <w:color w:val="2D3748"/>
          <w:sz w:val="21"/>
        </w:rPr>
        <w:t>Exponential token growth as conversational history grows.</w:t>
      </w:r>
    </w:p>
    <w:p>
      <w:pPr>
        <w:pStyle w:val="ListBullet"/>
        <w:spacing w:before="0" w:after="60" w:line="276" w:lineRule="auto"/>
        <w:ind w:left="360"/>
      </w:pPr>
      <w:r>
        <w:rPr>
          <w:rFonts w:ascii="Arial" w:hAnsi="Arial"/>
          <w:b/>
          <w:i w:val="0"/>
          <w:color w:val="2D3748"/>
          <w:sz w:val="21"/>
        </w:rPr>
        <w:t xml:space="preserve">Wrong model selection: </w:t>
      </w:r>
      <w:r>
        <w:rPr>
          <w:rFonts w:ascii="Arial" w:hAnsi="Arial"/>
          <w:b w:val="0"/>
          <w:i w:val="0"/>
          <w:color w:val="2D3748"/>
          <w:sz w:val="21"/>
        </w:rPr>
        <w:t>Using frontier reasoning models for formatting and routing.</w:t>
      </w:r>
    </w:p>
    <w:p>
      <w:pPr>
        <w:keepNext/>
        <w:spacing w:before="240" w:after="80" w:line="276" w:lineRule="auto"/>
      </w:pPr>
      <w:r>
        <w:rPr>
          <w:rFonts w:ascii="Arial" w:hAnsi="Arial"/>
          <w:b/>
          <w:i w:val="0"/>
          <w:color w:val="2B6CB0"/>
          <w:sz w:val="26"/>
        </w:rPr>
        <w:t>3.2 Five Optimization Levers</w:t>
      </w:r>
    </w:p>
    <w:p>
      <w:pPr>
        <w:pStyle w:val="ListBullet"/>
        <w:spacing w:before="0" w:after="60" w:line="276" w:lineRule="auto"/>
        <w:ind w:left="360"/>
      </w:pPr>
      <w:r>
        <w:rPr>
          <w:rFonts w:ascii="Arial" w:hAnsi="Arial"/>
          <w:b/>
          <w:i w:val="0"/>
          <w:color w:val="2D3748"/>
          <w:sz w:val="21"/>
        </w:rPr>
        <w:t xml:space="preserve">Prompt Caching: </w:t>
      </w:r>
      <w:r>
        <w:rPr>
          <w:rFonts w:ascii="Arial" w:hAnsi="Arial"/>
          <w:b w:val="0"/>
          <w:i w:val="0"/>
          <w:color w:val="2D3748"/>
          <w:sz w:val="21"/>
        </w:rPr>
        <w:t>Saves up to 90% of token cost on static contexts via cache tagging.</w:t>
      </w:r>
    </w:p>
    <w:p>
      <w:pPr>
        <w:pStyle w:val="ListBullet"/>
        <w:spacing w:before="0" w:after="60" w:line="276" w:lineRule="auto"/>
        <w:ind w:left="360"/>
      </w:pPr>
      <w:r>
        <w:rPr>
          <w:rFonts w:ascii="Arial" w:hAnsi="Arial"/>
          <w:b/>
          <w:i w:val="0"/>
          <w:color w:val="2D3748"/>
          <w:sz w:val="21"/>
        </w:rPr>
        <w:t xml:space="preserve">Model Routing: </w:t>
      </w:r>
      <w:r>
        <w:rPr>
          <w:rFonts w:ascii="Arial" w:hAnsi="Arial"/>
          <w:b w:val="0"/>
          <w:i w:val="0"/>
          <w:color w:val="2D3748"/>
          <w:sz w:val="21"/>
        </w:rPr>
        <w:t>Dispatches simpler sub-tasks to small/medium tiers, reserving large models for complex reasoning.</w:t>
      </w:r>
    </w:p>
    <w:p>
      <w:pPr>
        <w:pStyle w:val="ListBullet"/>
        <w:spacing w:before="0" w:after="60" w:line="276" w:lineRule="auto"/>
        <w:ind w:left="360"/>
      </w:pPr>
      <w:r>
        <w:rPr>
          <w:rFonts w:ascii="Arial" w:hAnsi="Arial"/>
          <w:b/>
          <w:i w:val="0"/>
          <w:color w:val="2D3748"/>
          <w:sz w:val="21"/>
        </w:rPr>
        <w:t xml:space="preserve">Context Compaction: </w:t>
      </w:r>
      <w:r>
        <w:rPr>
          <w:rFonts w:ascii="Arial" w:hAnsi="Arial"/>
          <w:b w:val="0"/>
          <w:i w:val="0"/>
          <w:color w:val="2D3748"/>
          <w:sz w:val="21"/>
        </w:rPr>
        <w:t>Compresses older history turns into rolling summaries once context window exceeds limits.</w:t>
      </w:r>
    </w:p>
    <w:p>
      <w:pPr>
        <w:pStyle w:val="ListBullet"/>
        <w:spacing w:before="0" w:after="60" w:line="276" w:lineRule="auto"/>
        <w:ind w:left="360"/>
      </w:pPr>
      <w:r>
        <w:rPr>
          <w:rFonts w:ascii="Arial" w:hAnsi="Arial"/>
          <w:b/>
          <w:i w:val="0"/>
          <w:color w:val="2D3748"/>
          <w:sz w:val="21"/>
        </w:rPr>
        <w:t xml:space="preserve">Request Batching: </w:t>
      </w:r>
      <w:r>
        <w:rPr>
          <w:rFonts w:ascii="Arial" w:hAnsi="Arial"/>
          <w:b w:val="0"/>
          <w:i w:val="0"/>
          <w:color w:val="2D3748"/>
          <w:sz w:val="21"/>
        </w:rPr>
        <w:t>Groups non-dependent tasks to qualify for batch processing API discounts (50%).</w:t>
      </w:r>
    </w:p>
    <w:p>
      <w:pPr>
        <w:pStyle w:val="ListBullet"/>
        <w:spacing w:before="0" w:after="60" w:line="276" w:lineRule="auto"/>
        <w:ind w:left="360"/>
      </w:pPr>
      <w:r>
        <w:rPr>
          <w:rFonts w:ascii="Arial" w:hAnsi="Arial"/>
          <w:b/>
          <w:i w:val="0"/>
          <w:color w:val="2D3748"/>
          <w:sz w:val="21"/>
        </w:rPr>
        <w:t xml:space="preserve">RAG Token Budget: </w:t>
      </w:r>
      <w:r>
        <w:rPr>
          <w:rFonts w:ascii="Arial" w:hAnsi="Arial"/>
          <w:b w:val="0"/>
          <w:i w:val="0"/>
          <w:color w:val="2D3748"/>
          <w:sz w:val="21"/>
        </w:rPr>
        <w:t>Caps injected knowledge context size to avoid runaway retrieval costs.</w:t>
      </w:r>
    </w:p>
    <w:p>
      <w:pPr>
        <w:keepNext/>
        <w:spacing w:before="240" w:after="80" w:line="276" w:lineRule="auto"/>
      </w:pPr>
      <w:r>
        <w:rPr>
          <w:rFonts w:ascii="Arial" w:hAnsi="Arial"/>
          <w:b/>
          <w:i w:val="0"/>
          <w:color w:val="2B6CB0"/>
          <w:sz w:val="26"/>
        </w:rPr>
        <w:t>3.3 Token Optimization Roadmap</w:t>
      </w:r>
    </w:p>
    <w:p>
      <w:pPr>
        <w:pStyle w:val="ListBullet"/>
        <w:spacing w:before="0" w:after="60" w:line="276" w:lineRule="auto"/>
        <w:ind w:left="360"/>
      </w:pPr>
      <w:r>
        <w:rPr>
          <w:rFonts w:ascii="Arial" w:hAnsi="Arial"/>
          <w:b/>
          <w:i w:val="0"/>
          <w:color w:val="2D3748"/>
          <w:sz w:val="21"/>
        </w:rPr>
        <w:t xml:space="preserve">Tier 1 — Quick Wins: </w:t>
      </w:r>
      <w:r>
        <w:rPr>
          <w:rFonts w:ascii="Arial" w:hAnsi="Arial"/>
          <w:b w:val="0"/>
          <w:i w:val="0"/>
          <w:color w:val="2D3748"/>
          <w:sz w:val="21"/>
        </w:rPr>
        <w:t>Anthropic prompt cache control, RAG max_chars enforcement, and tool output summarization.</w:t>
      </w:r>
    </w:p>
    <w:p>
      <w:pPr>
        <w:pStyle w:val="ListBullet"/>
        <w:spacing w:before="0" w:after="60" w:line="276" w:lineRule="auto"/>
        <w:ind w:left="360"/>
      </w:pPr>
      <w:r>
        <w:rPr>
          <w:rFonts w:ascii="Arial" w:hAnsi="Arial"/>
          <w:b/>
          <w:i w:val="0"/>
          <w:color w:val="2D3748"/>
          <w:sz w:val="21"/>
        </w:rPr>
        <w:t xml:space="preserve">Tier 2 — High Impact: </w:t>
      </w:r>
      <w:r>
        <w:rPr>
          <w:rFonts w:ascii="Arial" w:hAnsi="Arial"/>
          <w:b w:val="0"/>
          <w:i w:val="0"/>
          <w:color w:val="2D3748"/>
          <w:sz w:val="21"/>
        </w:rPr>
        <w:t>Smart ModelRouter task, ContextCompactor/SummaryPruner middleware, and TokenBudgetPlanner.</w:t>
      </w:r>
    </w:p>
    <w:p>
      <w:pPr>
        <w:pStyle w:val="ListBullet"/>
        <w:spacing w:before="0" w:after="60" w:line="276" w:lineRule="auto"/>
        <w:ind w:left="360"/>
      </w:pPr>
      <w:r>
        <w:rPr>
          <w:rFonts w:ascii="Arial" w:hAnsi="Arial"/>
          <w:b/>
          <w:i w:val="0"/>
          <w:color w:val="2D3748"/>
          <w:sz w:val="21"/>
        </w:rPr>
        <w:t xml:space="preserve">Tier 3 — Complete Coverage: </w:t>
      </w:r>
      <w:r>
        <w:rPr>
          <w:rFonts w:ascii="Arial" w:hAnsi="Arial"/>
          <w:b w:val="0"/>
          <w:i w:val="0"/>
          <w:color w:val="2D3748"/>
          <w:sz w:val="21"/>
        </w:rPr>
        <w:t>Parallel context deduplication, early exit on confidence thresholds, cost regression CI gates, and Anthropic Batch integration.</w:t>
      </w:r>
    </w:p>
    <w:p>
      <w:pPr>
        <w:keepNext/>
        <w:spacing w:before="360" w:after="120" w:line="276" w:lineRule="auto"/>
      </w:pPr>
      <w:r>
        <w:rPr>
          <w:rFonts w:ascii="Arial" w:hAnsi="Arial"/>
          <w:b/>
          <w:i w:val="0"/>
          <w:color w:val="1A365D"/>
          <w:sz w:val="36"/>
        </w:rPr>
        <w:t>Section 4 — Prioritized Gap Closure Roadmap</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1872"/>
        <w:gridCol w:w="1872"/>
        <w:gridCol w:w="1872"/>
        <w:gridCol w:w="1872"/>
        <w:gridCol w:w="1872"/>
      </w:tblGrid>
      <w:tr>
        <w:tc>
          <w:tcPr>
            <w:tcW w:type="dxa" w:w="1152"/>
            <w:shd w:fill="1A365D"/>
            <w:tcMar>
              <w:top w:w="80" w:type="dxa"/>
              <w:bottom w:w="80" w:type="dxa"/>
              <w:left w:w="80" w:type="dxa"/>
              <w:right w:w="80" w:type="dxa"/>
            </w:tcMar>
          </w:tcPr>
          <w:p>
            <w:pPr>
              <w:spacing w:before="80" w:after="80" w:line="276" w:lineRule="auto"/>
            </w:pPr>
            <w:r>
              <w:rPr>
                <w:rFonts w:ascii="Arial" w:hAnsi="Arial"/>
                <w:b/>
                <w:i w:val="0"/>
                <w:color w:val="FFFFFF"/>
                <w:sz w:val="19"/>
              </w:rPr>
              <w:t>Priority</w:t>
            </w:r>
          </w:p>
        </w:tc>
        <w:tc>
          <w:tcPr>
            <w:tcW w:type="dxa" w:w="2592"/>
            <w:shd w:fill="1A365D"/>
            <w:tcMar>
              <w:top w:w="80" w:type="dxa"/>
              <w:bottom w:w="80" w:type="dxa"/>
              <w:left w:w="80" w:type="dxa"/>
              <w:right w:w="80" w:type="dxa"/>
            </w:tcMar>
          </w:tcPr>
          <w:p>
            <w:pPr>
              <w:spacing w:before="80" w:after="80" w:line="276" w:lineRule="auto"/>
            </w:pPr>
            <w:r>
              <w:rPr>
                <w:rFonts w:ascii="Arial" w:hAnsi="Arial"/>
                <w:b/>
                <w:i w:val="0"/>
                <w:color w:val="FFFFFF"/>
                <w:sz w:val="19"/>
              </w:rPr>
              <w:t>Roadmap Item</w:t>
            </w:r>
          </w:p>
        </w:tc>
        <w:tc>
          <w:tcPr>
            <w:tcW w:type="dxa" w:w="1296"/>
            <w:shd w:fill="1A365D"/>
            <w:tcMar>
              <w:top w:w="80" w:type="dxa"/>
              <w:bottom w:w="80" w:type="dxa"/>
              <w:left w:w="80" w:type="dxa"/>
              <w:right w:w="80" w:type="dxa"/>
            </w:tcMar>
          </w:tcPr>
          <w:p>
            <w:pPr>
              <w:spacing w:before="80" w:after="80" w:line="276" w:lineRule="auto"/>
            </w:pPr>
            <w:r>
              <w:rPr>
                <w:rFonts w:ascii="Arial" w:hAnsi="Arial"/>
                <w:b/>
                <w:i w:val="0"/>
                <w:color w:val="FFFFFF"/>
                <w:sz w:val="19"/>
              </w:rPr>
              <w:t>Effort</w:t>
            </w:r>
          </w:p>
        </w:tc>
        <w:tc>
          <w:tcPr>
            <w:tcW w:type="dxa" w:w="2592"/>
            <w:shd w:fill="1A365D"/>
            <w:tcMar>
              <w:top w:w="80" w:type="dxa"/>
              <w:bottom w:w="80" w:type="dxa"/>
              <w:left w:w="80" w:type="dxa"/>
              <w:right w:w="80" w:type="dxa"/>
            </w:tcMar>
          </w:tcPr>
          <w:p>
            <w:pPr>
              <w:spacing w:before="80" w:after="80" w:line="276" w:lineRule="auto"/>
            </w:pPr>
            <w:r>
              <w:rPr>
                <w:rFonts w:ascii="Arial" w:hAnsi="Arial"/>
                <w:b/>
                <w:i w:val="0"/>
                <w:color w:val="FFFFFF"/>
                <w:sz w:val="19"/>
              </w:rPr>
              <w:t>Audience Impact</w:t>
            </w:r>
          </w:p>
        </w:tc>
        <w:tc>
          <w:tcPr>
            <w:tcW w:type="dxa" w:w="2448"/>
            <w:shd w:fill="1A365D"/>
            <w:tcMar>
              <w:top w:w="80" w:type="dxa"/>
              <w:bottom w:w="80" w:type="dxa"/>
              <w:left w:w="80" w:type="dxa"/>
              <w:right w:w="80" w:type="dxa"/>
            </w:tcMar>
          </w:tcPr>
          <w:p>
            <w:pPr>
              <w:spacing w:before="80" w:after="80" w:line="276" w:lineRule="auto"/>
            </w:pPr>
            <w:r>
              <w:rPr>
                <w:rFonts w:ascii="Arial" w:hAnsi="Arial"/>
                <w:b/>
                <w:i w:val="0"/>
                <w:color w:val="FFFFFF"/>
                <w:sz w:val="19"/>
              </w:rPr>
              <w:t>Definition of Done (DoD)</w:t>
            </w:r>
          </w:p>
        </w:tc>
      </w:tr>
      <w:tr>
        <w:tc>
          <w:tcPr>
            <w:tcW w:type="dxa" w:w="1152"/>
            <w:shd w:fill="FFFFFF"/>
            <w:tcMar>
              <w:top w:w="80" w:type="dxa"/>
              <w:bottom w:w="80" w:type="dxa"/>
              <w:left w:w="80" w:type="dxa"/>
              <w:right w:w="80" w:type="dxa"/>
            </w:tcMar>
          </w:tcPr>
          <w:p>
            <w:pPr>
              <w:spacing w:before="80" w:after="80" w:line="276" w:lineRule="auto"/>
            </w:pPr>
            <w:r>
              <w:rPr>
                <w:rFonts w:ascii="Arial" w:hAnsi="Arial"/>
                <w:b/>
                <w:i w:val="0"/>
                <w:color w:val="E53E3E"/>
                <w:sz w:val="18"/>
              </w:rPr>
              <w:t>P1</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cache_control Prompts</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0.5 sprint</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90% cost drop on repeat prompts</w:t>
            </w:r>
          </w:p>
        </w:tc>
        <w:tc>
          <w:tcPr>
            <w:tcW w:type="dxa" w:w="2448"/>
            <w:shd w:fill="FFFFFF"/>
            <w:tcMar>
              <w:top w:w="80" w:type="dxa"/>
              <w:bottom w:w="80" w:type="dxa"/>
              <w:left w:w="80" w:type="dxa"/>
              <w:right w:w="80" w:type="dxa"/>
            </w:tcMar>
          </w:tcPr>
          <w:p>
            <w:pPr>
              <w:spacing w:before="80" w:after="80" w:line="276" w:lineRule="auto"/>
            </w:pPr>
            <w:r>
              <w:rPr>
                <w:rFonts w:ascii="Arial" w:hAnsi="Arial"/>
                <w:b w:val="0"/>
                <w:i w:val="0"/>
                <w:color w:val="2D3748"/>
                <w:sz w:val="18"/>
              </w:rPr>
              <w:t>Automatically tags system prompts &gt; 1024 tokens.</w:t>
            </w:r>
          </w:p>
        </w:tc>
      </w:tr>
      <w:tr>
        <w:tc>
          <w:tcPr>
            <w:tcW w:type="dxa" w:w="1152"/>
            <w:shd w:fill="F7FAFC"/>
            <w:tcMar>
              <w:top w:w="80" w:type="dxa"/>
              <w:bottom w:w="80" w:type="dxa"/>
              <w:left w:w="80" w:type="dxa"/>
              <w:right w:w="80" w:type="dxa"/>
            </w:tcMar>
          </w:tcPr>
          <w:p>
            <w:pPr>
              <w:spacing w:before="80" w:after="80" w:line="276" w:lineRule="auto"/>
            </w:pPr>
            <w:r>
              <w:rPr>
                <w:rFonts w:ascii="Arial" w:hAnsi="Arial"/>
                <w:b/>
                <w:i w:val="0"/>
                <w:color w:val="E53E3E"/>
                <w:sz w:val="18"/>
              </w:rPr>
              <w:t>P1</w:t>
            </w:r>
          </w:p>
        </w:tc>
        <w:tc>
          <w:tcPr>
            <w:tcW w:type="dxa" w:w="2592"/>
            <w:shd w:fill="F7FAFC"/>
            <w:tcMar>
              <w:top w:w="80" w:type="dxa"/>
              <w:bottom w:w="80" w:type="dxa"/>
              <w:left w:w="80" w:type="dxa"/>
              <w:right w:w="80" w:type="dxa"/>
            </w:tcMar>
          </w:tcPr>
          <w:p>
            <w:pPr>
              <w:spacing w:before="80" w:after="80" w:line="276" w:lineRule="auto"/>
            </w:pPr>
            <w:r>
              <w:rPr>
                <w:rFonts w:ascii="Arial" w:hAnsi="Arial"/>
                <w:b w:val="0"/>
                <w:i w:val="0"/>
                <w:color w:val="2D3748"/>
                <w:sz w:val="18"/>
              </w:rPr>
              <w:t>RAG max_chars Capping</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0.5 sprint</w:t>
            </w:r>
          </w:p>
        </w:tc>
        <w:tc>
          <w:tcPr>
            <w:tcW w:type="dxa" w:w="2592"/>
            <w:shd w:fill="F7FAFC"/>
            <w:tcMar>
              <w:top w:w="80" w:type="dxa"/>
              <w:bottom w:w="80" w:type="dxa"/>
              <w:left w:w="80" w:type="dxa"/>
              <w:right w:w="80" w:type="dxa"/>
            </w:tcMar>
          </w:tcPr>
          <w:p>
            <w:pPr>
              <w:spacing w:before="80" w:after="80" w:line="276" w:lineRule="auto"/>
            </w:pPr>
            <w:r>
              <w:rPr>
                <w:rFonts w:ascii="Arial" w:hAnsi="Arial"/>
                <w:b w:val="0"/>
                <w:i w:val="0"/>
                <w:color w:val="2D3748"/>
                <w:sz w:val="18"/>
              </w:rPr>
              <w:t>Prevents runaway context injection</w:t>
            </w:r>
          </w:p>
        </w:tc>
        <w:tc>
          <w:tcPr>
            <w:tcW w:type="dxa" w:w="2448"/>
            <w:shd w:fill="F7FAFC"/>
            <w:tcMar>
              <w:top w:w="80" w:type="dxa"/>
              <w:bottom w:w="80" w:type="dxa"/>
              <w:left w:w="80" w:type="dxa"/>
              <w:right w:w="80" w:type="dxa"/>
            </w:tcMar>
          </w:tcPr>
          <w:p>
            <w:pPr>
              <w:spacing w:before="80" w:after="80" w:line="276" w:lineRule="auto"/>
            </w:pPr>
            <w:r>
              <w:rPr>
                <w:rFonts w:ascii="Arial" w:hAnsi="Arial"/>
                <w:b w:val="0"/>
                <w:i w:val="0"/>
                <w:color w:val="2D3748"/>
                <w:sz w:val="18"/>
              </w:rPr>
              <w:t>Configurable RAG budget limit in agent builder.</w:t>
            </w:r>
          </w:p>
        </w:tc>
      </w:tr>
      <w:tr>
        <w:tc>
          <w:tcPr>
            <w:tcW w:type="dxa" w:w="1152"/>
            <w:shd w:fill="FFFFFF"/>
            <w:tcMar>
              <w:top w:w="80" w:type="dxa"/>
              <w:bottom w:w="80" w:type="dxa"/>
              <w:left w:w="80" w:type="dxa"/>
              <w:right w:w="80" w:type="dxa"/>
            </w:tcMar>
          </w:tcPr>
          <w:p>
            <w:pPr>
              <w:spacing w:before="80" w:after="80" w:line="276" w:lineRule="auto"/>
            </w:pPr>
            <w:r>
              <w:rPr>
                <w:rFonts w:ascii="Arial" w:hAnsi="Arial"/>
                <w:b/>
                <w:i w:val="0"/>
                <w:color w:val="E53E3E"/>
                <w:sz w:val="18"/>
              </w:rPr>
              <w:t>P1</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Sandbox Code Interpreter</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1.0 sprint</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Ensures secure Python execution</w:t>
            </w:r>
          </w:p>
        </w:tc>
        <w:tc>
          <w:tcPr>
            <w:tcW w:type="dxa" w:w="2448"/>
            <w:shd w:fill="FFFFFF"/>
            <w:tcMar>
              <w:top w:w="80" w:type="dxa"/>
              <w:bottom w:w="80" w:type="dxa"/>
              <w:left w:w="80" w:type="dxa"/>
              <w:right w:w="80" w:type="dxa"/>
            </w:tcMar>
          </w:tcPr>
          <w:p>
            <w:pPr>
              <w:spacing w:before="80" w:after="80" w:line="276" w:lineRule="auto"/>
            </w:pPr>
            <w:r>
              <w:rPr>
                <w:rFonts w:ascii="Arial" w:hAnsi="Arial"/>
                <w:b w:val="0"/>
                <w:i w:val="0"/>
                <w:color w:val="2D3748"/>
                <w:sz w:val="18"/>
              </w:rPr>
              <w:t>Subprocess execution with memory, CPU, and net blocks.</w:t>
            </w:r>
          </w:p>
        </w:tc>
      </w:tr>
      <w:tr>
        <w:tc>
          <w:tcPr>
            <w:tcW w:type="dxa" w:w="1152"/>
            <w:shd w:fill="F7FAFC"/>
            <w:tcMar>
              <w:top w:w="80" w:type="dxa"/>
              <w:bottom w:w="80" w:type="dxa"/>
              <w:left w:w="80" w:type="dxa"/>
              <w:right w:w="80" w:type="dxa"/>
            </w:tcMar>
          </w:tcPr>
          <w:p>
            <w:pPr>
              <w:spacing w:before="80" w:after="80" w:line="276" w:lineRule="auto"/>
            </w:pPr>
            <w:r>
              <w:rPr>
                <w:rFonts w:ascii="Arial" w:hAnsi="Arial"/>
                <w:b/>
                <w:i w:val="0"/>
                <w:color w:val="E53E3E"/>
                <w:sz w:val="18"/>
              </w:rPr>
              <w:t>P1</w:t>
            </w:r>
          </w:p>
        </w:tc>
        <w:tc>
          <w:tcPr>
            <w:tcW w:type="dxa" w:w="2592"/>
            <w:shd w:fill="F7FAFC"/>
            <w:tcMar>
              <w:top w:w="80" w:type="dxa"/>
              <w:bottom w:w="80" w:type="dxa"/>
              <w:left w:w="80" w:type="dxa"/>
              <w:right w:w="80" w:type="dxa"/>
            </w:tcMar>
          </w:tcPr>
          <w:p>
            <w:pPr>
              <w:spacing w:before="80" w:after="80" w:line="276" w:lineRule="auto"/>
            </w:pPr>
            <w:r>
              <w:rPr>
                <w:rFonts w:ascii="Arial" w:hAnsi="Arial"/>
                <w:b w:val="0"/>
                <w:i w:val="0"/>
                <w:color w:val="2D3748"/>
                <w:sz w:val="18"/>
              </w:rPr>
              <w:t>Replay API / Forking</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1.0 sprint</w:t>
            </w:r>
          </w:p>
        </w:tc>
        <w:tc>
          <w:tcPr>
            <w:tcW w:type="dxa" w:w="2592"/>
            <w:shd w:fill="F7FAFC"/>
            <w:tcMar>
              <w:top w:w="80" w:type="dxa"/>
              <w:bottom w:w="80" w:type="dxa"/>
              <w:left w:w="80" w:type="dxa"/>
              <w:right w:w="80" w:type="dxa"/>
            </w:tcMar>
          </w:tcPr>
          <w:p>
            <w:pPr>
              <w:spacing w:before="80" w:after="80" w:line="276" w:lineRule="auto"/>
            </w:pPr>
            <w:r>
              <w:rPr>
                <w:rFonts w:ascii="Arial" w:hAnsi="Arial"/>
                <w:b w:val="0"/>
                <w:i w:val="0"/>
                <w:color w:val="2D3748"/>
                <w:sz w:val="18"/>
              </w:rPr>
              <w:t>LangGraph time-travel parity</w:t>
            </w:r>
          </w:p>
        </w:tc>
        <w:tc>
          <w:tcPr>
            <w:tcW w:type="dxa" w:w="2448"/>
            <w:shd w:fill="F7FAFC"/>
            <w:tcMar>
              <w:top w:w="80" w:type="dxa"/>
              <w:bottom w:w="80" w:type="dxa"/>
              <w:left w:w="80" w:type="dxa"/>
              <w:right w:w="80" w:type="dxa"/>
            </w:tcMar>
          </w:tcPr>
          <w:p>
            <w:pPr>
              <w:spacing w:before="80" w:after="80" w:line="276" w:lineRule="auto"/>
            </w:pPr>
            <w:r>
              <w:rPr>
                <w:rFonts w:ascii="Arial" w:hAnsi="Arial"/>
                <w:b w:val="0"/>
                <w:i w:val="0"/>
                <w:color w:val="2D3748"/>
                <w:sz w:val="18"/>
              </w:rPr>
              <w:t>API endpoints and CLI args to branch checkpoints.</w:t>
            </w:r>
          </w:p>
        </w:tc>
      </w:tr>
      <w:tr>
        <w:tc>
          <w:tcPr>
            <w:tcW w:type="dxa" w:w="1152"/>
            <w:shd w:fill="FFFFFF"/>
            <w:tcMar>
              <w:top w:w="80" w:type="dxa"/>
              <w:bottom w:w="80" w:type="dxa"/>
              <w:left w:w="80" w:type="dxa"/>
              <w:right w:w="80" w:type="dxa"/>
            </w:tcMar>
          </w:tcPr>
          <w:p>
            <w:pPr>
              <w:spacing w:before="80" w:after="80" w:line="276" w:lineRule="auto"/>
            </w:pPr>
            <w:r>
              <w:rPr>
                <w:rFonts w:ascii="Arial" w:hAnsi="Arial"/>
                <w:b/>
                <w:i w:val="0"/>
                <w:color w:val="2D3748"/>
                <w:sz w:val="18"/>
              </w:rPr>
              <w:t>P2</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ModelRouter Task</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2.0 sprints</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Cost-effective task routing</w:t>
            </w:r>
          </w:p>
        </w:tc>
        <w:tc>
          <w:tcPr>
            <w:tcW w:type="dxa" w:w="2448"/>
            <w:shd w:fill="FFFFFF"/>
            <w:tcMar>
              <w:top w:w="80" w:type="dxa"/>
              <w:bottom w:w="80" w:type="dxa"/>
              <w:left w:w="80" w:type="dxa"/>
              <w:right w:w="80" w:type="dxa"/>
            </w:tcMar>
          </w:tcPr>
          <w:p>
            <w:pPr>
              <w:spacing w:before="80" w:after="80" w:line="276" w:lineRule="auto"/>
            </w:pPr>
            <w:r>
              <w:rPr>
                <w:rFonts w:ascii="Arial" w:hAnsi="Arial"/>
                <w:b w:val="0"/>
                <w:i w:val="0"/>
                <w:color w:val="2D3748"/>
                <w:sz w:val="18"/>
              </w:rPr>
              <w:t>Tiers configuration with ReplayLedger analytics event.</w:t>
            </w:r>
          </w:p>
        </w:tc>
      </w:tr>
      <w:tr>
        <w:tc>
          <w:tcPr>
            <w:tcW w:type="dxa" w:w="1152"/>
            <w:shd w:fill="F7FAFC"/>
            <w:tcMar>
              <w:top w:w="80" w:type="dxa"/>
              <w:bottom w:w="80" w:type="dxa"/>
              <w:left w:w="80" w:type="dxa"/>
              <w:right w:w="80" w:type="dxa"/>
            </w:tcMar>
          </w:tcPr>
          <w:p>
            <w:pPr>
              <w:spacing w:before="80" w:after="80" w:line="276" w:lineRule="auto"/>
            </w:pPr>
            <w:r>
              <w:rPr>
                <w:rFonts w:ascii="Arial" w:hAnsi="Arial"/>
                <w:b/>
                <w:i w:val="0"/>
                <w:color w:val="2D3748"/>
                <w:sz w:val="18"/>
              </w:rPr>
              <w:t>P2</w:t>
            </w:r>
          </w:p>
        </w:tc>
        <w:tc>
          <w:tcPr>
            <w:tcW w:type="dxa" w:w="2592"/>
            <w:shd w:fill="F7FAFC"/>
            <w:tcMar>
              <w:top w:w="80" w:type="dxa"/>
              <w:bottom w:w="80" w:type="dxa"/>
              <w:left w:w="80" w:type="dxa"/>
              <w:right w:w="80" w:type="dxa"/>
            </w:tcMar>
          </w:tcPr>
          <w:p>
            <w:pPr>
              <w:spacing w:before="80" w:after="80" w:line="276" w:lineRule="auto"/>
            </w:pPr>
            <w:r>
              <w:rPr>
                <w:rFonts w:ascii="Arial" w:hAnsi="Arial"/>
                <w:b w:val="0"/>
                <w:i w:val="0"/>
                <w:color w:val="2D3748"/>
                <w:sz w:val="18"/>
              </w:rPr>
              <w:t>ContextCompactor</w:t>
            </w:r>
          </w:p>
        </w:tc>
        <w:tc>
          <w:tcPr>
            <w:tcW w:type="dxa" w:w="1296"/>
            <w:shd w:fill="F7FAFC"/>
            <w:tcMar>
              <w:top w:w="80" w:type="dxa"/>
              <w:bottom w:w="80" w:type="dxa"/>
              <w:left w:w="80" w:type="dxa"/>
              <w:right w:w="80" w:type="dxa"/>
            </w:tcMar>
          </w:tcPr>
          <w:p>
            <w:pPr>
              <w:spacing w:before="80" w:after="80" w:line="276" w:lineRule="auto"/>
            </w:pPr>
            <w:r>
              <w:rPr>
                <w:rFonts w:ascii="Arial" w:hAnsi="Arial"/>
                <w:b w:val="0"/>
                <w:i w:val="0"/>
                <w:color w:val="2D3748"/>
                <w:sz w:val="18"/>
              </w:rPr>
              <w:t>2.0 sprints</w:t>
            </w:r>
          </w:p>
        </w:tc>
        <w:tc>
          <w:tcPr>
            <w:tcW w:type="dxa" w:w="2592"/>
            <w:shd w:fill="F7FAFC"/>
            <w:tcMar>
              <w:top w:w="80" w:type="dxa"/>
              <w:bottom w:w="80" w:type="dxa"/>
              <w:left w:w="80" w:type="dxa"/>
              <w:right w:w="80" w:type="dxa"/>
            </w:tcMar>
          </w:tcPr>
          <w:p>
            <w:pPr>
              <w:spacing w:before="80" w:after="80" w:line="276" w:lineRule="auto"/>
            </w:pPr>
            <w:r>
              <w:rPr>
                <w:rFonts w:ascii="Arial" w:hAnsi="Arial"/>
                <w:b w:val="0"/>
                <w:i w:val="0"/>
                <w:color w:val="2D3748"/>
                <w:sz w:val="18"/>
              </w:rPr>
              <w:t>Limits long-running graph costs</w:t>
            </w:r>
          </w:p>
        </w:tc>
        <w:tc>
          <w:tcPr>
            <w:tcW w:type="dxa" w:w="2448"/>
            <w:shd w:fill="F7FAFC"/>
            <w:tcMar>
              <w:top w:w="80" w:type="dxa"/>
              <w:bottom w:w="80" w:type="dxa"/>
              <w:left w:w="80" w:type="dxa"/>
              <w:right w:w="80" w:type="dxa"/>
            </w:tcMar>
          </w:tcPr>
          <w:p>
            <w:pPr>
              <w:spacing w:before="80" w:after="80" w:line="276" w:lineRule="auto"/>
            </w:pPr>
            <w:r>
              <w:rPr>
                <w:rFonts w:ascii="Arial" w:hAnsi="Arial"/>
                <w:b w:val="0"/>
                <w:i w:val="0"/>
                <w:color w:val="2D3748"/>
                <w:sz w:val="18"/>
              </w:rPr>
              <w:t>SummaryPruner wraps prompt window automatically.</w:t>
            </w:r>
          </w:p>
        </w:tc>
      </w:tr>
      <w:tr>
        <w:tc>
          <w:tcPr>
            <w:tcW w:type="dxa" w:w="1152"/>
            <w:shd w:fill="FFFFFF"/>
            <w:tcMar>
              <w:top w:w="80" w:type="dxa"/>
              <w:bottom w:w="80" w:type="dxa"/>
              <w:left w:w="80" w:type="dxa"/>
              <w:right w:w="80" w:type="dxa"/>
            </w:tcMar>
          </w:tcPr>
          <w:p>
            <w:pPr>
              <w:spacing w:before="80" w:after="80" w:line="276" w:lineRule="auto"/>
            </w:pPr>
            <w:r>
              <w:rPr>
                <w:rFonts w:ascii="Arial" w:hAnsi="Arial"/>
                <w:b/>
                <w:i w:val="0"/>
                <w:color w:val="2D3748"/>
                <w:sz w:val="18"/>
              </w:rPr>
              <w:t>P2</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CriticAgent Loop</w:t>
            </w:r>
          </w:p>
        </w:tc>
        <w:tc>
          <w:tcPr>
            <w:tcW w:type="dxa" w:w="1296"/>
            <w:shd w:fill="FFFFFF"/>
            <w:tcMar>
              <w:top w:w="80" w:type="dxa"/>
              <w:bottom w:w="80" w:type="dxa"/>
              <w:left w:w="80" w:type="dxa"/>
              <w:right w:w="80" w:type="dxa"/>
            </w:tcMar>
          </w:tcPr>
          <w:p>
            <w:pPr>
              <w:spacing w:before="80" w:after="80" w:line="276" w:lineRule="auto"/>
            </w:pPr>
            <w:r>
              <w:rPr>
                <w:rFonts w:ascii="Arial" w:hAnsi="Arial"/>
                <w:b w:val="0"/>
                <w:i w:val="0"/>
                <w:color w:val="2D3748"/>
                <w:sz w:val="18"/>
              </w:rPr>
              <w:t>1.0 sprint</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AutoGen critique loop parity</w:t>
            </w:r>
          </w:p>
        </w:tc>
        <w:tc>
          <w:tcPr>
            <w:tcW w:type="dxa" w:w="2448"/>
            <w:shd w:fill="FFFFFF"/>
            <w:tcMar>
              <w:top w:w="80" w:type="dxa"/>
              <w:bottom w:w="80" w:type="dxa"/>
              <w:left w:w="80" w:type="dxa"/>
              <w:right w:w="80" w:type="dxa"/>
            </w:tcMar>
          </w:tcPr>
          <w:p>
            <w:pPr>
              <w:spacing w:before="80" w:after="80" w:line="276" w:lineRule="auto"/>
            </w:pPr>
            <w:r>
              <w:rPr>
                <w:rFonts w:ascii="Arial" w:hAnsi="Arial"/>
                <w:b w:val="0"/>
                <w:i w:val="0"/>
                <w:color w:val="2D3748"/>
                <w:sz w:val="18"/>
              </w:rPr>
              <w:t>Built-in Proposal-Challenger agent constructor.</w:t>
            </w:r>
          </w:p>
        </w:tc>
      </w:tr>
    </w:tbl>
    <w:p>
      <w:pPr>
        <w:spacing w:before="0" w:after="240" w:line="276" w:lineRule="auto"/>
      </w:pPr>
    </w:p>
    <w:p>
      <w:pPr>
        <w:keepNext/>
        <w:spacing w:before="360" w:after="120" w:line="276" w:lineRule="auto"/>
      </w:pPr>
      <w:r>
        <w:rPr>
          <w:rFonts w:ascii="Arial" w:hAnsi="Arial"/>
          <w:b/>
          <w:i w:val="0"/>
          <w:color w:val="1A365D"/>
          <w:sz w:val="36"/>
        </w:rPr>
        <w:t>Section 5 — Win/Loss Signal Layer</w:t>
      </w:r>
    </w:p>
    <w:p>
      <w:pPr>
        <w:spacing w:before="0" w:after="120" w:line="276" w:lineRule="auto"/>
      </w:pPr>
      <w:r>
        <w:rPr>
          <w:rFonts w:ascii="Arial" w:hAnsi="Arial"/>
          <w:b w:val="0"/>
          <w:i w:val="0"/>
          <w:color w:val="2D3748"/>
          <w:sz w:val="21"/>
        </w:rPr>
        <w:t>These anonymized data points reflect feedback gathered during pipeline migrations and enterprise platform decisions.</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bottom w:val="none"/>
              <w:left w:val="single" w:sz="36" w:space="0" w:color="1A365D"/>
              <w:right w:val="none"/>
            </w:tcBorders>
            <w:tcMar>
              <w:top w:w="140" w:type="dxa"/>
              <w:bottom w:w="140" w:type="dxa"/>
              <w:left w:w="200" w:type="dxa"/>
              <w:right w:w="200" w:type="dxa"/>
            </w:tcMar>
          </w:tcPr>
          <w:p>
            <w:pPr>
              <w:spacing w:before="0" w:after="0" w:line="276" w:lineRule="auto"/>
            </w:pPr>
            <w:r>
              <w:rPr>
                <w:rFonts w:ascii="Arial" w:hAnsi="Arial"/>
                <w:b/>
                <w:i w:val="0"/>
                <w:color w:val="1A365D"/>
                <w:sz w:val="22"/>
              </w:rPr>
              <w:t>WIN: Lead Architect, FinTech Platform</w:t>
              <w:br/>
            </w:r>
            <w:r>
              <w:rPr>
                <w:rFonts w:ascii="Arial" w:hAnsi="Arial"/>
                <w:b w:val="0"/>
                <w:i/>
                <w:color w:val="2D3748"/>
                <w:sz w:val="21"/>
              </w:rPr>
              <w:t>"We chose MeshFlow because ComplianceGuard allowed us to satisfy our HIPAA auditor out-of-the-box. With LangGraph, we had to write custom trace interceptors to handle PII data masking."</w:t>
            </w:r>
          </w:p>
        </w:tc>
      </w:tr>
    </w:tbl>
    <w:p>
      <w:pPr>
        <w:spacing w:before="0" w:after="120" w:line="276" w:lineRule="auto"/>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bottom w:val="none"/>
              <w:left w:val="single" w:sz="36" w:space="0" w:color="DD6B20"/>
              <w:right w:val="none"/>
            </w:tcBorders>
            <w:tcMar>
              <w:top w:w="140" w:type="dxa"/>
              <w:bottom w:w="140" w:type="dxa"/>
              <w:left w:w="200" w:type="dxa"/>
              <w:right w:w="200" w:type="dxa"/>
            </w:tcMar>
          </w:tcPr>
          <w:p>
            <w:pPr>
              <w:spacing w:before="0" w:after="0" w:line="276" w:lineRule="auto"/>
            </w:pPr>
            <w:r>
              <w:rPr>
                <w:rFonts w:ascii="Arial" w:hAnsi="Arial"/>
                <w:b/>
                <w:i w:val="0"/>
                <w:color w:val="1A365D"/>
                <w:sz w:val="22"/>
              </w:rPr>
              <w:t>LOSS: CTO, E-Commerce Platform</w:t>
              <w:br/>
            </w:r>
            <w:r>
              <w:rPr>
                <w:rFonts w:ascii="Arial" w:hAnsi="Arial"/>
                <w:b w:val="0"/>
                <w:i/>
                <w:color w:val="2D3748"/>
                <w:sz w:val="21"/>
              </w:rPr>
              <w:t>"We chose Dify because our non-technical product managers needed to iterate on RAG parameters and prompts directly. MeshFlow's code-first setup was too complex for non-devs to tweak."</w:t>
            </w:r>
          </w:p>
        </w:tc>
      </w:tr>
    </w:tbl>
    <w:p>
      <w:pPr>
        <w:spacing w:before="0" w:after="120" w:line="276" w:lineRule="auto"/>
      </w:pPr>
    </w:p>
    <w:p>
      <w:pPr>
        <w:keepNext/>
        <w:spacing w:before="360" w:after="120" w:line="276" w:lineRule="auto"/>
      </w:pPr>
      <w:r>
        <w:rPr>
          <w:rFonts w:ascii="Arial" w:hAnsi="Arial"/>
          <w:b/>
          <w:i w:val="0"/>
          <w:color w:val="1A365D"/>
          <w:sz w:val="36"/>
        </w:rPr>
        <w:t>Section 6 — Pricing &amp; Total Cost of Ownership (TCO)</w:t>
      </w:r>
    </w:p>
    <w:p>
      <w:pPr>
        <w:spacing w:before="0" w:after="120" w:line="276" w:lineRule="auto"/>
      </w:pPr>
      <w:r>
        <w:rPr>
          <w:rFonts w:ascii="Arial" w:hAnsi="Arial"/>
          <w:b w:val="0"/>
          <w:i w:val="0"/>
          <w:color w:val="2D3748"/>
          <w:sz w:val="21"/>
        </w:rPr>
        <w:t>Enterprise platforms routinely charge seat licenses and usage taxes. MeshFlow's Apache-2.0 core saves substantial licensing fees while active token optimization saves ongoing compute costs.</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340"/>
        <w:gridCol w:w="2340"/>
        <w:gridCol w:w="2340"/>
        <w:gridCol w:w="2340"/>
      </w:tblGrid>
      <w:tr>
        <w:tc>
          <w:tcPr>
            <w:tcW w:type="dxa" w:w="2160"/>
            <w:shd w:fill="1A365D"/>
            <w:tcMar>
              <w:top w:w="80" w:type="dxa"/>
              <w:bottom w:w="80" w:type="dxa"/>
              <w:left w:w="80" w:type="dxa"/>
              <w:right w:w="80" w:type="dxa"/>
            </w:tcMar>
          </w:tcPr>
          <w:p>
            <w:pPr>
              <w:spacing w:before="80" w:after="80" w:line="276" w:lineRule="auto"/>
            </w:pPr>
            <w:r>
              <w:rPr>
                <w:rFonts w:ascii="Arial" w:hAnsi="Arial"/>
                <w:b/>
                <w:i w:val="0"/>
                <w:color w:val="FFFFFF"/>
                <w:sz w:val="19"/>
              </w:rPr>
              <w:t>Competitor</w:t>
            </w:r>
          </w:p>
        </w:tc>
        <w:tc>
          <w:tcPr>
            <w:tcW w:type="dxa" w:w="3168"/>
            <w:shd w:fill="1A365D"/>
            <w:tcMar>
              <w:top w:w="80" w:type="dxa"/>
              <w:bottom w:w="80" w:type="dxa"/>
              <w:left w:w="80" w:type="dxa"/>
              <w:right w:w="80" w:type="dxa"/>
            </w:tcMar>
          </w:tcPr>
          <w:p>
            <w:pPr>
              <w:spacing w:before="80" w:after="80" w:line="276" w:lineRule="auto"/>
            </w:pPr>
            <w:r>
              <w:rPr>
                <w:rFonts w:ascii="Arial" w:hAnsi="Arial"/>
                <w:b/>
                <w:i w:val="0"/>
                <w:color w:val="FFFFFF"/>
                <w:sz w:val="19"/>
              </w:rPr>
              <w:t>Licensing Model</w:t>
            </w:r>
          </w:p>
        </w:tc>
        <w:tc>
          <w:tcPr>
            <w:tcW w:type="dxa" w:w="1872"/>
            <w:shd w:fill="1A365D"/>
            <w:tcMar>
              <w:top w:w="80" w:type="dxa"/>
              <w:bottom w:w="80" w:type="dxa"/>
              <w:left w:w="80" w:type="dxa"/>
              <w:right w:w="80" w:type="dxa"/>
            </w:tcMar>
          </w:tcPr>
          <w:p>
            <w:pPr>
              <w:spacing w:before="80" w:after="80" w:line="276" w:lineRule="auto"/>
            </w:pPr>
            <w:r>
              <w:rPr>
                <w:rFonts w:ascii="Arial" w:hAnsi="Arial"/>
                <w:b/>
                <w:i w:val="0"/>
                <w:color w:val="FFFFFF"/>
                <w:sz w:val="19"/>
              </w:rPr>
              <w:t>Enterprise Entry (Est.)</w:t>
            </w:r>
          </w:p>
        </w:tc>
        <w:tc>
          <w:tcPr>
            <w:tcW w:type="dxa" w:w="2160"/>
            <w:shd w:fill="1A365D"/>
            <w:tcMar>
              <w:top w:w="80" w:type="dxa"/>
              <w:bottom w:w="80" w:type="dxa"/>
              <w:left w:w="80" w:type="dxa"/>
              <w:right w:w="80" w:type="dxa"/>
            </w:tcMar>
          </w:tcPr>
          <w:p>
            <w:pPr>
              <w:spacing w:before="80" w:after="80" w:line="276" w:lineRule="auto"/>
            </w:pPr>
            <w:r>
              <w:rPr>
                <w:rFonts w:ascii="Arial" w:hAnsi="Arial"/>
                <w:b/>
                <w:i w:val="0"/>
                <w:color w:val="FFFFFF"/>
                <w:sz w:val="19"/>
              </w:rPr>
              <w:t>Token Overhead</w:t>
            </w:r>
          </w:p>
        </w:tc>
      </w:tr>
      <w:tr>
        <w:tc>
          <w:tcPr>
            <w:tcW w:type="dxa" w:w="2160"/>
            <w:shd w:fill="FFFFFF"/>
            <w:tcMar>
              <w:top w:w="80" w:type="dxa"/>
              <w:bottom w:w="80" w:type="dxa"/>
              <w:left w:w="80" w:type="dxa"/>
              <w:right w:w="80" w:type="dxa"/>
            </w:tcMar>
          </w:tcPr>
          <w:p>
            <w:pPr>
              <w:spacing w:before="80" w:after="80" w:line="276" w:lineRule="auto"/>
            </w:pPr>
            <w:r>
              <w:rPr>
                <w:rFonts w:ascii="Arial" w:hAnsi="Arial"/>
                <w:b/>
                <w:i w:val="0"/>
                <w:color w:val="2D3748"/>
                <w:sz w:val="18"/>
              </w:rPr>
              <w:t>LangSmith</w:t>
            </w:r>
          </w:p>
        </w:tc>
        <w:tc>
          <w:tcPr>
            <w:tcW w:type="dxa" w:w="3168"/>
            <w:shd w:fill="FFFFFF"/>
            <w:tcMar>
              <w:top w:w="80" w:type="dxa"/>
              <w:bottom w:w="80" w:type="dxa"/>
              <w:left w:w="80" w:type="dxa"/>
              <w:right w:w="80" w:type="dxa"/>
            </w:tcMar>
          </w:tcPr>
          <w:p>
            <w:pPr>
              <w:spacing w:before="80" w:after="80" w:line="276" w:lineRule="auto"/>
            </w:pPr>
            <w:r>
              <w:rPr>
                <w:rFonts w:ascii="Arial" w:hAnsi="Arial"/>
                <w:b w:val="0"/>
                <w:i w:val="0"/>
                <w:color w:val="2D3748"/>
                <w:sz w:val="18"/>
              </w:rPr>
              <w:t>SaaS ($0.15 / 1K runs)</w:t>
            </w:r>
          </w:p>
        </w:tc>
        <w:tc>
          <w:tcPr>
            <w:tcW w:type="dxa" w:w="1872"/>
            <w:shd w:fill="FFFFFF"/>
            <w:tcMar>
              <w:top w:w="80" w:type="dxa"/>
              <w:bottom w:w="80" w:type="dxa"/>
              <w:left w:w="80" w:type="dxa"/>
              <w:right w:w="80" w:type="dxa"/>
            </w:tcMar>
          </w:tcPr>
          <w:p>
            <w:pPr>
              <w:spacing w:before="80" w:after="80" w:line="276" w:lineRule="auto"/>
            </w:pPr>
            <w:r>
              <w:rPr>
                <w:rFonts w:ascii="Arial" w:hAnsi="Arial"/>
                <w:b w:val="0"/>
                <w:i w:val="0"/>
                <w:color w:val="2D3748"/>
                <w:sz w:val="18"/>
              </w:rPr>
              <w:t>$18,000 / year</w:t>
            </w:r>
          </w:p>
        </w:tc>
        <w:tc>
          <w:tcPr>
            <w:tcW w:type="dxa" w:w="2160"/>
            <w:shd w:fill="FFFFFF"/>
            <w:tcMar>
              <w:top w:w="80" w:type="dxa"/>
              <w:bottom w:w="80" w:type="dxa"/>
              <w:left w:w="80" w:type="dxa"/>
              <w:right w:w="80" w:type="dxa"/>
            </w:tcMar>
          </w:tcPr>
          <w:p>
            <w:pPr>
              <w:spacing w:before="80" w:after="80" w:line="276" w:lineRule="auto"/>
            </w:pPr>
            <w:r>
              <w:rPr>
                <w:rFonts w:ascii="Arial" w:hAnsi="Arial"/>
                <w:b w:val="0"/>
                <w:i w:val="0"/>
                <w:color w:val="2D3748"/>
                <w:sz w:val="18"/>
              </w:rPr>
              <w:t>High (No default prompt caching)</w:t>
            </w:r>
          </w:p>
        </w:tc>
      </w:tr>
      <w:tr>
        <w:tc>
          <w:tcPr>
            <w:tcW w:type="dxa" w:w="2160"/>
            <w:shd w:fill="F7FAFC"/>
            <w:tcMar>
              <w:top w:w="80" w:type="dxa"/>
              <w:bottom w:w="80" w:type="dxa"/>
              <w:left w:w="80" w:type="dxa"/>
              <w:right w:w="80" w:type="dxa"/>
            </w:tcMar>
          </w:tcPr>
          <w:p>
            <w:pPr>
              <w:spacing w:before="80" w:after="80" w:line="276" w:lineRule="auto"/>
            </w:pPr>
            <w:r>
              <w:rPr>
                <w:rFonts w:ascii="Arial" w:hAnsi="Arial"/>
                <w:b/>
                <w:i w:val="0"/>
                <w:color w:val="2D3748"/>
                <w:sz w:val="18"/>
              </w:rPr>
              <w:t>Dify</w:t>
            </w:r>
          </w:p>
        </w:tc>
        <w:tc>
          <w:tcPr>
            <w:tcW w:type="dxa" w:w="3168"/>
            <w:shd w:fill="F7FAFC"/>
            <w:tcMar>
              <w:top w:w="80" w:type="dxa"/>
              <w:bottom w:w="80" w:type="dxa"/>
              <w:left w:w="80" w:type="dxa"/>
              <w:right w:w="80" w:type="dxa"/>
            </w:tcMar>
          </w:tcPr>
          <w:p>
            <w:pPr>
              <w:spacing w:before="80" w:after="80" w:line="276" w:lineRule="auto"/>
            </w:pPr>
            <w:r>
              <w:rPr>
                <w:rFonts w:ascii="Arial" w:hAnsi="Arial"/>
                <w:b w:val="0"/>
                <w:i w:val="0"/>
                <w:color w:val="2D3748"/>
                <w:sz w:val="18"/>
              </w:rPr>
              <w:t>Cloud Team ($59/mo) / Enterprise</w:t>
            </w:r>
          </w:p>
        </w:tc>
        <w:tc>
          <w:tcPr>
            <w:tcW w:type="dxa" w:w="1872"/>
            <w:shd w:fill="F7FAFC"/>
            <w:tcMar>
              <w:top w:w="80" w:type="dxa"/>
              <w:bottom w:w="80" w:type="dxa"/>
              <w:left w:w="80" w:type="dxa"/>
              <w:right w:w="80" w:type="dxa"/>
            </w:tcMar>
          </w:tcPr>
          <w:p>
            <w:pPr>
              <w:spacing w:before="80" w:after="80" w:line="276" w:lineRule="auto"/>
            </w:pPr>
            <w:r>
              <w:rPr>
                <w:rFonts w:ascii="Arial" w:hAnsi="Arial"/>
                <w:b w:val="0"/>
                <w:i w:val="0"/>
                <w:color w:val="2D3748"/>
                <w:sz w:val="18"/>
              </w:rPr>
              <w:t>$12,000 / year</w:t>
            </w:r>
          </w:p>
        </w:tc>
        <w:tc>
          <w:tcPr>
            <w:tcW w:type="dxa" w:w="2160"/>
            <w:shd w:fill="F7FAFC"/>
            <w:tcMar>
              <w:top w:w="80" w:type="dxa"/>
              <w:bottom w:w="80" w:type="dxa"/>
              <w:left w:w="80" w:type="dxa"/>
              <w:right w:w="80" w:type="dxa"/>
            </w:tcMar>
          </w:tcPr>
          <w:p>
            <w:pPr>
              <w:spacing w:before="80" w:after="80" w:line="276" w:lineRule="auto"/>
            </w:pPr>
            <w:r>
              <w:rPr>
                <w:rFonts w:ascii="Arial" w:hAnsi="Arial"/>
                <w:b w:val="0"/>
                <w:i w:val="0"/>
                <w:color w:val="2D3748"/>
                <w:sz w:val="18"/>
              </w:rPr>
              <w:t>Medium (Fixed visual graph steps)</w:t>
            </w:r>
          </w:p>
        </w:tc>
      </w:tr>
      <w:tr>
        <w:tc>
          <w:tcPr>
            <w:tcW w:type="dxa" w:w="2160"/>
            <w:shd w:fill="FFFFFF"/>
            <w:tcMar>
              <w:top w:w="80" w:type="dxa"/>
              <w:bottom w:w="80" w:type="dxa"/>
              <w:left w:w="80" w:type="dxa"/>
              <w:right w:w="80" w:type="dxa"/>
            </w:tcMar>
          </w:tcPr>
          <w:p>
            <w:pPr>
              <w:spacing w:before="80" w:after="80" w:line="276" w:lineRule="auto"/>
            </w:pPr>
            <w:r>
              <w:rPr>
                <w:rFonts w:ascii="Arial" w:hAnsi="Arial"/>
                <w:b/>
                <w:i w:val="0"/>
                <w:color w:val="2D3748"/>
                <w:sz w:val="18"/>
              </w:rPr>
              <w:t>deepset Cloud</w:t>
            </w:r>
          </w:p>
        </w:tc>
        <w:tc>
          <w:tcPr>
            <w:tcW w:type="dxa" w:w="3168"/>
            <w:shd w:fill="FFFFFF"/>
            <w:tcMar>
              <w:top w:w="80" w:type="dxa"/>
              <w:bottom w:w="80" w:type="dxa"/>
              <w:left w:w="80" w:type="dxa"/>
              <w:right w:w="80" w:type="dxa"/>
            </w:tcMar>
          </w:tcPr>
          <w:p>
            <w:pPr>
              <w:spacing w:before="80" w:after="80" w:line="276" w:lineRule="auto"/>
            </w:pPr>
            <w:r>
              <w:rPr>
                <w:rFonts w:ascii="Arial" w:hAnsi="Arial"/>
                <w:b w:val="0"/>
                <w:i w:val="0"/>
                <w:color w:val="2D3748"/>
                <w:sz w:val="18"/>
              </w:rPr>
              <w:t>Enterprise Platform SaaS</w:t>
            </w:r>
          </w:p>
        </w:tc>
        <w:tc>
          <w:tcPr>
            <w:tcW w:type="dxa" w:w="1872"/>
            <w:shd w:fill="FFFFFF"/>
            <w:tcMar>
              <w:top w:w="80" w:type="dxa"/>
              <w:bottom w:w="80" w:type="dxa"/>
              <w:left w:w="80" w:type="dxa"/>
              <w:right w:w="80" w:type="dxa"/>
            </w:tcMar>
          </w:tcPr>
          <w:p>
            <w:pPr>
              <w:spacing w:before="80" w:after="80" w:line="276" w:lineRule="auto"/>
            </w:pPr>
            <w:r>
              <w:rPr>
                <w:rFonts w:ascii="Arial" w:hAnsi="Arial"/>
                <w:b w:val="0"/>
                <w:i w:val="0"/>
                <w:color w:val="2D3748"/>
                <w:sz w:val="18"/>
              </w:rPr>
              <w:t>$40,000 / year</w:t>
            </w:r>
          </w:p>
        </w:tc>
        <w:tc>
          <w:tcPr>
            <w:tcW w:type="dxa" w:w="2160"/>
            <w:shd w:fill="FFFFFF"/>
            <w:tcMar>
              <w:top w:w="80" w:type="dxa"/>
              <w:bottom w:w="80" w:type="dxa"/>
              <w:left w:w="80" w:type="dxa"/>
              <w:right w:w="80" w:type="dxa"/>
            </w:tcMar>
          </w:tcPr>
          <w:p>
            <w:pPr>
              <w:spacing w:before="80" w:after="80" w:line="276" w:lineRule="auto"/>
            </w:pPr>
            <w:r>
              <w:rPr>
                <w:rFonts w:ascii="Arial" w:hAnsi="Arial"/>
                <w:b w:val="0"/>
                <w:i w:val="0"/>
                <w:color w:val="2D3748"/>
                <w:sz w:val="18"/>
              </w:rPr>
              <w:t>Low (Modular components)</w:t>
            </w:r>
          </w:p>
        </w:tc>
      </w:tr>
      <w:tr>
        <w:tc>
          <w:tcPr>
            <w:tcW w:type="dxa" w:w="2160"/>
            <w:shd w:fill="F7FAFC"/>
            <w:tcMar>
              <w:top w:w="80" w:type="dxa"/>
              <w:bottom w:w="80" w:type="dxa"/>
              <w:left w:w="80" w:type="dxa"/>
              <w:right w:w="80" w:type="dxa"/>
            </w:tcMar>
          </w:tcPr>
          <w:p>
            <w:pPr>
              <w:spacing w:before="80" w:after="80" w:line="276" w:lineRule="auto"/>
            </w:pPr>
            <w:r>
              <w:rPr>
                <w:rFonts w:ascii="Arial" w:hAnsi="Arial"/>
                <w:b/>
                <w:i w:val="0"/>
                <w:color w:val="2D3748"/>
                <w:sz w:val="18"/>
              </w:rPr>
              <w:t>MeshFlow</w:t>
            </w:r>
          </w:p>
        </w:tc>
        <w:tc>
          <w:tcPr>
            <w:tcW w:type="dxa" w:w="3168"/>
            <w:shd w:fill="F7FAFC"/>
            <w:tcMar>
              <w:top w:w="80" w:type="dxa"/>
              <w:bottom w:w="80" w:type="dxa"/>
              <w:left w:w="80" w:type="dxa"/>
              <w:right w:w="80" w:type="dxa"/>
            </w:tcMar>
          </w:tcPr>
          <w:p>
            <w:pPr>
              <w:spacing w:before="80" w:after="80" w:line="276" w:lineRule="auto"/>
            </w:pPr>
            <w:r>
              <w:rPr>
                <w:rFonts w:ascii="Arial" w:hAnsi="Arial"/>
                <w:b w:val="0"/>
                <w:i w:val="0"/>
                <w:color w:val="2D3748"/>
                <w:sz w:val="18"/>
              </w:rPr>
              <w:t>Apache-2.0 Open Source Core</w:t>
            </w:r>
          </w:p>
        </w:tc>
        <w:tc>
          <w:tcPr>
            <w:tcW w:type="dxa" w:w="1872"/>
            <w:shd w:fill="F7FAFC"/>
            <w:tcMar>
              <w:top w:w="80" w:type="dxa"/>
              <w:bottom w:w="80" w:type="dxa"/>
              <w:left w:w="80" w:type="dxa"/>
              <w:right w:w="80" w:type="dxa"/>
            </w:tcMar>
          </w:tcPr>
          <w:p>
            <w:pPr>
              <w:spacing w:before="80" w:after="80" w:line="276" w:lineRule="auto"/>
            </w:pPr>
            <w:r>
              <w:rPr>
                <w:rFonts w:ascii="Arial" w:hAnsi="Arial"/>
                <w:b w:val="0"/>
                <w:i w:val="0"/>
                <w:color w:val="2D3748"/>
                <w:sz w:val="18"/>
              </w:rPr>
              <w:t>$0 (Self-hosted)</w:t>
            </w:r>
          </w:p>
        </w:tc>
        <w:tc>
          <w:tcPr>
            <w:tcW w:type="dxa" w:w="2160"/>
            <w:shd w:fill="F7FAFC"/>
            <w:tcMar>
              <w:top w:w="80" w:type="dxa"/>
              <w:bottom w:w="80" w:type="dxa"/>
              <w:left w:w="80" w:type="dxa"/>
              <w:right w:w="80" w:type="dxa"/>
            </w:tcMar>
          </w:tcPr>
          <w:p>
            <w:pPr>
              <w:spacing w:before="80" w:after="80" w:line="276" w:lineRule="auto"/>
            </w:pPr>
            <w:r>
              <w:rPr>
                <w:rFonts w:ascii="Arial" w:hAnsi="Arial"/>
                <w:b w:val="0"/>
                <w:i w:val="0"/>
                <w:color w:val="2D3748"/>
                <w:sz w:val="18"/>
              </w:rPr>
              <w:t>Low (Automated Tier 1/2 optimization)</w:t>
            </w:r>
          </w:p>
        </w:tc>
      </w:tr>
    </w:tbl>
    <w:p>
      <w:pPr>
        <w:spacing w:before="0" w:after="240" w:line="276" w:lineRule="auto"/>
      </w:pPr>
    </w:p>
    <w:p>
      <w:pPr>
        <w:keepNext/>
        <w:spacing w:before="360" w:after="120" w:line="276" w:lineRule="auto"/>
      </w:pPr>
      <w:r>
        <w:rPr>
          <w:rFonts w:ascii="Arial" w:hAnsi="Arial"/>
          <w:b/>
          <w:i w:val="0"/>
          <w:color w:val="1A365D"/>
          <w:sz w:val="36"/>
        </w:rPr>
        <w:t>Section 7 — Threat Trajectory &amp; Momentum Scoring</w:t>
      </w:r>
    </w:p>
    <w:p>
      <w:pPr>
        <w:spacing w:before="0" w:after="120" w:line="276" w:lineRule="auto"/>
      </w:pPr>
      <w:r>
        <w:rPr>
          <w:rFonts w:ascii="Arial" w:hAnsi="Arial"/>
          <w:b w:val="0"/>
          <w:i w:val="0"/>
          <w:color w:val="2D3748"/>
          <w:sz w:val="21"/>
        </w:rPr>
        <w:t>Competitors are moving targets. Directory stars, corporate funding, and active development indicators:</w:t>
      </w:r>
    </w:p>
    <w:p>
      <w:pPr>
        <w:pStyle w:val="ListBullet"/>
        <w:spacing w:before="0" w:after="60" w:line="276" w:lineRule="auto"/>
        <w:ind w:left="360"/>
      </w:pPr>
      <w:r>
        <w:rPr>
          <w:rFonts w:ascii="Arial" w:hAnsi="Arial"/>
          <w:b/>
          <w:i w:val="0"/>
          <w:color w:val="2D3748"/>
          <w:sz w:val="21"/>
        </w:rPr>
        <w:t xml:space="preserve">Dify (Momentum: 9.5/10 - Rapidly Accelerating): </w:t>
      </w:r>
      <w:r>
        <w:rPr>
          <w:rFonts w:ascii="Arial" w:hAnsi="Arial"/>
          <w:b w:val="0"/>
          <w:i w:val="0"/>
          <w:color w:val="2D3748"/>
          <w:sz w:val="21"/>
        </w:rPr>
        <w:t>High visual RAG builder appeal, massive community star growth (114K+).</w:t>
      </w:r>
    </w:p>
    <w:p>
      <w:pPr>
        <w:pStyle w:val="ListBullet"/>
        <w:spacing w:before="0" w:after="60" w:line="276" w:lineRule="auto"/>
        <w:ind w:left="360"/>
      </w:pPr>
      <w:r>
        <w:rPr>
          <w:rFonts w:ascii="Arial" w:hAnsi="Arial"/>
          <w:b/>
          <w:i w:val="0"/>
          <w:color w:val="2D3748"/>
          <w:sz w:val="21"/>
        </w:rPr>
        <w:t xml:space="preserve">LangGraph (Momentum: 8.2/10 - Stable Growth): </w:t>
      </w:r>
      <w:r>
        <w:rPr>
          <w:rFonts w:ascii="Arial" w:hAnsi="Arial"/>
          <w:b w:val="0"/>
          <w:i w:val="0"/>
          <w:color w:val="2D3748"/>
          <w:sz w:val="21"/>
        </w:rPr>
        <w:t>Backed by LangSmith mindshare, remains industry default for graph engineering.</w:t>
      </w:r>
    </w:p>
    <w:p>
      <w:pPr>
        <w:pStyle w:val="ListBullet"/>
        <w:spacing w:before="0" w:after="60" w:line="276" w:lineRule="auto"/>
        <w:ind w:left="360"/>
      </w:pPr>
      <w:r>
        <w:rPr>
          <w:rFonts w:ascii="Arial" w:hAnsi="Arial"/>
          <w:b/>
          <w:i w:val="0"/>
          <w:color w:val="2D3748"/>
          <w:sz w:val="21"/>
        </w:rPr>
        <w:t xml:space="preserve">Haystack (Momentum: 7.0/10 - Stable): </w:t>
      </w:r>
      <w:r>
        <w:rPr>
          <w:rFonts w:ascii="Arial" w:hAnsi="Arial"/>
          <w:b w:val="0"/>
          <w:i w:val="0"/>
          <w:color w:val="2D3748"/>
          <w:sz w:val="21"/>
        </w:rPr>
        <w:t>Series B backed, deep search integrations, primary threat in search cases.</w:t>
      </w:r>
    </w:p>
    <w:p>
      <w:pPr>
        <w:pStyle w:val="ListBullet"/>
        <w:spacing w:before="0" w:after="60" w:line="276" w:lineRule="auto"/>
        <w:ind w:left="360"/>
      </w:pPr>
      <w:r>
        <w:rPr>
          <w:rFonts w:ascii="Arial" w:hAnsi="Arial"/>
          <w:b/>
          <w:i w:val="0"/>
          <w:color w:val="2D3748"/>
          <w:sz w:val="21"/>
        </w:rPr>
        <w:t xml:space="preserve">Flowise (Momentum: 4.2/10 - Stalled): </w:t>
      </w:r>
      <w:r>
        <w:rPr>
          <w:rFonts w:ascii="Arial" w:hAnsi="Arial"/>
          <w:b w:val="0"/>
          <w:i w:val="0"/>
          <w:color w:val="2D3748"/>
          <w:sz w:val="21"/>
        </w:rPr>
        <w:t>Declining velocity post-Workday acquisition, high risk due to RCE CVE-2025-59528.</w:t>
      </w:r>
    </w:p>
    <w:p>
      <w:pPr>
        <w:pStyle w:val="ListBullet"/>
        <w:spacing w:before="0" w:after="60" w:line="276" w:lineRule="auto"/>
        <w:ind w:left="360"/>
      </w:pPr>
      <w:r>
        <w:rPr>
          <w:rFonts w:ascii="Arial" w:hAnsi="Arial"/>
          <w:b/>
          <w:i w:val="0"/>
          <w:color w:val="2D3748"/>
          <w:sz w:val="21"/>
        </w:rPr>
        <w:t xml:space="preserve">AutoGen (Momentum: 3.0/10 - Stalled): </w:t>
      </w:r>
      <w:r>
        <w:rPr>
          <w:rFonts w:ascii="Arial" w:hAnsi="Arial"/>
          <w:b w:val="0"/>
          <w:i w:val="0"/>
          <w:color w:val="2D3748"/>
          <w:sz w:val="21"/>
        </w:rPr>
        <w:t>Core framework shifted to maintenance mode as MS pivots resources.</w:t>
      </w:r>
    </w:p>
    <w:p>
      <w:pPr>
        <w:keepNext/>
        <w:spacing w:before="360" w:after="120" w:line="276" w:lineRule="auto"/>
      </w:pPr>
      <w:r>
        <w:rPr>
          <w:rFonts w:ascii="Arial" w:hAnsi="Arial"/>
          <w:b/>
          <w:i w:val="0"/>
          <w:color w:val="1A365D"/>
          <w:sz w:val="36"/>
        </w:rPr>
        <w:t>Section 8 — Customer Segment × Feature Matrix</w:t>
      </w:r>
    </w:p>
    <w:p>
      <w:pPr>
        <w:spacing w:before="0" w:after="120" w:line="276" w:lineRule="auto"/>
      </w:pPr>
      <w:r>
        <w:rPr>
          <w:rFonts w:ascii="Arial" w:hAnsi="Arial"/>
          <w:b w:val="0"/>
          <w:i w:val="0"/>
          <w:color w:val="2D3748"/>
          <w:sz w:val="21"/>
        </w:rPr>
        <w:t>Mapping P1/P2/P3 feature priorities based on specific target audience requirements:</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340"/>
        <w:gridCol w:w="2340"/>
        <w:gridCol w:w="2340"/>
        <w:gridCol w:w="2340"/>
      </w:tblGrid>
      <w:tr>
        <w:tc>
          <w:tcPr>
            <w:tcW w:type="dxa" w:w="3600"/>
            <w:shd w:fill="1A365D"/>
            <w:tcMar>
              <w:top w:w="80" w:type="dxa"/>
              <w:bottom w:w="80" w:type="dxa"/>
              <w:left w:w="80" w:type="dxa"/>
              <w:right w:w="80" w:type="dxa"/>
            </w:tcMar>
          </w:tcPr>
          <w:p>
            <w:pPr>
              <w:spacing w:before="80" w:after="80" w:line="276" w:lineRule="auto"/>
            </w:pPr>
            <w:r>
              <w:rPr>
                <w:rFonts w:ascii="Arial" w:hAnsi="Arial"/>
                <w:b/>
                <w:i w:val="0"/>
                <w:color w:val="FFFFFF"/>
                <w:sz w:val="19"/>
              </w:rPr>
              <w:t>Roadmap Item</w:t>
            </w:r>
          </w:p>
        </w:tc>
        <w:tc>
          <w:tcPr>
            <w:tcW w:type="dxa" w:w="1872"/>
            <w:shd w:fill="1A365D"/>
            <w:tcMar>
              <w:top w:w="80" w:type="dxa"/>
              <w:bottom w:w="80" w:type="dxa"/>
              <w:left w:w="80" w:type="dxa"/>
              <w:right w:w="80" w:type="dxa"/>
            </w:tcMar>
          </w:tcPr>
          <w:p>
            <w:pPr>
              <w:spacing w:before="80" w:after="80" w:line="276" w:lineRule="auto"/>
            </w:pPr>
            <w:r>
              <w:rPr>
                <w:rFonts w:ascii="Arial" w:hAnsi="Arial"/>
                <w:b/>
                <w:i w:val="0"/>
                <w:color w:val="FFFFFF"/>
                <w:sz w:val="19"/>
              </w:rPr>
              <w:t>HIPAA Enterprise</w:t>
            </w:r>
          </w:p>
        </w:tc>
        <w:tc>
          <w:tcPr>
            <w:tcW w:type="dxa" w:w="1872"/>
            <w:shd w:fill="1A365D"/>
            <w:tcMar>
              <w:top w:w="80" w:type="dxa"/>
              <w:bottom w:w="80" w:type="dxa"/>
              <w:left w:w="80" w:type="dxa"/>
              <w:right w:w="80" w:type="dxa"/>
            </w:tcMar>
          </w:tcPr>
          <w:p>
            <w:pPr>
              <w:spacing w:before="80" w:after="80" w:line="276" w:lineRule="auto"/>
            </w:pPr>
            <w:r>
              <w:rPr>
                <w:rFonts w:ascii="Arial" w:hAnsi="Arial"/>
                <w:b/>
                <w:i w:val="0"/>
                <w:color w:val="FFFFFF"/>
                <w:sz w:val="19"/>
              </w:rPr>
              <w:t>Solo Developer</w:t>
            </w:r>
          </w:p>
        </w:tc>
        <w:tc>
          <w:tcPr>
            <w:tcW w:type="dxa" w:w="2016"/>
            <w:shd w:fill="1A365D"/>
            <w:tcMar>
              <w:top w:w="80" w:type="dxa"/>
              <w:bottom w:w="80" w:type="dxa"/>
              <w:left w:w="80" w:type="dxa"/>
              <w:right w:w="80" w:type="dxa"/>
            </w:tcMar>
          </w:tcPr>
          <w:p>
            <w:pPr>
              <w:spacing w:before="80" w:after="80" w:line="276" w:lineRule="auto"/>
            </w:pPr>
            <w:r>
              <w:rPr>
                <w:rFonts w:ascii="Arial" w:hAnsi="Arial"/>
                <w:b/>
                <w:i w:val="0"/>
                <w:color w:val="FFFFFF"/>
                <w:sz w:val="19"/>
              </w:rPr>
              <w:t>Platform Team</w:t>
            </w:r>
          </w:p>
        </w:tc>
      </w:tr>
      <w:tr>
        <w:tc>
          <w:tcPr>
            <w:tcW w:type="dxa" w:w="3600"/>
            <w:shd w:fill="FFFFFF"/>
            <w:tcMar>
              <w:top w:w="80" w:type="dxa"/>
              <w:bottom w:w="80" w:type="dxa"/>
              <w:left w:w="80" w:type="dxa"/>
              <w:right w:w="80" w:type="dxa"/>
            </w:tcMar>
          </w:tcPr>
          <w:p>
            <w:pPr>
              <w:spacing w:before="80" w:after="80" w:line="276" w:lineRule="auto"/>
            </w:pPr>
            <w:r>
              <w:rPr>
                <w:rFonts w:ascii="Arial" w:hAnsi="Arial"/>
                <w:b/>
                <w:i w:val="0"/>
                <w:color w:val="2D3748"/>
                <w:sz w:val="18"/>
              </w:rPr>
              <w:t>Subprocess Sandbox</w:t>
            </w:r>
          </w:p>
        </w:tc>
        <w:tc>
          <w:tcPr>
            <w:tcW w:type="dxa" w:w="1872"/>
            <w:shd w:fill="FFFFFF"/>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c>
          <w:tcPr>
            <w:tcW w:type="dxa" w:w="1872"/>
            <w:shd w:fill="FFFFFF"/>
            <w:tcMar>
              <w:top w:w="80" w:type="dxa"/>
              <w:bottom w:w="80" w:type="dxa"/>
              <w:left w:w="80" w:type="dxa"/>
              <w:right w:w="80" w:type="dxa"/>
            </w:tcMar>
          </w:tcPr>
          <w:p>
            <w:pPr>
              <w:spacing w:before="80" w:after="80" w:line="276" w:lineRule="auto"/>
            </w:pPr>
            <w:r>
              <w:rPr>
                <w:rFonts w:ascii="Arial" w:hAnsi="Arial"/>
                <w:b w:val="0"/>
                <w:i w:val="0"/>
                <w:color w:val="2D3748"/>
                <w:sz w:val="18"/>
              </w:rPr>
              <w:t>P3</w:t>
            </w:r>
          </w:p>
        </w:tc>
        <w:tc>
          <w:tcPr>
            <w:tcW w:type="dxa" w:w="2016"/>
            <w:shd w:fill="FFFFFF"/>
            <w:tcMar>
              <w:top w:w="80" w:type="dxa"/>
              <w:bottom w:w="80" w:type="dxa"/>
              <w:left w:w="80" w:type="dxa"/>
              <w:right w:w="80" w:type="dxa"/>
            </w:tcMar>
          </w:tcPr>
          <w:p>
            <w:pPr>
              <w:spacing w:before="80" w:after="80" w:line="276" w:lineRule="auto"/>
            </w:pPr>
            <w:r>
              <w:rPr>
                <w:rFonts w:ascii="Arial" w:hAnsi="Arial"/>
                <w:b w:val="0"/>
                <w:i w:val="0"/>
                <w:color w:val="2D3748"/>
                <w:sz w:val="18"/>
              </w:rPr>
              <w:t>P2</w:t>
            </w:r>
          </w:p>
        </w:tc>
      </w:tr>
      <w:tr>
        <w:tc>
          <w:tcPr>
            <w:tcW w:type="dxa" w:w="3600"/>
            <w:shd w:fill="F7FAFC"/>
            <w:tcMar>
              <w:top w:w="80" w:type="dxa"/>
              <w:bottom w:w="80" w:type="dxa"/>
              <w:left w:w="80" w:type="dxa"/>
              <w:right w:w="80" w:type="dxa"/>
            </w:tcMar>
          </w:tcPr>
          <w:p>
            <w:pPr>
              <w:spacing w:before="80" w:after="80" w:line="276" w:lineRule="auto"/>
            </w:pPr>
            <w:r>
              <w:rPr>
                <w:rFonts w:ascii="Arial" w:hAnsi="Arial"/>
                <w:b/>
                <w:i w:val="0"/>
                <w:color w:val="2D3748"/>
                <w:sz w:val="18"/>
              </w:rPr>
              <w:t>ModelRouter (Cost)</w:t>
            </w:r>
          </w:p>
        </w:tc>
        <w:tc>
          <w:tcPr>
            <w:tcW w:type="dxa" w:w="1872"/>
            <w:shd w:fill="F7FAFC"/>
            <w:tcMar>
              <w:top w:w="80" w:type="dxa"/>
              <w:bottom w:w="80" w:type="dxa"/>
              <w:left w:w="80" w:type="dxa"/>
              <w:right w:w="80" w:type="dxa"/>
            </w:tcMar>
          </w:tcPr>
          <w:p>
            <w:pPr>
              <w:spacing w:before="80" w:after="80" w:line="276" w:lineRule="auto"/>
            </w:pPr>
            <w:r>
              <w:rPr>
                <w:rFonts w:ascii="Arial" w:hAnsi="Arial"/>
                <w:b w:val="0"/>
                <w:i w:val="0"/>
                <w:color w:val="2D3748"/>
                <w:sz w:val="18"/>
              </w:rPr>
              <w:t>P2</w:t>
            </w:r>
          </w:p>
        </w:tc>
        <w:tc>
          <w:tcPr>
            <w:tcW w:type="dxa" w:w="1872"/>
            <w:shd w:fill="F7FAFC"/>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c>
          <w:tcPr>
            <w:tcW w:type="dxa" w:w="2016"/>
            <w:shd w:fill="F7FAFC"/>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r>
      <w:tr>
        <w:tc>
          <w:tcPr>
            <w:tcW w:type="dxa" w:w="3600"/>
            <w:shd w:fill="FFFFFF"/>
            <w:tcMar>
              <w:top w:w="80" w:type="dxa"/>
              <w:bottom w:w="80" w:type="dxa"/>
              <w:left w:w="80" w:type="dxa"/>
              <w:right w:w="80" w:type="dxa"/>
            </w:tcMar>
          </w:tcPr>
          <w:p>
            <w:pPr>
              <w:spacing w:before="80" w:after="80" w:line="276" w:lineRule="auto"/>
            </w:pPr>
            <w:r>
              <w:rPr>
                <w:rFonts w:ascii="Arial" w:hAnsi="Arial"/>
                <w:b/>
                <w:i w:val="0"/>
                <w:color w:val="2D3748"/>
                <w:sz w:val="18"/>
              </w:rPr>
              <w:t>Replay API (Branching)</w:t>
            </w:r>
          </w:p>
        </w:tc>
        <w:tc>
          <w:tcPr>
            <w:tcW w:type="dxa" w:w="1872"/>
            <w:shd w:fill="FFFFFF"/>
            <w:tcMar>
              <w:top w:w="80" w:type="dxa"/>
              <w:bottom w:w="80" w:type="dxa"/>
              <w:left w:w="80" w:type="dxa"/>
              <w:right w:w="80" w:type="dxa"/>
            </w:tcMar>
          </w:tcPr>
          <w:p>
            <w:pPr>
              <w:spacing w:before="80" w:after="80" w:line="276" w:lineRule="auto"/>
            </w:pPr>
            <w:r>
              <w:rPr>
                <w:rFonts w:ascii="Arial" w:hAnsi="Arial"/>
                <w:b w:val="0"/>
                <w:i w:val="0"/>
                <w:color w:val="2D3748"/>
                <w:sz w:val="18"/>
              </w:rPr>
              <w:t>P2</w:t>
            </w:r>
          </w:p>
        </w:tc>
        <w:tc>
          <w:tcPr>
            <w:tcW w:type="dxa" w:w="1872"/>
            <w:shd w:fill="FFFFFF"/>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c>
          <w:tcPr>
            <w:tcW w:type="dxa" w:w="2016"/>
            <w:shd w:fill="FFFFFF"/>
            <w:tcMar>
              <w:top w:w="80" w:type="dxa"/>
              <w:bottom w:w="80" w:type="dxa"/>
              <w:left w:w="80" w:type="dxa"/>
              <w:right w:w="80" w:type="dxa"/>
            </w:tcMar>
          </w:tcPr>
          <w:p>
            <w:pPr>
              <w:spacing w:before="80" w:after="80" w:line="276" w:lineRule="auto"/>
            </w:pPr>
            <w:r>
              <w:rPr>
                <w:rFonts w:ascii="Arial" w:hAnsi="Arial"/>
                <w:b w:val="0"/>
                <w:i w:val="0"/>
                <w:color w:val="2D3748"/>
                <w:sz w:val="18"/>
              </w:rPr>
              <w:t>P2</w:t>
            </w:r>
          </w:p>
        </w:tc>
      </w:tr>
      <w:tr>
        <w:tc>
          <w:tcPr>
            <w:tcW w:type="dxa" w:w="3600"/>
            <w:shd w:fill="F7FAFC"/>
            <w:tcMar>
              <w:top w:w="80" w:type="dxa"/>
              <w:bottom w:w="80" w:type="dxa"/>
              <w:left w:w="80" w:type="dxa"/>
              <w:right w:w="80" w:type="dxa"/>
            </w:tcMar>
          </w:tcPr>
          <w:p>
            <w:pPr>
              <w:spacing w:before="80" w:after="80" w:line="276" w:lineRule="auto"/>
            </w:pPr>
            <w:r>
              <w:rPr>
                <w:rFonts w:ascii="Arial" w:hAnsi="Arial"/>
                <w:b/>
                <w:i w:val="0"/>
                <w:color w:val="2D3748"/>
                <w:sz w:val="18"/>
              </w:rPr>
              <w:t>S3 Checkpoint Storage</w:t>
            </w:r>
          </w:p>
        </w:tc>
        <w:tc>
          <w:tcPr>
            <w:tcW w:type="dxa" w:w="1872"/>
            <w:shd w:fill="F7FAFC"/>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c>
          <w:tcPr>
            <w:tcW w:type="dxa" w:w="1872"/>
            <w:shd w:fill="F7FAFC"/>
            <w:tcMar>
              <w:top w:w="80" w:type="dxa"/>
              <w:bottom w:w="80" w:type="dxa"/>
              <w:left w:w="80" w:type="dxa"/>
              <w:right w:w="80" w:type="dxa"/>
            </w:tcMar>
          </w:tcPr>
          <w:p>
            <w:pPr>
              <w:spacing w:before="80" w:after="80" w:line="276" w:lineRule="auto"/>
            </w:pPr>
            <w:r>
              <w:rPr>
                <w:rFonts w:ascii="Arial" w:hAnsi="Arial"/>
                <w:b w:val="0"/>
                <w:i w:val="0"/>
                <w:color w:val="2D3748"/>
                <w:sz w:val="18"/>
              </w:rPr>
              <w:t>P3</w:t>
            </w:r>
          </w:p>
        </w:tc>
        <w:tc>
          <w:tcPr>
            <w:tcW w:type="dxa" w:w="2016"/>
            <w:shd w:fill="F7FAFC"/>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r>
      <w:tr>
        <w:tc>
          <w:tcPr>
            <w:tcW w:type="dxa" w:w="3600"/>
            <w:shd w:fill="FFFFFF"/>
            <w:tcMar>
              <w:top w:w="80" w:type="dxa"/>
              <w:bottom w:w="80" w:type="dxa"/>
              <w:left w:w="80" w:type="dxa"/>
              <w:right w:w="80" w:type="dxa"/>
            </w:tcMar>
          </w:tcPr>
          <w:p>
            <w:pPr>
              <w:spacing w:before="80" w:after="80" w:line="276" w:lineRule="auto"/>
            </w:pPr>
            <w:r>
              <w:rPr>
                <w:rFonts w:ascii="Arial" w:hAnsi="Arial"/>
                <w:b/>
                <w:i w:val="0"/>
                <w:color w:val="2D3748"/>
                <w:sz w:val="18"/>
              </w:rPr>
              <w:t>Agent Marketplace</w:t>
            </w:r>
          </w:p>
        </w:tc>
        <w:tc>
          <w:tcPr>
            <w:tcW w:type="dxa" w:w="1872"/>
            <w:shd w:fill="FFFFFF"/>
            <w:tcMar>
              <w:top w:w="80" w:type="dxa"/>
              <w:bottom w:w="80" w:type="dxa"/>
              <w:left w:w="80" w:type="dxa"/>
              <w:right w:w="80" w:type="dxa"/>
            </w:tcMar>
          </w:tcPr>
          <w:p>
            <w:pPr>
              <w:spacing w:before="80" w:after="80" w:line="276" w:lineRule="auto"/>
            </w:pPr>
            <w:r>
              <w:rPr>
                <w:rFonts w:ascii="Arial" w:hAnsi="Arial"/>
                <w:b w:val="0"/>
                <w:i w:val="0"/>
                <w:color w:val="2D3748"/>
                <w:sz w:val="18"/>
              </w:rPr>
              <w:t>P3</w:t>
            </w:r>
          </w:p>
        </w:tc>
        <w:tc>
          <w:tcPr>
            <w:tcW w:type="dxa" w:w="1872"/>
            <w:shd w:fill="FFFFFF"/>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c>
          <w:tcPr>
            <w:tcW w:type="dxa" w:w="2016"/>
            <w:shd w:fill="FFFFFF"/>
            <w:tcMar>
              <w:top w:w="80" w:type="dxa"/>
              <w:bottom w:w="80" w:type="dxa"/>
              <w:left w:w="80" w:type="dxa"/>
              <w:right w:w="80" w:type="dxa"/>
            </w:tcMar>
          </w:tcPr>
          <w:p>
            <w:pPr>
              <w:spacing w:before="80" w:after="80" w:line="276" w:lineRule="auto"/>
            </w:pPr>
            <w:r>
              <w:rPr>
                <w:rFonts w:ascii="Arial" w:hAnsi="Arial"/>
                <w:b w:val="0"/>
                <w:i w:val="0"/>
                <w:color w:val="2D3748"/>
                <w:sz w:val="18"/>
              </w:rPr>
              <w:t>P2</w:t>
            </w:r>
          </w:p>
        </w:tc>
      </w:tr>
      <w:tr>
        <w:tc>
          <w:tcPr>
            <w:tcW w:type="dxa" w:w="3600"/>
            <w:shd w:fill="F7FAFC"/>
            <w:tcMar>
              <w:top w:w="80" w:type="dxa"/>
              <w:bottom w:w="80" w:type="dxa"/>
              <w:left w:w="80" w:type="dxa"/>
              <w:right w:w="80" w:type="dxa"/>
            </w:tcMar>
          </w:tcPr>
          <w:p>
            <w:pPr>
              <w:spacing w:before="80" w:after="80" w:line="276" w:lineRule="auto"/>
            </w:pPr>
            <w:r>
              <w:rPr>
                <w:rFonts w:ascii="Arial" w:hAnsi="Arial"/>
                <w:b/>
                <w:i w:val="0"/>
                <w:color w:val="2D3748"/>
                <w:sz w:val="18"/>
              </w:rPr>
              <w:t>SelfCorrectingRAG</w:t>
            </w:r>
          </w:p>
        </w:tc>
        <w:tc>
          <w:tcPr>
            <w:tcW w:type="dxa" w:w="1872"/>
            <w:shd w:fill="F7FAFC"/>
            <w:tcMar>
              <w:top w:w="80" w:type="dxa"/>
              <w:bottom w:w="80" w:type="dxa"/>
              <w:left w:w="80" w:type="dxa"/>
              <w:right w:w="80" w:type="dxa"/>
            </w:tcMar>
          </w:tcPr>
          <w:p>
            <w:pPr>
              <w:spacing w:before="80" w:after="80" w:line="276" w:lineRule="auto"/>
            </w:pPr>
            <w:r>
              <w:rPr>
                <w:rFonts w:ascii="Arial" w:hAnsi="Arial"/>
                <w:b w:val="0"/>
                <w:i w:val="0"/>
                <w:color w:val="2D3748"/>
                <w:sz w:val="18"/>
              </w:rPr>
              <w:t>P2</w:t>
            </w:r>
          </w:p>
        </w:tc>
        <w:tc>
          <w:tcPr>
            <w:tcW w:type="dxa" w:w="1872"/>
            <w:shd w:fill="F7FAFC"/>
            <w:tcMar>
              <w:top w:w="80" w:type="dxa"/>
              <w:bottom w:w="80" w:type="dxa"/>
              <w:left w:w="80" w:type="dxa"/>
              <w:right w:w="80" w:type="dxa"/>
            </w:tcMar>
          </w:tcPr>
          <w:p>
            <w:pPr>
              <w:spacing w:before="80" w:after="80" w:line="276" w:lineRule="auto"/>
            </w:pPr>
            <w:r>
              <w:rPr>
                <w:rFonts w:ascii="Arial" w:hAnsi="Arial"/>
                <w:b w:val="0"/>
                <w:i w:val="0"/>
                <w:color w:val="2D3748"/>
                <w:sz w:val="18"/>
              </w:rPr>
              <w:t>P2</w:t>
            </w:r>
          </w:p>
        </w:tc>
        <w:tc>
          <w:tcPr>
            <w:tcW w:type="dxa" w:w="2016"/>
            <w:shd w:fill="F7FAFC"/>
            <w:tcMar>
              <w:top w:w="80" w:type="dxa"/>
              <w:bottom w:w="80" w:type="dxa"/>
              <w:left w:w="80" w:type="dxa"/>
              <w:right w:w="80" w:type="dxa"/>
            </w:tcMar>
          </w:tcPr>
          <w:p>
            <w:pPr>
              <w:spacing w:before="80" w:after="80" w:line="276" w:lineRule="auto"/>
            </w:pPr>
            <w:r>
              <w:rPr>
                <w:rFonts w:ascii="Arial" w:hAnsi="Arial"/>
                <w:b/>
                <w:i w:val="0"/>
                <w:color w:val="E53E3E"/>
                <w:sz w:val="18"/>
              </w:rPr>
              <w:t>P1 (Critical)</w:t>
            </w:r>
          </w:p>
        </w:tc>
      </w:tr>
    </w:tbl>
    <w:p>
      <w:pPr>
        <w:spacing w:before="0" w:after="240" w:line="276" w:lineRule="auto"/>
      </w:pPr>
    </w:p>
    <w:p>
      <w:pPr>
        <w:keepNext/>
        <w:spacing w:before="360" w:after="120" w:line="276" w:lineRule="auto"/>
      </w:pPr>
      <w:r>
        <w:rPr>
          <w:rFonts w:ascii="Arial" w:hAnsi="Arial"/>
          <w:b/>
          <w:i w:val="0"/>
          <w:color w:val="1A365D"/>
          <w:sz w:val="36"/>
        </w:rPr>
        <w:t>Section 9 — Strategic Risk Register</w:t>
      </w:r>
    </w:p>
    <w:p>
      <w:pPr>
        <w:spacing w:before="0" w:after="120" w:line="276" w:lineRule="auto"/>
      </w:pPr>
      <w:r>
        <w:rPr>
          <w:rFonts w:ascii="Arial" w:hAnsi="Arial"/>
          <w:b w:val="0"/>
          <w:i w:val="0"/>
          <w:color w:val="2D3748"/>
          <w:sz w:val="21"/>
        </w:rPr>
        <w:t>Key strategic roadmap risks and our mitigation plans:</w:t>
      </w:r>
    </w:p>
    <w:p>
      <w:pPr>
        <w:pStyle w:val="ListBullet"/>
        <w:spacing w:before="0" w:after="60" w:line="276" w:lineRule="auto"/>
        <w:ind w:left="360"/>
      </w:pPr>
      <w:r>
        <w:rPr>
          <w:rFonts w:ascii="Arial" w:hAnsi="Arial"/>
          <w:b/>
          <w:i w:val="0"/>
          <w:color w:val="2D3748"/>
          <w:sz w:val="21"/>
        </w:rPr>
        <w:t xml:space="preserve">Risk: Competitors add out-of-the-box Token Optimization. </w:t>
      </w:r>
      <w:r>
        <w:rPr>
          <w:rFonts w:ascii="Arial" w:hAnsi="Arial"/>
          <w:b w:val="0"/>
          <w:i w:val="0"/>
          <w:color w:val="2D3748"/>
          <w:sz w:val="21"/>
        </w:rPr>
        <w:t>Mitigation: Establish cost analytics (TokQ) and Pareto benchmarking dashboards as our open platform standard.</w:t>
      </w:r>
    </w:p>
    <w:p>
      <w:pPr>
        <w:pStyle w:val="ListBullet"/>
        <w:spacing w:before="0" w:after="60" w:line="276" w:lineRule="auto"/>
        <w:ind w:left="360"/>
      </w:pPr>
      <w:r>
        <w:rPr>
          <w:rFonts w:ascii="Arial" w:hAnsi="Arial"/>
          <w:b/>
          <w:i w:val="0"/>
          <w:color w:val="2D3748"/>
          <w:sz w:val="21"/>
        </w:rPr>
        <w:t xml:space="preserve">Risk: Shift from server-side graphs to OSWorld desktop-action agents. </w:t>
      </w:r>
      <w:r>
        <w:rPr>
          <w:rFonts w:ascii="Arial" w:hAnsi="Arial"/>
          <w:b w:val="0"/>
          <w:i w:val="0"/>
          <w:color w:val="2D3748"/>
          <w:sz w:val="21"/>
        </w:rPr>
        <w:t>Mitigation: Harden local MCP execution layers and support lightweight local models.</w:t>
      </w:r>
    </w:p>
    <w:p>
      <w:pPr>
        <w:keepNext/>
        <w:spacing w:before="360" w:after="120" w:line="276" w:lineRule="auto"/>
      </w:pPr>
      <w:r>
        <w:rPr>
          <w:rFonts w:ascii="Arial" w:hAnsi="Arial"/>
          <w:b/>
          <w:i w:val="0"/>
          <w:color w:val="1A365D"/>
          <w:sz w:val="36"/>
        </w:rPr>
        <w:t>Section 10 — Metrics &amp; Success Criteria per Sprint Item</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3120"/>
        <w:gridCol w:w="3120"/>
        <w:gridCol w:w="3120"/>
      </w:tblGrid>
      <w:tr>
        <w:tc>
          <w:tcPr>
            <w:tcW w:type="dxa" w:w="2880"/>
            <w:shd w:fill="1A365D"/>
            <w:tcMar>
              <w:top w:w="80" w:type="dxa"/>
              <w:bottom w:w="80" w:type="dxa"/>
              <w:left w:w="80" w:type="dxa"/>
              <w:right w:w="80" w:type="dxa"/>
            </w:tcMar>
          </w:tcPr>
          <w:p>
            <w:pPr>
              <w:spacing w:before="80" w:after="80" w:line="276" w:lineRule="auto"/>
            </w:pPr>
            <w:r>
              <w:rPr>
                <w:rFonts w:ascii="Arial" w:hAnsi="Arial"/>
                <w:b/>
                <w:i w:val="0"/>
                <w:color w:val="FFFFFF"/>
                <w:sz w:val="19"/>
              </w:rPr>
              <w:t>Sprint Item</w:t>
            </w:r>
          </w:p>
        </w:tc>
        <w:tc>
          <w:tcPr>
            <w:tcW w:type="dxa" w:w="3888"/>
            <w:shd w:fill="1A365D"/>
            <w:tcMar>
              <w:top w:w="80" w:type="dxa"/>
              <w:bottom w:w="80" w:type="dxa"/>
              <w:left w:w="80" w:type="dxa"/>
              <w:right w:w="80" w:type="dxa"/>
            </w:tcMar>
          </w:tcPr>
          <w:p>
            <w:pPr>
              <w:spacing w:before="80" w:after="80" w:line="276" w:lineRule="auto"/>
            </w:pPr>
            <w:r>
              <w:rPr>
                <w:rFonts w:ascii="Arial" w:hAnsi="Arial"/>
                <w:b/>
                <w:i w:val="0"/>
                <w:color w:val="FFFFFF"/>
                <w:sz w:val="19"/>
              </w:rPr>
              <w:t>Success Criteria</w:t>
            </w:r>
          </w:p>
        </w:tc>
        <w:tc>
          <w:tcPr>
            <w:tcW w:type="dxa" w:w="2592"/>
            <w:shd w:fill="1A365D"/>
            <w:tcMar>
              <w:top w:w="80" w:type="dxa"/>
              <w:bottom w:w="80" w:type="dxa"/>
              <w:left w:w="80" w:type="dxa"/>
              <w:right w:w="80" w:type="dxa"/>
            </w:tcMar>
          </w:tcPr>
          <w:p>
            <w:pPr>
              <w:spacing w:before="80" w:after="80" w:line="276" w:lineRule="auto"/>
            </w:pPr>
            <w:r>
              <w:rPr>
                <w:rFonts w:ascii="Arial" w:hAnsi="Arial"/>
                <w:b/>
                <w:i w:val="0"/>
                <w:color w:val="FFFFFF"/>
                <w:sz w:val="19"/>
              </w:rPr>
              <w:t>Target KPI</w:t>
            </w:r>
          </w:p>
        </w:tc>
      </w:tr>
      <w:tr>
        <w:tc>
          <w:tcPr>
            <w:tcW w:type="dxa" w:w="2880"/>
            <w:shd w:fill="FFFFFF"/>
            <w:tcMar>
              <w:top w:w="80" w:type="dxa"/>
              <w:bottom w:w="80" w:type="dxa"/>
              <w:left w:w="80" w:type="dxa"/>
              <w:right w:w="80" w:type="dxa"/>
            </w:tcMar>
          </w:tcPr>
          <w:p>
            <w:pPr>
              <w:spacing w:before="80" w:after="80" w:line="276" w:lineRule="auto"/>
            </w:pPr>
            <w:r>
              <w:rPr>
                <w:rFonts w:ascii="Arial" w:hAnsi="Arial"/>
                <w:b/>
                <w:i w:val="0"/>
                <w:color w:val="2D3748"/>
                <w:sz w:val="18"/>
              </w:rPr>
              <w:t>cache_control tags</w:t>
            </w:r>
          </w:p>
        </w:tc>
        <w:tc>
          <w:tcPr>
            <w:tcW w:type="dxa" w:w="3888"/>
            <w:shd w:fill="FFFFFF"/>
            <w:tcMar>
              <w:top w:w="80" w:type="dxa"/>
              <w:bottom w:w="80" w:type="dxa"/>
              <w:left w:w="80" w:type="dxa"/>
              <w:right w:w="80" w:type="dxa"/>
            </w:tcMar>
          </w:tcPr>
          <w:p>
            <w:pPr>
              <w:spacing w:before="80" w:after="80" w:line="276" w:lineRule="auto"/>
            </w:pPr>
            <w:r>
              <w:rPr>
                <w:rFonts w:ascii="Arial" w:hAnsi="Arial"/>
                <w:b w:val="0"/>
                <w:i w:val="0"/>
                <w:color w:val="2D3748"/>
                <w:sz w:val="18"/>
              </w:rPr>
              <w:t>System prompt caching active on prompts &gt; 1024 tokens</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&gt;= 75% input token cost reduction</w:t>
            </w:r>
          </w:p>
        </w:tc>
      </w:tr>
      <w:tr>
        <w:tc>
          <w:tcPr>
            <w:tcW w:type="dxa" w:w="2880"/>
            <w:shd w:fill="F7FAFC"/>
            <w:tcMar>
              <w:top w:w="80" w:type="dxa"/>
              <w:bottom w:w="80" w:type="dxa"/>
              <w:left w:w="80" w:type="dxa"/>
              <w:right w:w="80" w:type="dxa"/>
            </w:tcMar>
          </w:tcPr>
          <w:p>
            <w:pPr>
              <w:spacing w:before="80" w:after="80" w:line="276" w:lineRule="auto"/>
            </w:pPr>
            <w:r>
              <w:rPr>
                <w:rFonts w:ascii="Arial" w:hAnsi="Arial"/>
                <w:b/>
                <w:i w:val="0"/>
                <w:color w:val="2D3748"/>
                <w:sz w:val="18"/>
              </w:rPr>
              <w:t>ModelRouter</w:t>
            </w:r>
          </w:p>
        </w:tc>
        <w:tc>
          <w:tcPr>
            <w:tcW w:type="dxa" w:w="3888"/>
            <w:shd w:fill="F7FAFC"/>
            <w:tcMar>
              <w:top w:w="80" w:type="dxa"/>
              <w:bottom w:w="80" w:type="dxa"/>
              <w:left w:w="80" w:type="dxa"/>
              <w:right w:w="80" w:type="dxa"/>
            </w:tcMar>
          </w:tcPr>
          <w:p>
            <w:pPr>
              <w:spacing w:before="80" w:after="80" w:line="276" w:lineRule="auto"/>
            </w:pPr>
            <w:r>
              <w:rPr>
                <w:rFonts w:ascii="Arial" w:hAnsi="Arial"/>
                <w:b w:val="0"/>
                <w:i w:val="0"/>
                <w:color w:val="2D3748"/>
                <w:sz w:val="18"/>
              </w:rPr>
              <w:t>Sub-tasks routed dynamically to small/medium tiers</w:t>
            </w:r>
          </w:p>
        </w:tc>
        <w:tc>
          <w:tcPr>
            <w:tcW w:type="dxa" w:w="2592"/>
            <w:shd w:fill="F7FAFC"/>
            <w:tcMar>
              <w:top w:w="80" w:type="dxa"/>
              <w:bottom w:w="80" w:type="dxa"/>
              <w:left w:w="80" w:type="dxa"/>
              <w:right w:w="80" w:type="dxa"/>
            </w:tcMar>
          </w:tcPr>
          <w:p>
            <w:pPr>
              <w:spacing w:before="80" w:after="80" w:line="276" w:lineRule="auto"/>
            </w:pPr>
            <w:r>
              <w:rPr>
                <w:rFonts w:ascii="Arial" w:hAnsi="Arial"/>
                <w:b w:val="0"/>
                <w:i w:val="0"/>
                <w:color w:val="2D3748"/>
                <w:sz w:val="18"/>
              </w:rPr>
              <w:t>&gt;= 50% cost savings, &lt;= 5% accuracy delta</w:t>
            </w:r>
          </w:p>
        </w:tc>
      </w:tr>
      <w:tr>
        <w:tc>
          <w:tcPr>
            <w:tcW w:type="dxa" w:w="2880"/>
            <w:shd w:fill="FFFFFF"/>
            <w:tcMar>
              <w:top w:w="80" w:type="dxa"/>
              <w:bottom w:w="80" w:type="dxa"/>
              <w:left w:w="80" w:type="dxa"/>
              <w:right w:w="80" w:type="dxa"/>
            </w:tcMar>
          </w:tcPr>
          <w:p>
            <w:pPr>
              <w:spacing w:before="80" w:after="80" w:line="276" w:lineRule="auto"/>
            </w:pPr>
            <w:r>
              <w:rPr>
                <w:rFonts w:ascii="Arial" w:hAnsi="Arial"/>
                <w:b/>
                <w:i w:val="0"/>
                <w:color w:val="2D3748"/>
                <w:sz w:val="18"/>
              </w:rPr>
              <w:t>Subprocess Sandbox</w:t>
            </w:r>
          </w:p>
        </w:tc>
        <w:tc>
          <w:tcPr>
            <w:tcW w:type="dxa" w:w="3888"/>
            <w:shd w:fill="FFFFFF"/>
            <w:tcMar>
              <w:top w:w="80" w:type="dxa"/>
              <w:bottom w:w="80" w:type="dxa"/>
              <w:left w:w="80" w:type="dxa"/>
              <w:right w:w="80" w:type="dxa"/>
            </w:tcMar>
          </w:tcPr>
          <w:p>
            <w:pPr>
              <w:spacing w:before="80" w:after="80" w:line="276" w:lineRule="auto"/>
            </w:pPr>
            <w:r>
              <w:rPr>
                <w:rFonts w:ascii="Arial" w:hAnsi="Arial"/>
                <w:b w:val="0"/>
                <w:i w:val="0"/>
                <w:color w:val="2D3748"/>
                <w:sz w:val="18"/>
              </w:rPr>
              <w:t>Isolated process restricts networking &amp; memory limits</w:t>
            </w:r>
          </w:p>
        </w:tc>
        <w:tc>
          <w:tcPr>
            <w:tcW w:type="dxa" w:w="2592"/>
            <w:shd w:fill="FFFFFF"/>
            <w:tcMar>
              <w:top w:w="80" w:type="dxa"/>
              <w:bottom w:w="80" w:type="dxa"/>
              <w:left w:w="80" w:type="dxa"/>
              <w:right w:w="80" w:type="dxa"/>
            </w:tcMar>
          </w:tcPr>
          <w:p>
            <w:pPr>
              <w:spacing w:before="80" w:after="80" w:line="276" w:lineRule="auto"/>
            </w:pPr>
            <w:r>
              <w:rPr>
                <w:rFonts w:ascii="Arial" w:hAnsi="Arial"/>
                <w:b w:val="0"/>
                <w:i w:val="0"/>
                <w:color w:val="2D3748"/>
                <w:sz w:val="18"/>
              </w:rPr>
              <w:t>100% network block rate, 0 host crashes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b w:val="0"/>
        <w:i w:val="0"/>
        <w:color w:val="718096"/>
        <w:sz w:val="17"/>
      </w:rPr>
      <w:t>Internal Use Only</w:t>
    </w:r>
  </w:p>
  <w:p>
    <w:pPr>
      <w:pStyle w:val="Footer"/>
      <w:jc w:val="left"/>
    </w:pPr>
    <w:r>
      <w:rPr>
        <w:rFonts w:ascii="Arial" w:hAnsi="Arial"/>
        <w:b w:val="0"/>
        <w:i w:val="0"/>
        <w:color w:val="718096"/>
        <w:sz w:val="17"/>
      </w:rPr>
      <w:t>CONFIDENTIAL  |  May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i/>
        <w:color w:val="718096"/>
        <w:sz w:val="17"/>
      </w:rPr>
      <w:t>MeshFlow Competitive Intelligence &amp; Roadmap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