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6DE45B5F"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adenocorticotrófica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controlam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C53728">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653EE24F" w:rsidR="00F34D68" w:rsidRDefault="00C53728">
      <w:r>
        <w:tab/>
        <w:t>Ante</w:t>
      </w:r>
      <w:r w:rsidR="00D3705F">
        <w:t>riorm</w:t>
      </w:r>
      <w:r w:rsidR="001E5AAD">
        <w:t xml:space="preserve">ente fora apresentado como o organismo humano responde perante </w:t>
      </w:r>
    </w:p>
    <w:p w14:paraId="56A8B76F" w14:textId="0796308F" w:rsidR="00F34D68" w:rsidRDefault="00F34D68">
      <w:r>
        <w:t xml:space="preserve"> </w:t>
      </w:r>
    </w:p>
    <w:sectPr w:rsidR="00F34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A5BF2" w14:textId="77777777" w:rsidR="00911193" w:rsidRDefault="00911193" w:rsidP="00201762">
      <w:pPr>
        <w:spacing w:after="0" w:line="240" w:lineRule="auto"/>
      </w:pPr>
      <w:r>
        <w:separator/>
      </w:r>
    </w:p>
  </w:endnote>
  <w:endnote w:type="continuationSeparator" w:id="0">
    <w:p w14:paraId="6844CD63" w14:textId="77777777" w:rsidR="00911193" w:rsidRDefault="00911193"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A151F" w14:textId="77777777" w:rsidR="00911193" w:rsidRDefault="00911193" w:rsidP="00201762">
      <w:pPr>
        <w:spacing w:after="0" w:line="240" w:lineRule="auto"/>
      </w:pPr>
      <w:r>
        <w:separator/>
      </w:r>
    </w:p>
  </w:footnote>
  <w:footnote w:type="continuationSeparator" w:id="0">
    <w:p w14:paraId="4F64A2D0" w14:textId="77777777" w:rsidR="00911193" w:rsidRDefault="00911193"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1E5AAD"/>
    <w:rsid w:val="00201762"/>
    <w:rsid w:val="002F31BE"/>
    <w:rsid w:val="003377C7"/>
    <w:rsid w:val="00616919"/>
    <w:rsid w:val="00724C95"/>
    <w:rsid w:val="007D2862"/>
    <w:rsid w:val="007E0A64"/>
    <w:rsid w:val="008E17AB"/>
    <w:rsid w:val="00911193"/>
    <w:rsid w:val="009B0524"/>
    <w:rsid w:val="00A256F0"/>
    <w:rsid w:val="00A57BFD"/>
    <w:rsid w:val="00B254A5"/>
    <w:rsid w:val="00C075EA"/>
    <w:rsid w:val="00C53728"/>
    <w:rsid w:val="00D3705F"/>
    <w:rsid w:val="00F34D68"/>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18</cp:revision>
  <dcterms:created xsi:type="dcterms:W3CDTF">2023-10-01T16:58:00Z</dcterms:created>
  <dcterms:modified xsi:type="dcterms:W3CDTF">2023-10-02T21:53:00Z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