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972BBB" w:rsidRDefault="00616919">
      <w:pPr>
        <w:rPr>
          <w:sz w:val="36"/>
          <w:szCs w:val="36"/>
        </w:rPr>
      </w:pPr>
      <w:r w:rsidRPr="00972BBB">
        <w:rPr>
          <w:sz w:val="36"/>
          <w:szCs w:val="36"/>
        </w:rPr>
        <w:t>Stress</w:t>
      </w:r>
    </w:p>
    <w:p w14:paraId="12C38A23" w14:textId="33BD8100" w:rsidR="00616919" w:rsidRPr="00972BBB" w:rsidRDefault="00616919">
      <w:r w:rsidRPr="00972BBB">
        <w:t>- O que é</w:t>
      </w:r>
    </w:p>
    <w:p w14:paraId="1BB3C332" w14:textId="038C838E" w:rsidR="00616919" w:rsidRPr="00972BBB" w:rsidRDefault="00201762" w:rsidP="00A57BFD">
      <w:pPr>
        <w:ind w:firstLine="708"/>
      </w:pPr>
      <w:r w:rsidRPr="00972BBB">
        <w:t>Entende-se por stress a série de processos que provoquem uma alteração da homeostasia</w:t>
      </w:r>
      <w:r w:rsidRPr="00972BBB">
        <w:rPr>
          <w:rStyle w:val="FootnoteReference"/>
        </w:rPr>
        <w:footnoteReference w:id="1"/>
      </w:r>
      <w:r w:rsidRPr="00972BBB">
        <w:t xml:space="preserve">, </w:t>
      </w:r>
      <w:r w:rsidRPr="00972BBB">
        <w:t xml:space="preserve">sendo necessária uma resposta adaptativa do organismo de forma a recuperar a mesma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r w:rsidR="00A57BFD" w:rsidRPr="00972BBB">
        <w:t xml:space="preserve"> Posto isto, d</w:t>
      </w:r>
      <w:r w:rsidR="00616919" w:rsidRPr="00972BBB">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rsidRPr="00972BBB">
        <w:t xml:space="preserve"> </w:t>
      </w:r>
      <w:r w:rsidR="00A57BFD"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rsidRPr="00972BBB">
        <w:fldChar w:fldCharType="separate"/>
      </w:r>
      <w:r w:rsidR="00A57BFD" w:rsidRPr="00972BBB">
        <w:rPr>
          <w:noProof/>
        </w:rPr>
        <w:t>(Vindel, 2022)</w:t>
      </w:r>
      <w:r w:rsidR="00A57BFD" w:rsidRPr="00972BBB">
        <w:fldChar w:fldCharType="end"/>
      </w:r>
      <w:r w:rsidR="00616919" w:rsidRPr="00972BBB">
        <w:t xml:space="preserve">. </w:t>
      </w:r>
    </w:p>
    <w:p w14:paraId="30D0DCB2" w14:textId="24D9374A" w:rsidR="00616919" w:rsidRPr="00972BBB" w:rsidRDefault="00616919" w:rsidP="002F31BE">
      <w:pPr>
        <w:ind w:firstLine="708"/>
        <w:jc w:val="both"/>
      </w:pPr>
      <w:r w:rsidRPr="00972BBB">
        <w:t>Em resposta a este fenómeno, a nossa mente, o nosso corpo e o nosso comportamento são ativados ao mesmo tempo, levando uma pessoa a pensar mais rapidamente</w:t>
      </w:r>
      <w:r w:rsidR="002F31BE" w:rsidRPr="00972BBB">
        <w:t xml:space="preserve"> – permitindo a sobrevivência em situações de luta ou fuga </w:t>
      </w:r>
      <w:r w:rsidR="002F31BE" w:rsidRPr="00972BBB">
        <w:fldChar w:fldCharType="begin" w:fldLock="1"/>
      </w:r>
      <w:r w:rsidR="00B254A5"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rsidRPr="00972BBB">
        <w:fldChar w:fldCharType="separate"/>
      </w:r>
      <w:r w:rsidR="002F31BE" w:rsidRPr="00972BBB">
        <w:rPr>
          <w:noProof/>
        </w:rPr>
        <w:t>(Sinha &amp; Jastreboff, 2013)</w:t>
      </w:r>
      <w:r w:rsidR="002F31BE" w:rsidRPr="00972BBB">
        <w:fldChar w:fldCharType="end"/>
      </w:r>
      <w:r w:rsidR="002F31BE" w:rsidRPr="00972BBB">
        <w:t xml:space="preserve"> – o </w:t>
      </w:r>
      <w:r w:rsidRPr="00972BBB">
        <w:t>que pode gerar emoções positivas</w:t>
      </w:r>
      <w:r w:rsidR="002F31BE" w:rsidRPr="00972BBB">
        <w:t>,</w:t>
      </w:r>
      <w:r w:rsidRPr="00972BBB">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rsidRPr="00972BBB">
        <w:t xml:space="preserve"> </w:t>
      </w:r>
      <w:r w:rsidR="002F31BE"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rsidRPr="00972BBB">
        <w:fldChar w:fldCharType="separate"/>
      </w:r>
      <w:r w:rsidR="002F31BE" w:rsidRPr="00972BBB">
        <w:rPr>
          <w:noProof/>
        </w:rPr>
        <w:t>(Vindel, 2022)</w:t>
      </w:r>
      <w:r w:rsidR="002F31BE" w:rsidRPr="00972BBB">
        <w:fldChar w:fldCharType="end"/>
      </w:r>
      <w:r w:rsidRPr="00972BBB">
        <w:t>.</w:t>
      </w:r>
    </w:p>
    <w:p w14:paraId="1A2A1E91" w14:textId="187F3A23" w:rsidR="002F31BE" w:rsidRPr="00972BBB" w:rsidRDefault="002F31BE" w:rsidP="002F31BE">
      <w:pPr>
        <w:ind w:firstLine="708"/>
      </w:pPr>
      <w:r w:rsidRPr="00972BBB">
        <w:t>Existem variados exemplos de</w:t>
      </w:r>
      <w:r w:rsidRPr="00972BBB">
        <w:t xml:space="preserve"> stress</w:t>
      </w:r>
      <w:r w:rsidRPr="00972BBB">
        <w:t>,</w:t>
      </w:r>
      <w:r w:rsidRPr="00972BBB">
        <w:t xml:space="preserve"> emocional ou psicológico</w:t>
      </w:r>
      <w:r w:rsidRPr="00972BBB">
        <w:t xml:space="preserve"> e fisiológico, tais como </w:t>
      </w:r>
      <w:r w:rsidRPr="00972BBB">
        <w:t xml:space="preserve">problemas interpessoais, </w:t>
      </w:r>
      <w:r w:rsidRPr="00972BBB">
        <w:t>o fim</w:t>
      </w:r>
      <w:r w:rsidRPr="00972BBB">
        <w:t xml:space="preserve"> de uma relação, luto e desemprego e</w:t>
      </w:r>
      <w:r w:rsidRPr="00972BBB">
        <w:t>,</w:t>
      </w:r>
      <w:r w:rsidRPr="00972BBB">
        <w:t xml:space="preserve"> como exemplos de stress fisiológico</w:t>
      </w:r>
      <w:r w:rsidRPr="00972BBB">
        <w:t>,</w:t>
      </w:r>
      <w:r w:rsidRPr="00972BBB">
        <w:t xml:space="preserve"> fome, insónia, hipo</w:t>
      </w:r>
      <w:r w:rsidRPr="00972BBB">
        <w:t>termia</w:t>
      </w:r>
      <w:r w:rsidRPr="00972BBB">
        <w:t xml:space="preserve"> e hipertermia, efeitos do uso de drogas psicoativas e sua privação e ainda doenças crónicas e intervenções cirúrgicas </w:t>
      </w:r>
      <w:r w:rsidRPr="00972BBB">
        <w:fldChar w:fldCharType="begin" w:fldLock="1"/>
      </w:r>
      <w:r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Pr="00972BBB">
        <w:fldChar w:fldCharType="separate"/>
      </w:r>
      <w:r w:rsidRPr="00972BBB">
        <w:rPr>
          <w:noProof/>
        </w:rPr>
        <w:t>(Sinha &amp; Jastreboff, 2013)</w:t>
      </w:r>
      <w:r w:rsidRPr="00972BBB">
        <w:fldChar w:fldCharType="end"/>
      </w:r>
      <w:r w:rsidRPr="00972BBB">
        <w:t>.</w:t>
      </w:r>
    </w:p>
    <w:p w14:paraId="2245198E" w14:textId="7F3A88F8" w:rsidR="00F60A81" w:rsidRPr="00972BBB" w:rsidRDefault="00F60A81" w:rsidP="002F31BE">
      <w:pPr>
        <w:ind w:firstLine="708"/>
      </w:pPr>
      <w:r w:rsidRPr="00972BBB">
        <w:t xml:space="preserve">Ressalve-se que, e apesar do stress se centrar numa resposta instintiva ao perigo iminente, </w:t>
      </w:r>
      <w:r w:rsidRPr="00972BBB">
        <w:t xml:space="preserve">elevados níveis de exposição ao stress provocam uma desregulação neural, metabólica e comportamental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p>
    <w:p w14:paraId="7DE9961A" w14:textId="77777777" w:rsidR="00616919" w:rsidRPr="00972BBB" w:rsidRDefault="00616919"/>
    <w:p w14:paraId="693D5AD0" w14:textId="5B053E89" w:rsidR="00616919" w:rsidRPr="00972BBB" w:rsidRDefault="00616919">
      <w:r w:rsidRPr="00972BBB">
        <w:t>- Ciclo do stress</w:t>
      </w:r>
    </w:p>
    <w:p w14:paraId="2E8A3369" w14:textId="1D25DC35" w:rsidR="00C075EA" w:rsidRPr="00972BBB" w:rsidRDefault="00C075EA">
      <w:r w:rsidRPr="00972BBB">
        <w:tab/>
      </w:r>
      <w:r w:rsidRPr="00972BBB">
        <w:t xml:space="preserve">Quando surge uma exigência à qual </w:t>
      </w:r>
      <w:r w:rsidRPr="00972BBB">
        <w:t>o ser humano tem de</w:t>
      </w:r>
      <w:r w:rsidRPr="00972BBB">
        <w:t xml:space="preserve"> dar resposta, mas para a qual </w:t>
      </w:r>
      <w:r w:rsidRPr="00972BBB">
        <w:t>não está</w:t>
      </w:r>
      <w:r w:rsidRPr="00972BBB">
        <w:t xml:space="preserve"> preparado por não dispor de recursos suficientes, o sistema nervoso </w:t>
      </w:r>
      <w:r w:rsidR="00B254A5" w:rsidRPr="00972BBB">
        <w:t xml:space="preserve">inicia processo do stress, ao </w:t>
      </w:r>
      <w:r w:rsidRPr="00972BBB">
        <w:t>envia</w:t>
      </w:r>
      <w:r w:rsidR="00B254A5" w:rsidRPr="00972BBB">
        <w:t>r</w:t>
      </w:r>
      <w:r w:rsidRPr="00972BBB">
        <w:t xml:space="preserve"> sinais a partir do córtex cerebral para o hipotálamo e, </w:t>
      </w:r>
      <w:r w:rsidR="00B254A5" w:rsidRPr="00972BBB">
        <w:t>posteriormente</w:t>
      </w:r>
      <w:r w:rsidRPr="00972BBB">
        <w:t>, para a medula das glândulas suprarrenais</w:t>
      </w:r>
      <w:r w:rsidR="00B254A5" w:rsidRPr="00972BBB">
        <w:t xml:space="preserve"> que, em última instância, originam cortisol, a chamada hormona do stress. Assim, o ciclo do stress é uma designação dada ao processo de formação de cortisol, de modo a retardar ou mobilizar diferentes funções ou órgãos do indivíduo – preparando-se</w:t>
      </w:r>
      <w:r w:rsidR="00B254A5" w:rsidRPr="00972BBB">
        <w:t xml:space="preserve"> para enfrentar</w:t>
      </w:r>
      <w:r w:rsidR="00B254A5" w:rsidRPr="00972BBB">
        <w:t xml:space="preserve"> </w:t>
      </w:r>
      <w:r w:rsidR="00B254A5" w:rsidRPr="00972BBB">
        <w:t xml:space="preserve">melhor a circunstância </w:t>
      </w:r>
      <w:r w:rsidR="00B254A5" w:rsidRPr="00972BBB">
        <w:t>que atravessa</w:t>
      </w:r>
      <w:r w:rsidR="00B254A5" w:rsidRPr="00972BBB">
        <w:t>, priorizando ações como lutar ou fugir, ficar paralisado ou responder a outras exigências</w:t>
      </w:r>
      <w:r w:rsidR="00B254A5" w:rsidRPr="00972BBB">
        <w:t xml:space="preserve"> </w:t>
      </w:r>
      <w:r w:rsidR="00B254A5" w:rsidRPr="00972BBB">
        <w:fldChar w:fldCharType="begin" w:fldLock="1"/>
      </w:r>
      <w:r w:rsidR="00C53728"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rsidRPr="00972BBB">
        <w:fldChar w:fldCharType="separate"/>
      </w:r>
      <w:r w:rsidR="00B254A5" w:rsidRPr="00972BBB">
        <w:rPr>
          <w:noProof/>
        </w:rPr>
        <w:t>(Vindel, 2022)</w:t>
      </w:r>
      <w:r w:rsidR="00B254A5" w:rsidRPr="00972BBB">
        <w:fldChar w:fldCharType="end"/>
      </w:r>
      <w:r w:rsidR="00B254A5" w:rsidRPr="00972BBB">
        <w:t>.</w:t>
      </w:r>
      <w:r w:rsidR="00B254A5" w:rsidRPr="00972BBB">
        <w:tab/>
      </w:r>
      <w:r w:rsidR="00B254A5" w:rsidRPr="00972BBB">
        <w:t xml:space="preserve"> </w:t>
      </w:r>
    </w:p>
    <w:p w14:paraId="09CB7C54" w14:textId="475E7E80" w:rsidR="00A256F0" w:rsidRPr="00972BBB" w:rsidRDefault="00A256F0" w:rsidP="00A256F0">
      <w:pPr>
        <w:jc w:val="center"/>
      </w:pPr>
      <w:r w:rsidRPr="00972BBB">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Pr="00972BBB" w:rsidRDefault="00A256F0" w:rsidP="007E0A64">
      <w:pPr>
        <w:jc w:val="both"/>
      </w:pPr>
      <w:r w:rsidRPr="00972BBB">
        <w:t xml:space="preserve">Fig.1 – O HPA e a importância para o ciclo do stress. O hipotálamo, uma vez estimulado, produz a </w:t>
      </w:r>
      <w:r w:rsidRPr="00972BBB">
        <w:t>hormona libertadora da corticotro</w:t>
      </w:r>
      <w:r w:rsidR="009B0524" w:rsidRPr="00972BBB">
        <w:t>f</w:t>
      </w:r>
      <w:r w:rsidRPr="00972BBB">
        <w:t>ina</w:t>
      </w:r>
      <w:r w:rsidRPr="00972BBB">
        <w:t xml:space="preserve"> </w:t>
      </w:r>
      <w:r w:rsidR="009B0524" w:rsidRPr="00972BBB">
        <w:t xml:space="preserve">(CRH) nos seus neurónios e </w:t>
      </w:r>
      <w:r w:rsidRPr="00972BBB">
        <w:t>liberta</w:t>
      </w:r>
      <w:r w:rsidR="009B0524" w:rsidRPr="00972BBB">
        <w:t xml:space="preserve">-a, sendo encaminhada para a hipófise para produzir a hormona </w:t>
      </w:r>
      <w:proofErr w:type="spellStart"/>
      <w:r w:rsidR="009B0524" w:rsidRPr="00972BBB">
        <w:t>adenocorticotrófica</w:t>
      </w:r>
      <w:proofErr w:type="spellEnd"/>
      <w:r w:rsidR="009B0524" w:rsidRPr="00972BBB">
        <w:t xml:space="preserve"> (ACTH). Esta substância é, posteriormente, encaminhada para o sangue com a intenção de chegar às glândulas suprarrenais, onde é estimulada a produção de cortisol. </w:t>
      </w:r>
      <w:r w:rsidR="00D3705F" w:rsidRPr="00972BBB">
        <w:t>Também nestas estruturas são sintetizadas catecolaminas, como a adrenalina, noradrenalina e a dopamina</w:t>
      </w:r>
      <w:r w:rsidR="001E5AAD" w:rsidRPr="00972BBB">
        <w:t xml:space="preserve"> que, junto com o cortisol, </w:t>
      </w:r>
      <w:r w:rsidR="00F46F99" w:rsidRPr="00972BBB">
        <w:t>são encaminhados para vários tecidos-alvo</w:t>
      </w:r>
      <w:r w:rsidR="003E4B4E" w:rsidRPr="00972BBB">
        <w:t xml:space="preserve">, de modo a </w:t>
      </w:r>
      <w:r w:rsidR="001E5AAD" w:rsidRPr="00972BBB">
        <w:t>controla</w:t>
      </w:r>
      <w:r w:rsidR="003E4B4E" w:rsidRPr="00972BBB">
        <w:t>r</w:t>
      </w:r>
      <w:r w:rsidR="001E5AAD" w:rsidRPr="00972BBB">
        <w:t xml:space="preserve"> diferentes órgãos ou funções do organismo</w:t>
      </w:r>
      <w:r w:rsidR="00D3705F" w:rsidRPr="00972BBB">
        <w:t xml:space="preserve">. </w:t>
      </w:r>
      <w:r w:rsidR="00FE26DA" w:rsidRPr="00972BBB">
        <w:t xml:space="preserve">Atente-se à presença na figura de “sentidos proibidos”, que representam os mecanismos de feedback negativo tanto do ACTH como do cortisol </w:t>
      </w:r>
      <w:r w:rsidR="007E0A64" w:rsidRPr="00972BBB">
        <w:t>–</w:t>
      </w:r>
      <w:r w:rsidR="00FE26DA" w:rsidRPr="00972BBB">
        <w:t xml:space="preserve"> </w:t>
      </w:r>
      <w:r w:rsidR="007E0A64" w:rsidRPr="00972BBB">
        <w:t>isto é, o ACTH retroalimenta negativamente o sistema, inibindo a produção de CRH, e o cortisol, que também o afeta negativamente, reduz a produção das hormonas de ACTH e CRH</w:t>
      </w:r>
      <w:r w:rsidR="00C53728" w:rsidRPr="00972BBB">
        <w:t xml:space="preserve"> </w:t>
      </w:r>
      <w:r w:rsidR="00C53728" w:rsidRPr="00972BBB">
        <w:fldChar w:fldCharType="begin" w:fldLock="1"/>
      </w:r>
      <w:r w:rsidR="00260607"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rsidRPr="00972BBB">
        <w:fldChar w:fldCharType="separate"/>
      </w:r>
      <w:r w:rsidR="00C53728" w:rsidRPr="00972BBB">
        <w:rPr>
          <w:noProof/>
        </w:rPr>
        <w:t>(Marques et al., n.d.; Vindel, 2022)</w:t>
      </w:r>
      <w:r w:rsidR="00C53728" w:rsidRPr="00972BBB">
        <w:fldChar w:fldCharType="end"/>
      </w:r>
      <w:r w:rsidR="007E0A64" w:rsidRPr="00972BBB">
        <w:t>.</w:t>
      </w:r>
    </w:p>
    <w:p w14:paraId="408EF84F" w14:textId="77777777" w:rsidR="007E0A64" w:rsidRPr="00972BBB" w:rsidRDefault="007E0A64" w:rsidP="007E0A64">
      <w:pPr>
        <w:jc w:val="both"/>
      </w:pPr>
    </w:p>
    <w:p w14:paraId="2B43AD60" w14:textId="0863A496" w:rsidR="00616919" w:rsidRPr="00972BBB" w:rsidRDefault="00616919">
      <w:r w:rsidRPr="00972BBB">
        <w:t>- Stress e depressão</w:t>
      </w:r>
    </w:p>
    <w:p w14:paraId="395E97F8" w14:textId="3AC1741D" w:rsidR="00F34D68" w:rsidRPr="00972BBB" w:rsidRDefault="00C53728">
      <w:r w:rsidRPr="00972BBB">
        <w:tab/>
        <w:t>Ante</w:t>
      </w:r>
      <w:r w:rsidR="00D3705F" w:rsidRPr="00972BBB">
        <w:t>riorm</w:t>
      </w:r>
      <w:r w:rsidR="001E5AAD" w:rsidRPr="00972BBB">
        <w:t xml:space="preserve">ente fora apresentado como o organismo humano responde perante </w:t>
      </w:r>
      <w:r w:rsidR="00260607" w:rsidRPr="00972BBB">
        <w:t xml:space="preserve">uma ameaça que, de momento, não consegue lidar – através de um ciclo que envolve a produção de cortisol que, e embora esteja sempre presente no corpo, constitui uma hormona do stress e, como tal, aumenta perante esses estados. </w:t>
      </w:r>
      <w:r w:rsidR="00260607" w:rsidRPr="00972BBB">
        <w:t xml:space="preserve">Porém, quando a situação é muito grave, a chamada </w:t>
      </w:r>
      <w:r w:rsidR="00260607" w:rsidRPr="00972BBB">
        <w:t>“</w:t>
      </w:r>
      <w:r w:rsidR="00260607" w:rsidRPr="00972BBB">
        <w:t>reação de alarme do hipotálamo</w:t>
      </w:r>
      <w:r w:rsidR="00260607" w:rsidRPr="00972BBB">
        <w:t xml:space="preserve">” </w:t>
      </w:r>
      <w:r w:rsidR="00260607" w:rsidRPr="00972BBB">
        <w:t>é ativada, libertando não só quantidades maiores de cortisol, mas também de catecolaminas, incluindo a adrenalina, a noradrenalina e a dopamina libertadas na medula suprarrenal</w:t>
      </w:r>
      <w:r w:rsidR="00260607" w:rsidRPr="00972BBB">
        <w:t xml:space="preserve"> </w:t>
      </w:r>
      <w:r w:rsidR="00260607" w:rsidRPr="00972BBB">
        <w:fldChar w:fldCharType="begin" w:fldLock="1"/>
      </w:r>
      <w:r w:rsidR="00260607"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rsidRPr="00972BBB">
        <w:fldChar w:fldCharType="separate"/>
      </w:r>
      <w:r w:rsidR="00260607" w:rsidRPr="00972BBB">
        <w:rPr>
          <w:noProof/>
        </w:rPr>
        <w:t>(Vindel, 2022)</w:t>
      </w:r>
      <w:r w:rsidR="00260607" w:rsidRPr="00972BBB">
        <w:fldChar w:fldCharType="end"/>
      </w:r>
      <w:r w:rsidR="00260607" w:rsidRPr="00972BBB">
        <w:t>.</w:t>
      </w:r>
    </w:p>
    <w:p w14:paraId="7B529309" w14:textId="25C50A74" w:rsidR="00517957" w:rsidRPr="00972BBB" w:rsidRDefault="00260607">
      <w:r w:rsidRPr="00972BBB">
        <w:tab/>
        <w:t xml:space="preserve">Se o stress for persistente,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sidRPr="00972BBB">
        <w:lastRenderedPageBreak/>
        <w:fldChar w:fldCharType="begin" w:fldLock="1"/>
      </w:r>
      <w:r w:rsidR="00245C25"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Pr="00972BBB">
        <w:fldChar w:fldCharType="separate"/>
      </w:r>
      <w:r w:rsidRPr="00972BBB">
        <w:rPr>
          <w:noProof/>
        </w:rPr>
        <w:t>(Vindel, 2022)</w:t>
      </w:r>
      <w:r w:rsidRPr="00972BBB">
        <w:fldChar w:fldCharType="end"/>
      </w:r>
      <w:r w:rsidR="00245C25" w:rsidRPr="00972BBB">
        <w:t xml:space="preserve"> que, consequentemente, tem efeitos nocivos para o organismo </w:t>
      </w:r>
      <w:r w:rsidR="00245C25" w:rsidRPr="00972BBB">
        <w:fldChar w:fldCharType="begin" w:fldLock="1"/>
      </w:r>
      <w:r w:rsidR="00B933BE"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sidRPr="00972BBB">
        <w:fldChar w:fldCharType="separate"/>
      </w:r>
      <w:r w:rsidR="00245C25" w:rsidRPr="00972BBB">
        <w:rPr>
          <w:noProof/>
        </w:rPr>
        <w:t>(Marques et al., n.d.)</w:t>
      </w:r>
      <w:r w:rsidR="00245C25" w:rsidRPr="00972BBB">
        <w:fldChar w:fldCharType="end"/>
      </w:r>
      <w:r w:rsidRPr="00972BBB">
        <w:t xml:space="preserve">. </w:t>
      </w:r>
    </w:p>
    <w:p w14:paraId="608BEA26" w14:textId="386FF245" w:rsidR="00517957" w:rsidRPr="00972BBB" w:rsidRDefault="00517957">
      <w:r w:rsidRPr="00972BBB">
        <w:tab/>
        <w:t xml:space="preserve">O sistema nervoso, no entanto, </w:t>
      </w:r>
      <w:r w:rsidR="00F46F99" w:rsidRPr="00972BBB">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972BBB" w:rsidRDefault="00F46F99" w:rsidP="00F46F99">
      <w:pPr>
        <w:jc w:val="center"/>
      </w:pPr>
      <w:r w:rsidRPr="00972BBB">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Pr="00972BBB" w:rsidRDefault="00F34D68" w:rsidP="00F46F99">
      <w:r w:rsidRPr="00972BBB">
        <w:t xml:space="preserve"> </w:t>
      </w:r>
      <w:r w:rsidR="00F46F99" w:rsidRPr="00972BBB">
        <w:t xml:space="preserve">Fig.1 - </w:t>
      </w:r>
      <w:r w:rsidR="00F46F99" w:rsidRPr="00972BBB">
        <w:t>Resposta do HPA ao stress agudo</w:t>
      </w:r>
      <w:r w:rsidR="003E4B4E" w:rsidRPr="00972BBB">
        <w:t xml:space="preserve">, em detrimento do </w:t>
      </w:r>
      <w:r w:rsidR="00F46F99" w:rsidRPr="00972BBB">
        <w:t>mecanismo de habituação do HPA ao stress crónico</w:t>
      </w:r>
      <w:r w:rsidR="003E4B4E" w:rsidRPr="00972BBB">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rsidRPr="00972BBB">
        <w:t xml:space="preserve"> </w:t>
      </w:r>
      <w:r w:rsidR="00B933BE" w:rsidRPr="00972BBB">
        <w:fldChar w:fldCharType="begin" w:fldLock="1"/>
      </w:r>
      <w:r w:rsidR="009D198F"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rsidRPr="00972BBB">
        <w:fldChar w:fldCharType="separate"/>
      </w:r>
      <w:r w:rsidR="00B933BE" w:rsidRPr="00972BBB">
        <w:rPr>
          <w:noProof/>
        </w:rPr>
        <w:t>(Rabasa et al., 2015)</w:t>
      </w:r>
      <w:r w:rsidR="00B933BE" w:rsidRPr="00972BBB">
        <w:fldChar w:fldCharType="end"/>
      </w:r>
      <w:r w:rsidR="003E4B4E" w:rsidRPr="00972BBB">
        <w:t xml:space="preserve">. </w:t>
      </w:r>
    </w:p>
    <w:p w14:paraId="01183DAE" w14:textId="77777777" w:rsidR="00D8543C" w:rsidRPr="00972BBB" w:rsidRDefault="00D8543C" w:rsidP="00F46F99"/>
    <w:p w14:paraId="56A8B76F" w14:textId="46EBC205" w:rsidR="00F34D68" w:rsidRPr="00972BBB" w:rsidRDefault="009D198F" w:rsidP="00604257">
      <w:pPr>
        <w:ind w:firstLine="708"/>
      </w:pPr>
      <w:r w:rsidRPr="00972BBB">
        <w:t xml:space="preserve">Esta adaptação, contudo, nem sempre é conseguida, pelo que a ação de um stress sistemático coloca imediatamente o indivíduo em risco de vida </w:t>
      </w:r>
      <w:r w:rsidRPr="00972BBB">
        <w:fldChar w:fldCharType="begin" w:fldLock="1"/>
      </w:r>
      <w:r w:rsidR="002E6E1C"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Pr="00972BBB">
        <w:fldChar w:fldCharType="separate"/>
      </w:r>
      <w:r w:rsidRPr="00972BBB">
        <w:rPr>
          <w:noProof/>
        </w:rPr>
        <w:t>(Rabasa et al., 2015)</w:t>
      </w:r>
      <w:r w:rsidRPr="00972BBB">
        <w:fldChar w:fldCharType="end"/>
      </w:r>
      <w:r w:rsidR="006B6931" w:rsidRPr="00972BBB">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972BBB">
        <w:t xml:space="preserve">deletérios </w:t>
      </w:r>
      <w:r w:rsidR="006B6931" w:rsidRPr="00972BBB">
        <w:t>ao organismo</w:t>
      </w:r>
      <w:r w:rsidR="006B6931" w:rsidRPr="00972BBB">
        <w:t xml:space="preserve"> </w:t>
      </w:r>
      <w:r w:rsidR="006B6931" w:rsidRPr="00972BBB">
        <w:fldChar w:fldCharType="begin" w:fldLock="1"/>
      </w:r>
      <w:r w:rsidR="006B6931" w:rsidRPr="00972BBB">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rsidRPr="00972BBB">
        <w:fldChar w:fldCharType="separate"/>
      </w:r>
      <w:r w:rsidR="006B6931" w:rsidRPr="00972BBB">
        <w:rPr>
          <w:noProof/>
        </w:rPr>
        <w:t>(Jayasinghe et al., 2016)</w:t>
      </w:r>
      <w:r w:rsidR="006B6931" w:rsidRPr="00972BBB">
        <w:fldChar w:fldCharType="end"/>
      </w:r>
      <w:r w:rsidR="002E6E1C" w:rsidRPr="00972BBB">
        <w:t xml:space="preserve"> – entre eles, a redução do volume do hipocampo, a estrutura cerebral envolvida nos processos de cognição, emoções, afeto e memória, tornando-se num fator importante no aparecimento da depressão </w:t>
      </w:r>
      <w:r w:rsidR="002E6E1C" w:rsidRPr="00972BBB">
        <w:fldChar w:fldCharType="begin" w:fldLock="1"/>
      </w:r>
      <w:r w:rsidR="00BA1C85" w:rsidRPr="00972BBB">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rsidRPr="00972BBB">
        <w:fldChar w:fldCharType="separate"/>
      </w:r>
      <w:r w:rsidR="002E6E1C" w:rsidRPr="00972BBB">
        <w:rPr>
          <w:noProof/>
        </w:rPr>
        <w:t>(Moica et al., 2015)</w:t>
      </w:r>
      <w:r w:rsidR="002E6E1C" w:rsidRPr="00972BBB">
        <w:fldChar w:fldCharType="end"/>
      </w:r>
      <w:r w:rsidR="00BA1C85" w:rsidRPr="00972BBB">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rsidRPr="00972BBB">
        <w:fldChar w:fldCharType="begin" w:fldLock="1"/>
      </w:r>
      <w:r w:rsidR="00E50F13"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rsidRPr="00972BBB">
        <w:fldChar w:fldCharType="separate"/>
      </w:r>
      <w:r w:rsidR="00BA1C85" w:rsidRPr="00972BBB">
        <w:rPr>
          <w:noProof/>
        </w:rPr>
        <w:t>(Vindel, 2022)</w:t>
      </w:r>
      <w:r w:rsidR="00BA1C85" w:rsidRPr="00972BBB">
        <w:fldChar w:fldCharType="end"/>
      </w:r>
      <w:r w:rsidR="002E6E1C" w:rsidRPr="00972BBB">
        <w:t>.</w:t>
      </w:r>
    </w:p>
    <w:p w14:paraId="134BB363" w14:textId="77777777" w:rsidR="00255155" w:rsidRPr="00972BBB" w:rsidRDefault="00255155" w:rsidP="00604257">
      <w:pPr>
        <w:ind w:firstLine="708"/>
      </w:pPr>
    </w:p>
    <w:p w14:paraId="61ECD2BB" w14:textId="13E933EF" w:rsidR="00604257" w:rsidRPr="00972BBB"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972BBB">
        <w:rPr>
          <w:rFonts w:ascii="Broadway" w:eastAsiaTheme="majorEastAsia" w:hAnsi="Broadway" w:cstheme="majorBidi"/>
          <w:sz w:val="36"/>
          <w:szCs w:val="36"/>
        </w:rPr>
        <w:lastRenderedPageBreak/>
        <w:t>Depressão</w:t>
      </w:r>
      <w:bookmarkEnd w:id="0"/>
    </w:p>
    <w:p w14:paraId="44EE6BF7" w14:textId="77777777" w:rsidR="004149DC" w:rsidRPr="00972BBB" w:rsidRDefault="004149DC" w:rsidP="00255155"/>
    <w:p w14:paraId="52674D78" w14:textId="77777777" w:rsidR="00255155" w:rsidRPr="00972BBB" w:rsidRDefault="00255155" w:rsidP="00255155">
      <w:pPr>
        <w:rPr>
          <w:rFonts w:cstheme="minorHAnsi"/>
          <w:sz w:val="28"/>
          <w:szCs w:val="28"/>
        </w:rPr>
      </w:pPr>
      <w:bookmarkStart w:id="1" w:name="_Toc125389026"/>
      <w:bookmarkStart w:id="2" w:name="_Toc125633736"/>
      <w:r w:rsidRPr="00972BBB">
        <w:rPr>
          <w:rFonts w:cstheme="minorHAnsi"/>
          <w:sz w:val="28"/>
          <w:szCs w:val="28"/>
        </w:rPr>
        <w:t>O que é</w:t>
      </w:r>
    </w:p>
    <w:p w14:paraId="5EC09AB1" w14:textId="3E1A631A" w:rsidR="00255155" w:rsidRPr="000F5C90" w:rsidRDefault="00A82178" w:rsidP="00827B52">
      <w:pPr>
        <w:ind w:firstLine="708"/>
        <w:rPr>
          <w:rFonts w:cstheme="minorHAnsi"/>
        </w:rPr>
      </w:pPr>
      <w:r w:rsidRPr="000F5C90">
        <w:rPr>
          <w:rFonts w:cstheme="minorHAnsi"/>
        </w:rPr>
        <w:t xml:space="preserve">A depressão, também designada por perturbação depressiva major ou depressão clínica, é um transtorno de humor que causa um sentimento persistente de tristeza e perda de interesse </w:t>
      </w:r>
      <w:r w:rsidR="001C2EEB" w:rsidRPr="000F5C90">
        <w:rPr>
          <w:rFonts w:cstheme="minorHAnsi"/>
        </w:rPr>
        <w:t xml:space="preserve">e capacidade de desfrutar </w:t>
      </w:r>
      <w:r w:rsidRPr="000F5C90">
        <w:rPr>
          <w:rFonts w:cstheme="minorHAnsi"/>
        </w:rPr>
        <w:t>o quotidiano</w:t>
      </w:r>
      <w:r w:rsidR="00E50F13" w:rsidRPr="000F5C90">
        <w:rPr>
          <w:rFonts w:cstheme="minorHAnsi"/>
        </w:rPr>
        <w:t xml:space="preserve"> </w:t>
      </w:r>
      <w:r w:rsidR="00E50F13" w:rsidRPr="000F5C90">
        <w:rPr>
          <w:rFonts w:cstheme="minorHAnsi"/>
        </w:rPr>
        <w:fldChar w:fldCharType="begin" w:fldLock="1"/>
      </w:r>
      <w:r w:rsidR="00330B87" w:rsidRPr="000F5C90">
        <w:rPr>
          <w:rFonts w:cstheme="minorHAnsi"/>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sidRPr="000F5C90">
        <w:rPr>
          <w:rFonts w:cstheme="minorHAnsi"/>
        </w:rPr>
        <w:fldChar w:fldCharType="separate"/>
      </w:r>
      <w:r w:rsidR="001C2EEB" w:rsidRPr="000F5C90">
        <w:rPr>
          <w:rFonts w:cstheme="minorHAnsi"/>
          <w:noProof/>
        </w:rPr>
        <w:t>(Mayo Clinic Staff, 2022; Vindel, 2022)</w:t>
      </w:r>
      <w:r w:rsidR="00E50F13" w:rsidRPr="000F5C90">
        <w:rPr>
          <w:rFonts w:cstheme="minorHAnsi"/>
        </w:rPr>
        <w:fldChar w:fldCharType="end"/>
      </w:r>
      <w:r w:rsidRPr="000F5C90">
        <w:rPr>
          <w:rFonts w:cstheme="minorHAnsi"/>
        </w:rPr>
        <w:t xml:space="preserve">. </w:t>
      </w:r>
      <w:r w:rsidR="00255155" w:rsidRPr="000F5C90">
        <w:rPr>
          <w:rFonts w:cstheme="minorHAnsi"/>
        </w:rPr>
        <w:t>É um estado de tristeza e desespero que pode ser acompanhado por distúrbios de sono, alimentares, da sexualidade, da atividade mental, física e até mesmo da alegria de viver</w:t>
      </w:r>
      <w:r w:rsidR="00330B87" w:rsidRPr="000F5C90">
        <w:rPr>
          <w:rFonts w:cstheme="minorHAnsi"/>
        </w:rPr>
        <w:t xml:space="preserve"> </w:t>
      </w:r>
      <w:r w:rsidR="00330B87" w:rsidRPr="000F5C90">
        <w:rPr>
          <w:rFonts w:cstheme="minorHAnsi"/>
        </w:rPr>
        <w:fldChar w:fldCharType="begin" w:fldLock="1"/>
      </w:r>
      <w:r w:rsidR="00E05CB5" w:rsidRPr="000F5C90">
        <w:rPr>
          <w:rFonts w:cstheme="minorHAnsi"/>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330B87" w:rsidRPr="000F5C90">
        <w:rPr>
          <w:rFonts w:cstheme="minorHAnsi"/>
        </w:rPr>
        <w:fldChar w:fldCharType="separate"/>
      </w:r>
      <w:r w:rsidR="00330B87" w:rsidRPr="000F5C90">
        <w:rPr>
          <w:rFonts w:cstheme="minorHAnsi"/>
          <w:noProof/>
        </w:rPr>
        <w:t>(Vindel, 2022)</w:t>
      </w:r>
      <w:r w:rsidR="00330B87" w:rsidRPr="000F5C90">
        <w:rPr>
          <w:rFonts w:cstheme="minorHAnsi"/>
        </w:rPr>
        <w:fldChar w:fldCharType="end"/>
      </w:r>
      <w:r w:rsidR="00255155" w:rsidRPr="000F5C90">
        <w:rPr>
          <w:rFonts w:cstheme="minorHAnsi"/>
        </w:rPr>
        <w:t>.</w:t>
      </w:r>
      <w:r w:rsidR="00330B87" w:rsidRPr="000F5C90">
        <w:rPr>
          <w:rFonts w:cstheme="minorHAnsi"/>
        </w:rPr>
        <w:t xml:space="preserve"> </w:t>
      </w:r>
    </w:p>
    <w:p w14:paraId="001951F8" w14:textId="6F6DDCDE" w:rsidR="00803628" w:rsidRPr="000F5C90" w:rsidRDefault="00803628" w:rsidP="00827B52">
      <w:pPr>
        <w:ind w:firstLine="708"/>
        <w:rPr>
          <w:rFonts w:cstheme="minorHAnsi"/>
        </w:rPr>
      </w:pPr>
      <w:r w:rsidRPr="000F5C90">
        <w:rPr>
          <w:rFonts w:cstheme="minorHAnsi"/>
        </w:rPr>
        <w:t xml:space="preserve">A doença da depressão é reportada como a perturbação mental mais comum na população em geral </w:t>
      </w:r>
      <w:r w:rsidR="0042009D" w:rsidRPr="000F5C90">
        <w:rPr>
          <w:rFonts w:cstheme="minorHAnsi"/>
        </w:rPr>
        <w:fldChar w:fldCharType="begin" w:fldLock="1"/>
      </w:r>
      <w:r w:rsidR="00972BBB" w:rsidRPr="000F5C90">
        <w:rPr>
          <w:rFonts w:cstheme="minorHAnsi"/>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sidR="0042009D" w:rsidRPr="000F5C90">
        <w:rPr>
          <w:rFonts w:cstheme="minorHAnsi"/>
        </w:rPr>
        <w:fldChar w:fldCharType="separate"/>
      </w:r>
      <w:r w:rsidR="0042009D" w:rsidRPr="000F5C90">
        <w:rPr>
          <w:rFonts w:cstheme="minorHAnsi"/>
          <w:noProof/>
        </w:rPr>
        <w:t>(Stein et al., 2020)</w:t>
      </w:r>
      <w:r w:rsidR="0042009D" w:rsidRPr="000F5C90">
        <w:rPr>
          <w:rFonts w:cstheme="minorHAnsi"/>
        </w:rPr>
        <w:fldChar w:fldCharType="end"/>
      </w:r>
      <w:r w:rsidRPr="000F5C90">
        <w:rPr>
          <w:rFonts w:cstheme="minorHAnsi"/>
        </w:rPr>
        <w:t xml:space="preserve">. </w:t>
      </w:r>
    </w:p>
    <w:p w14:paraId="387650DB" w14:textId="77777777" w:rsidR="00E149D7" w:rsidRPr="00972BBB" w:rsidRDefault="00E149D7" w:rsidP="00827B52">
      <w:pPr>
        <w:ind w:firstLine="708"/>
        <w:rPr>
          <w:rFonts w:cstheme="minorHAnsi"/>
          <w:sz w:val="24"/>
          <w:szCs w:val="24"/>
        </w:rPr>
      </w:pPr>
    </w:p>
    <w:p w14:paraId="0611CBD8" w14:textId="1EE1FD56" w:rsidR="00604257" w:rsidRPr="00972BBB" w:rsidRDefault="00604257" w:rsidP="00255155">
      <w:pPr>
        <w:rPr>
          <w:rFonts w:cstheme="minorHAnsi"/>
          <w:sz w:val="28"/>
          <w:szCs w:val="28"/>
        </w:rPr>
      </w:pPr>
      <w:r w:rsidRPr="00972BBB">
        <w:rPr>
          <w:rFonts w:cstheme="minorHAnsi"/>
          <w:sz w:val="28"/>
          <w:szCs w:val="28"/>
        </w:rPr>
        <w:t>Epidemiologia</w:t>
      </w:r>
      <w:bookmarkEnd w:id="1"/>
      <w:bookmarkEnd w:id="2"/>
    </w:p>
    <w:p w14:paraId="1495B745" w14:textId="5B535FE8" w:rsidR="00604257" w:rsidRPr="000F5C90" w:rsidRDefault="00604257" w:rsidP="009D2739">
      <w:pPr>
        <w:ind w:firstLine="708"/>
        <w:jc w:val="both"/>
      </w:pPr>
      <w:r w:rsidRPr="000F5C90">
        <w:t xml:space="preserve">A perturbação depressiva </w:t>
      </w:r>
      <w:r w:rsidR="00E05CB5" w:rsidRPr="000F5C90">
        <w:t xml:space="preserve">maior </w:t>
      </w:r>
      <w:r w:rsidRPr="000F5C90">
        <w:t>é uma doença mental muito frequente, pertencente ao grupo das perturbações do humor</w:t>
      </w:r>
      <w:r w:rsidR="00E05CB5" w:rsidRPr="000F5C90">
        <w:rPr>
          <w:rStyle w:val="FootnoteReference"/>
        </w:rPr>
        <w:footnoteReference w:id="2"/>
      </w:r>
      <w:r w:rsidR="009D2739" w:rsidRPr="000F5C90">
        <w:t xml:space="preserve">, que </w:t>
      </w:r>
      <w:r w:rsidRPr="000F5C90">
        <w:t>afeta</w:t>
      </w:r>
      <w:r w:rsidR="009D2739" w:rsidRPr="000F5C90">
        <w:t xml:space="preserve"> </w:t>
      </w:r>
      <w:r w:rsidRPr="000F5C90">
        <w:t xml:space="preserve">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sidRPr="000F5C90">
            <w:rPr>
              <w:rFonts w:eastAsia="Times New Roman"/>
            </w:rPr>
            <w:t>(Saraiva &amp; Cerejeira, 2014)</w:t>
          </w:r>
        </w:sdtContent>
      </w:sdt>
      <w:r w:rsidRPr="000F5C90">
        <w:t>. Esta prevê que, até ao ano de 2030, a depressão s</w:t>
      </w:r>
      <w:r w:rsidR="006916F7" w:rsidRPr="000F5C90">
        <w:t>eja</w:t>
      </w:r>
      <w:r w:rsidRPr="000F5C90">
        <w:t xml:space="preserve"> a principal causa de incapacidade em todo o mundo </w:t>
      </w:r>
      <w:sdt>
        <w:sdtPr>
          <w:rPr>
            <w:color w:val="000000"/>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0F5C90">
            <w:rPr>
              <w:color w:val="000000"/>
            </w:rPr>
            <w:t xml:space="preserve">(Centre for Suicide </w:t>
          </w:r>
          <w:proofErr w:type="spellStart"/>
          <w:r w:rsidRPr="000F5C90">
            <w:rPr>
              <w:color w:val="000000"/>
            </w:rPr>
            <w:t>Prevention</w:t>
          </w:r>
          <w:proofErr w:type="spellEnd"/>
          <w:r w:rsidRPr="000F5C90">
            <w:rPr>
              <w:color w:val="000000"/>
            </w:rPr>
            <w:t>, 2015)</w:t>
          </w:r>
        </w:sdtContent>
      </w:sdt>
      <w:r w:rsidRPr="000F5C90">
        <w:t>.</w:t>
      </w:r>
    </w:p>
    <w:p w14:paraId="4EA48CCF" w14:textId="61F6C055" w:rsidR="00604257" w:rsidRPr="000F5C90" w:rsidRDefault="00604257" w:rsidP="00B5031E">
      <w:pPr>
        <w:ind w:firstLine="708"/>
        <w:jc w:val="both"/>
      </w:pPr>
      <w:r w:rsidRPr="000F5C90">
        <w:t>Dependendo do país, as prevalências</w:t>
      </w:r>
      <w:r w:rsidR="00972BBB" w:rsidRPr="000F5C90">
        <w:rPr>
          <w:rStyle w:val="FootnoteReference"/>
        </w:rPr>
        <w:footnoteReference w:id="3"/>
      </w:r>
      <w:r w:rsidRPr="000F5C90">
        <w:t xml:space="preserve"> de depressão </w:t>
      </w:r>
      <w:r w:rsidRPr="000F5C90">
        <w:rPr>
          <w:i/>
          <w:iCs/>
        </w:rPr>
        <w:t xml:space="preserve">major </w:t>
      </w:r>
      <w:r w:rsidRPr="000F5C90">
        <w:t>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w:t>
      </w:r>
      <w:r w:rsidR="00E05CB5" w:rsidRPr="000F5C90">
        <w:t>e</w:t>
      </w:r>
      <w:r w:rsidRPr="000F5C90">
        <w:t>p</w:t>
      </w:r>
      <w:r w:rsidR="00E05CB5" w:rsidRPr="000F5C90">
        <w:t>a</w:t>
      </w:r>
      <w:r w:rsidRPr="000F5C90">
        <w:t xml:space="preserve">radas e solteiras </w:t>
      </w:r>
      <w:sdt>
        <w:sdt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sidRPr="000F5C90">
            <w:rPr>
              <w:rFonts w:eastAsia="Times New Roman"/>
            </w:rPr>
            <w:t>(Saraiva &amp; Cerejeira, 2014)</w:t>
          </w:r>
        </w:sdtContent>
      </w:sdt>
      <w:r w:rsidRPr="000F5C90">
        <w:t xml:space="preserve">. </w:t>
      </w:r>
    </w:p>
    <w:p w14:paraId="19BACAA0" w14:textId="21DCC2C4" w:rsidR="00604257" w:rsidRPr="000F5C90" w:rsidRDefault="00604257" w:rsidP="00C42BED">
      <w:pPr>
        <w:ind w:firstLine="708"/>
        <w:jc w:val="both"/>
      </w:pPr>
      <w:r w:rsidRPr="000F5C90">
        <w:t xml:space="preserve">A </w:t>
      </w:r>
      <w:r w:rsidR="00C42BED" w:rsidRPr="000F5C90">
        <w:t>pior</w:t>
      </w:r>
      <w:r w:rsidRPr="000F5C90">
        <w:t xml:space="preserve"> consequência do não</w:t>
      </w:r>
      <w:r w:rsidR="00C42BED" w:rsidRPr="000F5C90">
        <w:t>-</w:t>
      </w:r>
      <w:r w:rsidRPr="000F5C90">
        <w:t xml:space="preserve">tratamento da depressão é o suicídio, uma vez que a maioria dos </w:t>
      </w:r>
      <w:r w:rsidR="00411661" w:rsidRPr="000F5C90">
        <w:t>mesmos</w:t>
      </w:r>
      <w:r w:rsidRPr="000F5C90">
        <w:t xml:space="preserve"> ocorre em contexto de depressão, sendo este responsável pela </w:t>
      </w:r>
      <w:r w:rsidR="00716CA1" w:rsidRPr="000F5C90">
        <w:t xml:space="preserve">morte de mais </w:t>
      </w:r>
      <w:r w:rsidRPr="000F5C90">
        <w:t xml:space="preserve">de mil </w:t>
      </w:r>
      <w:r w:rsidR="00716CA1" w:rsidRPr="000F5C90">
        <w:t>pessoas</w:t>
      </w:r>
      <w:r w:rsidRPr="000F5C90">
        <w:t xml:space="preserve"> anualmente em Portugal </w:t>
      </w:r>
      <w:sdt>
        <w:sdt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sidRPr="000F5C90">
            <w:rPr>
              <w:rFonts w:eastAsia="Times New Roman"/>
            </w:rPr>
            <w:t>(Saraiva &amp; Cerejeira, 2014)</w:t>
          </w:r>
        </w:sdtContent>
      </w:sdt>
      <w:r w:rsidRPr="000F5C90">
        <w:t xml:space="preserve">. </w:t>
      </w:r>
    </w:p>
    <w:p w14:paraId="513E8E31" w14:textId="77777777" w:rsidR="00C42BED" w:rsidRPr="00972BBB" w:rsidRDefault="00C42BED" w:rsidP="00255155">
      <w:bookmarkStart w:id="3" w:name="_Toc125389027"/>
      <w:bookmarkStart w:id="4" w:name="_Toc125633737"/>
    </w:p>
    <w:p w14:paraId="19A984DD" w14:textId="77777777" w:rsidR="00C42BED" w:rsidRDefault="00C42BED" w:rsidP="00255155"/>
    <w:p w14:paraId="697791FE" w14:textId="77777777" w:rsidR="000F5C90" w:rsidRDefault="000F5C90" w:rsidP="00255155"/>
    <w:p w14:paraId="51144FDE" w14:textId="77777777" w:rsidR="000F5C90" w:rsidRPr="00972BBB" w:rsidRDefault="000F5C90" w:rsidP="00255155"/>
    <w:p w14:paraId="3D33D2FC" w14:textId="7B80DCF4" w:rsidR="00604257" w:rsidRPr="00972BBB" w:rsidRDefault="00604257" w:rsidP="00255155">
      <w:pPr>
        <w:rPr>
          <w:sz w:val="28"/>
          <w:szCs w:val="28"/>
        </w:rPr>
      </w:pPr>
      <w:r w:rsidRPr="00972BBB">
        <w:rPr>
          <w:sz w:val="28"/>
          <w:szCs w:val="28"/>
        </w:rPr>
        <w:lastRenderedPageBreak/>
        <w:t>Sintomatologia</w:t>
      </w:r>
      <w:bookmarkEnd w:id="3"/>
      <w:bookmarkEnd w:id="4"/>
    </w:p>
    <w:p w14:paraId="00432217" w14:textId="747ABDFE" w:rsidR="001142EE" w:rsidRPr="000F5C90" w:rsidRDefault="00604257" w:rsidP="00604257">
      <w:pPr>
        <w:jc w:val="both"/>
      </w:pPr>
      <w:r w:rsidRPr="00972BBB">
        <w:rPr>
          <w:sz w:val="24"/>
          <w:szCs w:val="24"/>
        </w:rPr>
        <w:t xml:space="preserve">        </w:t>
      </w:r>
      <w:r w:rsidR="00803628" w:rsidRPr="000F5C90">
        <w:t xml:space="preserve">Nesta secção, serão utilizados dois manuais distintos de diagnóstico – o </w:t>
      </w:r>
      <w:proofErr w:type="spellStart"/>
      <w:r w:rsidR="00803628" w:rsidRPr="000F5C90">
        <w:rPr>
          <w:i/>
          <w:iCs/>
        </w:rPr>
        <w:t>Diagnostic</w:t>
      </w:r>
      <w:proofErr w:type="spellEnd"/>
      <w:r w:rsidR="00803628" w:rsidRPr="000F5C90">
        <w:rPr>
          <w:i/>
          <w:iCs/>
        </w:rPr>
        <w:t xml:space="preserve"> </w:t>
      </w:r>
      <w:proofErr w:type="spellStart"/>
      <w:r w:rsidR="00803628" w:rsidRPr="000F5C90">
        <w:rPr>
          <w:i/>
          <w:iCs/>
        </w:rPr>
        <w:t>and</w:t>
      </w:r>
      <w:proofErr w:type="spellEnd"/>
      <w:r w:rsidR="00803628" w:rsidRPr="000F5C90">
        <w:rPr>
          <w:i/>
          <w:iCs/>
        </w:rPr>
        <w:t xml:space="preserve"> </w:t>
      </w:r>
      <w:proofErr w:type="spellStart"/>
      <w:r w:rsidR="00803628" w:rsidRPr="000F5C90">
        <w:rPr>
          <w:i/>
          <w:iCs/>
        </w:rPr>
        <w:t>Statistical</w:t>
      </w:r>
      <w:proofErr w:type="spellEnd"/>
      <w:r w:rsidR="00803628" w:rsidRPr="000F5C90">
        <w:rPr>
          <w:i/>
          <w:iCs/>
        </w:rPr>
        <w:t xml:space="preserve"> Manual </w:t>
      </w:r>
      <w:proofErr w:type="spellStart"/>
      <w:r w:rsidR="00803628" w:rsidRPr="000F5C90">
        <w:rPr>
          <w:i/>
          <w:iCs/>
        </w:rPr>
        <w:t>of</w:t>
      </w:r>
      <w:proofErr w:type="spellEnd"/>
      <w:r w:rsidR="00803628" w:rsidRPr="000F5C90">
        <w:rPr>
          <w:i/>
          <w:iCs/>
        </w:rPr>
        <w:t xml:space="preserve"> Mental </w:t>
      </w:r>
      <w:proofErr w:type="spellStart"/>
      <w:r w:rsidR="00803628" w:rsidRPr="000F5C90">
        <w:rPr>
          <w:i/>
          <w:iCs/>
        </w:rPr>
        <w:t>Disorder</w:t>
      </w:r>
      <w:proofErr w:type="spellEnd"/>
      <w:r w:rsidR="00803628" w:rsidRPr="000F5C90">
        <w:rPr>
          <w:i/>
          <w:iCs/>
        </w:rPr>
        <w:t xml:space="preserve">, </w:t>
      </w:r>
      <w:proofErr w:type="spellStart"/>
      <w:r w:rsidR="00803628" w:rsidRPr="000F5C90">
        <w:rPr>
          <w:i/>
          <w:iCs/>
        </w:rPr>
        <w:t>Fifth</w:t>
      </w:r>
      <w:proofErr w:type="spellEnd"/>
      <w:r w:rsidR="00803628" w:rsidRPr="000F5C90">
        <w:rPr>
          <w:i/>
          <w:iCs/>
        </w:rPr>
        <w:t xml:space="preserve"> </w:t>
      </w:r>
      <w:proofErr w:type="spellStart"/>
      <w:r w:rsidR="00803628" w:rsidRPr="000F5C90">
        <w:rPr>
          <w:i/>
          <w:iCs/>
        </w:rPr>
        <w:t>Edition</w:t>
      </w:r>
      <w:proofErr w:type="spellEnd"/>
      <w:r w:rsidR="00803628" w:rsidRPr="000F5C90">
        <w:rPr>
          <w:i/>
          <w:iCs/>
        </w:rPr>
        <w:t xml:space="preserve"> </w:t>
      </w:r>
      <w:r w:rsidR="00803628" w:rsidRPr="000F5C90">
        <w:t xml:space="preserve">(DSM-5) e o </w:t>
      </w:r>
      <w:proofErr w:type="spellStart"/>
      <w:r w:rsidR="00803628" w:rsidRPr="000F5C90">
        <w:rPr>
          <w:i/>
          <w:iCs/>
        </w:rPr>
        <w:t>Eleventh</w:t>
      </w:r>
      <w:proofErr w:type="spellEnd"/>
      <w:r w:rsidR="00803628" w:rsidRPr="000F5C90">
        <w:rPr>
          <w:i/>
          <w:iCs/>
        </w:rPr>
        <w:t xml:space="preserve"> </w:t>
      </w:r>
      <w:proofErr w:type="spellStart"/>
      <w:r w:rsidR="00803628" w:rsidRPr="000F5C90">
        <w:rPr>
          <w:i/>
          <w:iCs/>
        </w:rPr>
        <w:t>Revision</w:t>
      </w:r>
      <w:proofErr w:type="spellEnd"/>
      <w:r w:rsidR="00803628" w:rsidRPr="000F5C90">
        <w:rPr>
          <w:i/>
          <w:iCs/>
        </w:rPr>
        <w:t xml:space="preserve"> </w:t>
      </w:r>
      <w:proofErr w:type="spellStart"/>
      <w:r w:rsidR="00803628" w:rsidRPr="000F5C90">
        <w:rPr>
          <w:i/>
          <w:iCs/>
        </w:rPr>
        <w:t>of</w:t>
      </w:r>
      <w:proofErr w:type="spellEnd"/>
      <w:r w:rsidR="00803628" w:rsidRPr="000F5C90">
        <w:rPr>
          <w:i/>
          <w:iCs/>
        </w:rPr>
        <w:t xml:space="preserve"> </w:t>
      </w:r>
      <w:proofErr w:type="spellStart"/>
      <w:r w:rsidR="00803628" w:rsidRPr="000F5C90">
        <w:rPr>
          <w:i/>
          <w:iCs/>
        </w:rPr>
        <w:t>the</w:t>
      </w:r>
      <w:proofErr w:type="spellEnd"/>
      <w:r w:rsidR="00803628" w:rsidRPr="000F5C90">
        <w:rPr>
          <w:i/>
          <w:iCs/>
        </w:rPr>
        <w:t xml:space="preserve"> </w:t>
      </w:r>
      <w:proofErr w:type="spellStart"/>
      <w:r w:rsidR="00803628" w:rsidRPr="000F5C90">
        <w:rPr>
          <w:i/>
          <w:iCs/>
        </w:rPr>
        <w:t>Internation</w:t>
      </w:r>
      <w:r w:rsidR="001142EE" w:rsidRPr="000F5C90">
        <w:rPr>
          <w:i/>
          <w:iCs/>
        </w:rPr>
        <w:t>al</w:t>
      </w:r>
      <w:proofErr w:type="spellEnd"/>
      <w:r w:rsidR="00803628" w:rsidRPr="000F5C90">
        <w:rPr>
          <w:i/>
          <w:iCs/>
        </w:rPr>
        <w:t xml:space="preserve"> </w:t>
      </w:r>
      <w:proofErr w:type="spellStart"/>
      <w:r w:rsidR="00803628" w:rsidRPr="000F5C90">
        <w:rPr>
          <w:i/>
          <w:iCs/>
        </w:rPr>
        <w:t>Classification</w:t>
      </w:r>
      <w:proofErr w:type="spellEnd"/>
      <w:r w:rsidR="00803628" w:rsidRPr="000F5C90">
        <w:rPr>
          <w:i/>
          <w:iCs/>
        </w:rPr>
        <w:t xml:space="preserve"> </w:t>
      </w:r>
      <w:proofErr w:type="spellStart"/>
      <w:r w:rsidR="00803628" w:rsidRPr="000F5C90">
        <w:rPr>
          <w:i/>
          <w:iCs/>
        </w:rPr>
        <w:t>of</w:t>
      </w:r>
      <w:proofErr w:type="spellEnd"/>
      <w:r w:rsidR="00803628" w:rsidRPr="000F5C90">
        <w:rPr>
          <w:i/>
          <w:iCs/>
        </w:rPr>
        <w:t xml:space="preserve"> </w:t>
      </w:r>
      <w:proofErr w:type="spellStart"/>
      <w:r w:rsidR="00803628" w:rsidRPr="000F5C90">
        <w:rPr>
          <w:i/>
          <w:iCs/>
        </w:rPr>
        <w:t>Diseases</w:t>
      </w:r>
      <w:proofErr w:type="spellEnd"/>
      <w:r w:rsidR="00803628" w:rsidRPr="000F5C90">
        <w:rPr>
          <w:i/>
          <w:iCs/>
        </w:rPr>
        <w:t xml:space="preserve"> </w:t>
      </w:r>
      <w:r w:rsidR="00803628" w:rsidRPr="000F5C90">
        <w:t>(ICD-11) – para especificar a sintomatologia associada</w:t>
      </w:r>
      <w:r w:rsidR="000F5C90" w:rsidRPr="000F5C90">
        <w:t xml:space="preserve"> a um episódio depressivo</w:t>
      </w:r>
      <w:r w:rsidR="00803628" w:rsidRPr="000F5C90">
        <w:t>, através de uma comparação dos critérios de diagnóstico de ambos</w:t>
      </w:r>
      <w:r w:rsidR="001142EE" w:rsidRPr="000F5C90">
        <w:t>, que pode desde já ser analisada a seguir</w:t>
      </w:r>
      <w:r w:rsidR="00803628" w:rsidRPr="000F5C90">
        <w:t xml:space="preserve">.  </w:t>
      </w:r>
    </w:p>
    <w:tbl>
      <w:tblPr>
        <w:tblStyle w:val="TableGrid"/>
        <w:tblW w:w="0" w:type="auto"/>
        <w:tblLook w:val="04A0" w:firstRow="1" w:lastRow="0" w:firstColumn="1" w:lastColumn="0" w:noHBand="0" w:noVBand="1"/>
      </w:tblPr>
      <w:tblGrid>
        <w:gridCol w:w="4247"/>
        <w:gridCol w:w="4247"/>
      </w:tblGrid>
      <w:tr w:rsidR="000F5C90" w14:paraId="298061E5" w14:textId="77777777" w:rsidTr="000F5C90">
        <w:tc>
          <w:tcPr>
            <w:tcW w:w="4247" w:type="dxa"/>
          </w:tcPr>
          <w:p w14:paraId="4A7D6B55" w14:textId="27D01CC6" w:rsidR="000F5C90" w:rsidRDefault="000F5C90" w:rsidP="000F5C90">
            <w:pPr>
              <w:jc w:val="center"/>
              <w:rPr>
                <w:sz w:val="24"/>
                <w:szCs w:val="24"/>
              </w:rPr>
            </w:pPr>
            <w:r>
              <w:rPr>
                <w:sz w:val="24"/>
                <w:szCs w:val="24"/>
              </w:rPr>
              <w:t>DSM-5</w:t>
            </w:r>
          </w:p>
        </w:tc>
        <w:tc>
          <w:tcPr>
            <w:tcW w:w="4247" w:type="dxa"/>
          </w:tcPr>
          <w:p w14:paraId="488B77D1" w14:textId="475FDD4F" w:rsidR="000F5C90" w:rsidRDefault="000F5C90" w:rsidP="000F5C90">
            <w:pPr>
              <w:jc w:val="center"/>
              <w:rPr>
                <w:sz w:val="24"/>
                <w:szCs w:val="24"/>
              </w:rPr>
            </w:pPr>
            <w:r>
              <w:rPr>
                <w:sz w:val="24"/>
                <w:szCs w:val="24"/>
              </w:rPr>
              <w:t>ICD-11</w:t>
            </w:r>
          </w:p>
        </w:tc>
      </w:tr>
      <w:tr w:rsidR="000F5C90" w14:paraId="03240041" w14:textId="77777777" w:rsidTr="000F5C90">
        <w:tc>
          <w:tcPr>
            <w:tcW w:w="4247" w:type="dxa"/>
          </w:tcPr>
          <w:p w14:paraId="3D386748" w14:textId="5D1EE705" w:rsidR="000F5C90" w:rsidRPr="000F5C90" w:rsidRDefault="00C1287D" w:rsidP="000F5C90">
            <w:pPr>
              <w:jc w:val="center"/>
            </w:pPr>
            <w:r>
              <w:t>O indivíduo deverá experienciar 5 ou mais sintomas de uma lista de 9 por, ao menos, 2 semanas, sendo que não devem ultrapassar um máximo de 2 anos sem que tenha havido um intervalo sem sintomas nesse período</w:t>
            </w:r>
          </w:p>
        </w:tc>
        <w:tc>
          <w:tcPr>
            <w:tcW w:w="4247" w:type="dxa"/>
          </w:tcPr>
          <w:p w14:paraId="37DF0DDF" w14:textId="725BBD37" w:rsidR="000F5C90" w:rsidRPr="000F5C90" w:rsidRDefault="000F5C90" w:rsidP="000F5C90">
            <w:pPr>
              <w:jc w:val="center"/>
            </w:pPr>
            <w:r>
              <w:t>Presença de pelo menos 5 sintomas de uma lista de 10 em simultâneo, devendo os mesmos oco</w:t>
            </w:r>
            <w:r>
              <w:t>rrer durante a maior parte do dia, quase todos os dias, por um período mínimo de 2 semanas</w:t>
            </w:r>
          </w:p>
        </w:tc>
      </w:tr>
      <w:tr w:rsidR="000F5C90" w14:paraId="606B9E59" w14:textId="77777777" w:rsidTr="000F5C90">
        <w:tc>
          <w:tcPr>
            <w:tcW w:w="4247" w:type="dxa"/>
          </w:tcPr>
          <w:p w14:paraId="172A61BB" w14:textId="7F5DF166" w:rsidR="000F5C90" w:rsidRPr="000F5C90" w:rsidRDefault="00C1287D" w:rsidP="000F5C90">
            <w:pPr>
              <w:jc w:val="center"/>
            </w:pPr>
            <w:r>
              <w:t>Os critérios diagnósticos devem ser suficientes para prejudicar o funcionamento psicossocial ou causar um sofrimento significativo no indivíduo</w:t>
            </w:r>
          </w:p>
        </w:tc>
        <w:tc>
          <w:tcPr>
            <w:tcW w:w="4247" w:type="dxa"/>
          </w:tcPr>
          <w:p w14:paraId="4FF40B8A" w14:textId="08841F37" w:rsidR="000F5C90" w:rsidRPr="000F5C90" w:rsidRDefault="00317144" w:rsidP="000F5C90">
            <w:pPr>
              <w:jc w:val="center"/>
            </w:pPr>
            <w:r>
              <w:t xml:space="preserve">A perturbação de humor deve resultar num prejuízo funcional significativo e não ser uma manifestação de outra condição de saúde, devido aos efeitos de uma substância ou medicamento, ou mais bem explicada pelo luto </w:t>
            </w:r>
          </w:p>
        </w:tc>
      </w:tr>
      <w:tr w:rsidR="000F5C90" w14:paraId="29F625BA" w14:textId="77777777" w:rsidTr="000F5C90">
        <w:tc>
          <w:tcPr>
            <w:tcW w:w="4247" w:type="dxa"/>
          </w:tcPr>
          <w:p w14:paraId="1BA6A7C8" w14:textId="71858812" w:rsidR="000F5C90" w:rsidRPr="000F5C90" w:rsidRDefault="00C1287D" w:rsidP="000F5C90">
            <w:pPr>
              <w:jc w:val="center"/>
            </w:pPr>
            <w:r>
              <w:t>Um dos seguintes critérios, humor depressivo na maior parte do dia ou marcada diminuição de interesse em atividades ou prazeres (anedonia), é obrigatório</w:t>
            </w:r>
          </w:p>
        </w:tc>
        <w:tc>
          <w:tcPr>
            <w:tcW w:w="4247" w:type="dxa"/>
          </w:tcPr>
          <w:p w14:paraId="637F6943" w14:textId="42ACCEA4" w:rsidR="000F5C90" w:rsidRPr="000F5C90" w:rsidRDefault="00317144" w:rsidP="000F5C90">
            <w:pPr>
              <w:jc w:val="center"/>
            </w:pPr>
            <w:r>
              <w:t>Um dos critérios, humor deprimido ou anedonia, isto é, diminuição do interesse e prazer em atividades, é obrigatório</w:t>
            </w:r>
          </w:p>
        </w:tc>
      </w:tr>
      <w:tr w:rsidR="000F5C90" w14:paraId="00A4B6C2" w14:textId="77777777" w:rsidTr="000F5C90">
        <w:tc>
          <w:tcPr>
            <w:tcW w:w="4247" w:type="dxa"/>
          </w:tcPr>
          <w:p w14:paraId="63122A1C" w14:textId="64BBA776" w:rsidR="000F5C90" w:rsidRPr="000F5C90" w:rsidRDefault="00C1287D" w:rsidP="000F5C90">
            <w:pPr>
              <w:jc w:val="center"/>
            </w:pPr>
            <w:r>
              <w:t xml:space="preserve">Os outros sintomas incluem significativa perda ou ganho de peso, insónia ou hipersónia, agitação ou lentidão psicomotora, fadiga ou perda de energia, sentimentos de menos-valia ou culpa excessiva, concentração diminuída e pensamentos recorrentes sobre a morte </w:t>
            </w:r>
            <w:r w:rsidR="00024140">
              <w:t>ou</w:t>
            </w:r>
            <w:r>
              <w:t xml:space="preserve"> suicídio</w:t>
            </w:r>
          </w:p>
        </w:tc>
        <w:tc>
          <w:tcPr>
            <w:tcW w:w="4247" w:type="dxa"/>
          </w:tcPr>
          <w:p w14:paraId="4AE65055" w14:textId="7B74E1A2" w:rsidR="000F5C90" w:rsidRPr="000F5C90" w:rsidRDefault="00317144" w:rsidP="000F5C90">
            <w:pPr>
              <w:jc w:val="center"/>
            </w:pPr>
            <w:r>
              <w:t>Os outros sintomas consistem na capacidade reduzida de concentração e em manter a atenção ou indecisão acentuada, crenças de baixa autoestima ou culpa excessiva ou inadequada, desesperança em relação ao futuro, pensamentos recorrentes de morte ou ideação suicida, sono significativamente interrompido ou excessivo, alterações significativas no apetite ou peso, agitação ou retardo psicomotor e redução de energia ou fadiga</w:t>
            </w:r>
          </w:p>
        </w:tc>
      </w:tr>
    </w:tbl>
    <w:p w14:paraId="766F3609" w14:textId="4BC8E018" w:rsidR="001142EE" w:rsidRPr="001C05DB" w:rsidRDefault="00E21752" w:rsidP="00604257">
      <w:pPr>
        <w:jc w:val="both"/>
        <w:rPr>
          <w:sz w:val="24"/>
          <w:szCs w:val="24"/>
          <w:lang w:val="en-US"/>
        </w:rPr>
      </w:pPr>
      <w:r>
        <w:rPr>
          <w:sz w:val="24"/>
          <w:szCs w:val="24"/>
        </w:rPr>
        <w:t xml:space="preserve">Tab.1 – Comparação dos critérios de diagnóstico para um episódio depressivo maior, de acordo com o DSM-5 e o ICD-11 </w:t>
      </w:r>
      <w:r w:rsidR="00B26600">
        <w:rPr>
          <w:sz w:val="24"/>
          <w:szCs w:val="24"/>
        </w:rPr>
        <w:fldChar w:fldCharType="begin" w:fldLock="1"/>
      </w:r>
      <w:r w:rsidR="007F4344">
        <w:rPr>
          <w:sz w:val="24"/>
          <w:szCs w:val="24"/>
        </w:rPr>
        <w:instrText>ADDIN CSL_CITATION {"citationItems":[{"id":"ITEM-1","itemData":{"author":[{"dropping-particle":"","family":"Nussbaum","given":"Abraham","non-dropping-particle":"","parse-names":false,"suffix":""}],"id":"ITEM-1","issued":{"date-parts":[["2013"]]},"title":"Guia de Bolso do DSM-5 - Exame de Diagnóstico","type":"book"},"uris":["http://www.mendeley.com/documents/?uuid=437f3a2a-68fb-4912-99b5-9b50bfa42db7"]},{"id":"ITEM-2","itemData":{"author":[{"dropping-particle":"","family":"Dalgalarrondo","given":"Paulo","non-dropping-particle":"","parse-names":false,"suffix":""}],"id":"ITEM-2","issued":{"date-parts":[["2018"]]},"title":"Psicopatologia e Semiologia dos Transtornos Mentais","type":"book"},"uris":["http://www.mendeley.com/documents/?uuid=79a487da-f856-4b84-8a51-852154702f66"]},{"id":"ITEM-3","itemData":{"author":[{"dropping-particle":"","family":"World Health Organization","given":"","non-dropping-particle":"","parse-names":false,"suffix":""}],"id":"ITEM-3","issued":{"date-parts":[["2018"]]},"title":"Eleventh Revision of the International Classification of Diseases","type":"book"},"uris":["http://www.mendeley.com/documents/?uuid=8a79a0a7-536a-4f57-8a53-3c577cecaba2"]},{"id":"ITEM-4","itemData":{"DOI":"10.1186/S12916-020-1495-2/FIGURES/17","ISSN":"17417015","PMID":"31983345","abstract":"An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Medicine","id":"ITEM-4","issue":"1","issued":{"date-parts":[["2020","1","27"]]},"page":"1-24","publisher":"BioMed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id":"ITEM-5","itemData":{"author":[{"dropping-particle":"","family":"Abreu","given":"J","non-dropping-particle":"","parse-names":false,"suffix":""}],"id":"ITEM-5","issued":{"date-parts":[["2006"]]},"number-of-pages":"102","title":"Como Tornar-se Doente Mental","type":"book"},"uris":["http://www.mendeley.com/documents/?uuid=5d489134-4e5d-35af-9ff4-387a21c6a024"]},{"id":"ITEM-6","itemData":{"author":[{"dropping-particle":"","family":"Saraiva","given":"Carlos","non-dropping-particle":"","parse-names":false,"suffix":""},{"dropping-particle":"","family":"Cerejeira","given":"Joaquim","non-dropping-particle":"","parse-names":false,"suffix":""}],"id":"ITEM-6","issued":{"date-parts":[["2014"]]},"number-of-pages":"205-206","title":"Psiquiatria Fundamental","type":"book"},"uris":["http://www.mendeley.com/documents/?uuid=2bb771a0-4610-3353-9bd2-a499783d4a47"]}],"mendeley":{"formattedCitation":"(Abreu, 2006; Dalgalarrondo, 2018; Nussbaum, 2013; Saraiva &amp; Cerejeira, 2014; Stein et al., 2020; World Health Organization, 2018)","plainTextFormattedCitation":"(Abreu, 2006; Dalgalarrondo, 2018; Nussbaum, 2013; Saraiva &amp; Cerejeira, 2014; Stein et al., 2020; World Health Organization, 2018)","previouslyFormattedCitation":"(Abreu, 2006; Dalgalarrondo, 2018; Nussbaum, 2013; Saraiva &amp; Cerejeira, 2014; Stein et al., 2020; World Health Organization, 2018)"},"properties":{"noteIndex":0},"schema":"https://github.com/citation-style-language/schema/raw/master/csl-citation.json"}</w:instrText>
      </w:r>
      <w:r w:rsidR="00B26600">
        <w:rPr>
          <w:sz w:val="24"/>
          <w:szCs w:val="24"/>
        </w:rPr>
        <w:fldChar w:fldCharType="separate"/>
      </w:r>
      <w:r w:rsidR="001C05DB" w:rsidRPr="001C05DB">
        <w:rPr>
          <w:noProof/>
          <w:sz w:val="24"/>
          <w:szCs w:val="24"/>
          <w:lang w:val="en-US"/>
        </w:rPr>
        <w:t>(Abreu, 2006; Dalgalarrondo, 2018; Nussbaum, 2013; Saraiva &amp; Cerejeira, 2014; Stein et al., 2020; World Health Organization, 2018)</w:t>
      </w:r>
      <w:r w:rsidR="00B26600">
        <w:rPr>
          <w:sz w:val="24"/>
          <w:szCs w:val="24"/>
        </w:rPr>
        <w:fldChar w:fldCharType="end"/>
      </w:r>
      <w:r w:rsidR="00B26600" w:rsidRPr="001C05DB">
        <w:rPr>
          <w:sz w:val="24"/>
          <w:szCs w:val="24"/>
          <w:lang w:val="en-US"/>
        </w:rPr>
        <w:t>.</w:t>
      </w:r>
    </w:p>
    <w:p w14:paraId="0D6EB6AF" w14:textId="77777777" w:rsidR="007F4344" w:rsidRDefault="007F4344" w:rsidP="00604257">
      <w:pPr>
        <w:jc w:val="both"/>
        <w:rPr>
          <w:sz w:val="24"/>
          <w:szCs w:val="24"/>
        </w:rPr>
      </w:pPr>
    </w:p>
    <w:p w14:paraId="52D0F634" w14:textId="1595F4E5" w:rsidR="007F4344" w:rsidRDefault="007F4344" w:rsidP="00604257">
      <w:pPr>
        <w:jc w:val="both"/>
        <w:rPr>
          <w:sz w:val="24"/>
          <w:szCs w:val="24"/>
        </w:rPr>
      </w:pPr>
      <w:r>
        <w:rPr>
          <w:sz w:val="24"/>
          <w:szCs w:val="24"/>
        </w:rPr>
        <w:tab/>
        <w:t xml:space="preserve">Através da observação da tabela acima, é possível aperceber-se da similitude dos critérios de diagnóstico – contudo, existem duas grandes diferenças: o ICD-11 não limita um período máximo, contrariamente ao DSM-5, e inclui um sintoma que não consta deste último – a desesperança relativamente ao futuro – uma vez que apresentou desempenho mais forte do que aproximadamente metade dos sintomas do DSM-5 na diferenciação de indivíduos depressivos de não-depressivos </w:t>
      </w:r>
      <w:r>
        <w:rPr>
          <w:sz w:val="24"/>
          <w:szCs w:val="24"/>
        </w:rPr>
        <w:fldChar w:fldCharType="begin" w:fldLock="1"/>
      </w:r>
      <w:r w:rsidR="004B63BE">
        <w:rPr>
          <w:sz w:val="24"/>
          <w:szCs w:val="24"/>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Pr>
          <w:sz w:val="24"/>
          <w:szCs w:val="24"/>
        </w:rPr>
        <w:fldChar w:fldCharType="separate"/>
      </w:r>
      <w:r w:rsidRPr="007F4344">
        <w:rPr>
          <w:noProof/>
          <w:sz w:val="24"/>
          <w:szCs w:val="24"/>
        </w:rPr>
        <w:t>(Stein et al., 2020)</w:t>
      </w:r>
      <w:r>
        <w:rPr>
          <w:sz w:val="24"/>
          <w:szCs w:val="24"/>
        </w:rPr>
        <w:fldChar w:fldCharType="end"/>
      </w:r>
      <w:r>
        <w:rPr>
          <w:sz w:val="24"/>
          <w:szCs w:val="24"/>
        </w:rPr>
        <w:t>.</w:t>
      </w:r>
    </w:p>
    <w:p w14:paraId="143E89C5" w14:textId="6110E0AD" w:rsidR="007F4344" w:rsidRDefault="007F4344" w:rsidP="00604257">
      <w:pPr>
        <w:jc w:val="both"/>
        <w:rPr>
          <w:sz w:val="24"/>
          <w:szCs w:val="24"/>
        </w:rPr>
      </w:pPr>
      <w:r>
        <w:rPr>
          <w:sz w:val="24"/>
          <w:szCs w:val="24"/>
        </w:rPr>
        <w:tab/>
        <w:t xml:space="preserve">Outra grande discrepância entre os dois manuais </w:t>
      </w:r>
      <w:r w:rsidRPr="007F4344">
        <w:rPr>
          <w:sz w:val="24"/>
          <w:szCs w:val="24"/>
        </w:rPr>
        <w:t>diz respeito à chamada “exclusão do luto” – presente no DSM-IV</w:t>
      </w:r>
      <w:r>
        <w:rPr>
          <w:sz w:val="24"/>
          <w:szCs w:val="24"/>
        </w:rPr>
        <w:t xml:space="preserve"> e ICD-11</w:t>
      </w:r>
      <w:r w:rsidRPr="007F4344">
        <w:rPr>
          <w:sz w:val="24"/>
          <w:szCs w:val="24"/>
        </w:rPr>
        <w:t xml:space="preserve">, mas eliminada no DSM-5. </w:t>
      </w:r>
      <w:r>
        <w:rPr>
          <w:sz w:val="24"/>
          <w:szCs w:val="24"/>
        </w:rPr>
        <w:t>NO ICD</w:t>
      </w:r>
      <w:r w:rsidRPr="007F4344">
        <w:rPr>
          <w:sz w:val="24"/>
          <w:szCs w:val="24"/>
        </w:rPr>
        <w:t>-</w:t>
      </w:r>
      <w:r w:rsidRPr="007F4344">
        <w:rPr>
          <w:sz w:val="24"/>
          <w:szCs w:val="24"/>
        </w:rPr>
        <w:lastRenderedPageBreak/>
        <w:t>11, tal como no DSM-IV, o diagnóstico de depressão não é excluído numa pessoa enlutada, mas o limiar para esse diagnóstico é apenas aumentado</w:t>
      </w:r>
      <w:r>
        <w:rPr>
          <w:sz w:val="24"/>
          <w:szCs w:val="24"/>
        </w:rPr>
        <w:t xml:space="preserve">, </w:t>
      </w:r>
      <w:r w:rsidRPr="007F4344">
        <w:rPr>
          <w:sz w:val="24"/>
          <w:szCs w:val="24"/>
        </w:rPr>
        <w:t>ao exigir</w:t>
      </w:r>
      <w:r>
        <w:rPr>
          <w:sz w:val="24"/>
          <w:szCs w:val="24"/>
        </w:rPr>
        <w:t>-se</w:t>
      </w:r>
      <w:r w:rsidRPr="007F4344">
        <w:rPr>
          <w:sz w:val="24"/>
          <w:szCs w:val="24"/>
        </w:rPr>
        <w:t xml:space="preserve"> uma duração mais longa</w:t>
      </w:r>
      <w:r>
        <w:rPr>
          <w:sz w:val="24"/>
          <w:szCs w:val="24"/>
        </w:rPr>
        <w:t xml:space="preserve"> </w:t>
      </w:r>
      <w:r w:rsidRPr="007F4344">
        <w:rPr>
          <w:sz w:val="24"/>
          <w:szCs w:val="24"/>
        </w:rPr>
        <w:t xml:space="preserve">do estado depressivo </w:t>
      </w:r>
      <w:r>
        <w:rPr>
          <w:sz w:val="24"/>
          <w:szCs w:val="24"/>
        </w:rPr>
        <w:t xml:space="preserve">de </w:t>
      </w:r>
      <w:r w:rsidRPr="007F4344">
        <w:rPr>
          <w:sz w:val="24"/>
          <w:szCs w:val="24"/>
        </w:rPr>
        <w:t xml:space="preserve">pelo menos 1 mês </w:t>
      </w:r>
      <w:r w:rsidR="00ED6CC0">
        <w:rPr>
          <w:sz w:val="24"/>
          <w:szCs w:val="24"/>
        </w:rPr>
        <w:t xml:space="preserve">(ao contrário de 2 semanas) </w:t>
      </w:r>
      <w:r w:rsidRPr="007F4344">
        <w:rPr>
          <w:sz w:val="24"/>
          <w:szCs w:val="24"/>
        </w:rPr>
        <w:t>e a presença de alguns sintomas que são improváveis de ocorrer no luto “normal”</w:t>
      </w:r>
      <w:r w:rsidR="004B63BE">
        <w:rPr>
          <w:sz w:val="24"/>
          <w:szCs w:val="24"/>
        </w:rPr>
        <w:t xml:space="preserve">: entre eles, </w:t>
      </w:r>
      <w:r w:rsidRPr="007F4344">
        <w:rPr>
          <w:sz w:val="24"/>
          <w:szCs w:val="24"/>
        </w:rPr>
        <w:t xml:space="preserve">crenças extremas de baixa autoestima e culpa não relacionada ao ente querido perdido, presença de sintomas psicóticos, </w:t>
      </w:r>
      <w:r w:rsidR="004B63BE">
        <w:rPr>
          <w:sz w:val="24"/>
          <w:szCs w:val="24"/>
        </w:rPr>
        <w:t>ideação suicida e</w:t>
      </w:r>
      <w:r w:rsidRPr="007F4344">
        <w:rPr>
          <w:sz w:val="24"/>
          <w:szCs w:val="24"/>
        </w:rPr>
        <w:t xml:space="preserve"> retardo psicomotor.</w:t>
      </w:r>
      <w:r w:rsidR="000E4556">
        <w:rPr>
          <w:sz w:val="24"/>
          <w:szCs w:val="24"/>
        </w:rPr>
        <w:t xml:space="preserve"> Em contrapartida, no DSM-5 a deliberação em saber-se se uma resposta a uma perda significativa se qualifica ou não para um diagnóstico de perturbação depressiva maior é imprecisa e subjetiva, deixando-se ao critério de “julgamento clínico” </w:t>
      </w:r>
      <w:r w:rsidR="000E4556">
        <w:rPr>
          <w:sz w:val="24"/>
          <w:szCs w:val="24"/>
        </w:rPr>
        <w:fldChar w:fldCharType="begin" w:fldLock="1"/>
      </w:r>
      <w:r w:rsidR="000E4556">
        <w:rPr>
          <w:sz w:val="24"/>
          <w:szCs w:val="24"/>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2020)"},"properties":{"noteIndex":0},"schema":"https://github.com/citation-style-language/schema/raw/master/csl-citation.json"}</w:instrText>
      </w:r>
      <w:r w:rsidR="000E4556">
        <w:rPr>
          <w:sz w:val="24"/>
          <w:szCs w:val="24"/>
        </w:rPr>
        <w:fldChar w:fldCharType="separate"/>
      </w:r>
      <w:r w:rsidR="000E4556" w:rsidRPr="000E4556">
        <w:rPr>
          <w:noProof/>
          <w:sz w:val="24"/>
          <w:szCs w:val="24"/>
        </w:rPr>
        <w:t>(Stein et al., 2020)</w:t>
      </w:r>
      <w:r w:rsidR="000E4556">
        <w:rPr>
          <w:sz w:val="24"/>
          <w:szCs w:val="24"/>
        </w:rPr>
        <w:fldChar w:fldCharType="end"/>
      </w:r>
      <w:r w:rsidR="000E4556">
        <w:rPr>
          <w:sz w:val="24"/>
          <w:szCs w:val="24"/>
        </w:rPr>
        <w:t>.</w:t>
      </w:r>
    </w:p>
    <w:p w14:paraId="296FCAD6" w14:textId="77777777" w:rsidR="000D6455" w:rsidRDefault="000D6455" w:rsidP="002350D2">
      <w:pPr>
        <w:contextualSpacing/>
        <w:jc w:val="both"/>
        <w:rPr>
          <w:sz w:val="24"/>
          <w:szCs w:val="24"/>
        </w:rPr>
      </w:pPr>
    </w:p>
    <w:p w14:paraId="540E418B" w14:textId="77777777" w:rsidR="00534849" w:rsidRDefault="00534849" w:rsidP="002350D2">
      <w:pPr>
        <w:contextualSpacing/>
        <w:jc w:val="both"/>
        <w:rPr>
          <w:sz w:val="24"/>
          <w:szCs w:val="24"/>
        </w:rPr>
      </w:pPr>
    </w:p>
    <w:p w14:paraId="7A21565E" w14:textId="77777777" w:rsidR="00534849" w:rsidRPr="00972BBB" w:rsidRDefault="00534849" w:rsidP="002350D2">
      <w:pPr>
        <w:contextualSpacing/>
        <w:jc w:val="both"/>
        <w:rPr>
          <w:sz w:val="24"/>
          <w:szCs w:val="24"/>
        </w:rPr>
      </w:pPr>
    </w:p>
    <w:p w14:paraId="6069689F" w14:textId="44FB7EB8" w:rsidR="00604257" w:rsidRPr="00972BBB" w:rsidRDefault="00604257" w:rsidP="00255155">
      <w:bookmarkStart w:id="5" w:name="_Toc125633738"/>
      <w:r w:rsidRPr="00972BBB">
        <w:t>Discussão</w:t>
      </w:r>
      <w:bookmarkEnd w:id="5"/>
    </w:p>
    <w:p w14:paraId="46DF936C" w14:textId="77777777" w:rsidR="00604257" w:rsidRPr="00972BBB" w:rsidRDefault="00604257" w:rsidP="00604257">
      <w:pPr>
        <w:jc w:val="both"/>
        <w:rPr>
          <w:sz w:val="24"/>
          <w:szCs w:val="24"/>
        </w:rPr>
      </w:pPr>
      <w:r w:rsidRPr="00972BBB">
        <w:rPr>
          <w:sz w:val="24"/>
          <w:szCs w:val="24"/>
        </w:rPr>
        <w:t xml:space="preserve">        </w:t>
      </w:r>
    </w:p>
    <w:p w14:paraId="0A277326" w14:textId="77777777" w:rsidR="00604257" w:rsidRPr="00972BBB" w:rsidRDefault="00604257" w:rsidP="00604257">
      <w:pPr>
        <w:jc w:val="both"/>
        <w:rPr>
          <w:sz w:val="24"/>
          <w:szCs w:val="24"/>
        </w:rPr>
      </w:pPr>
      <w:r w:rsidRPr="00972BBB">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972BBB" w:rsidRDefault="00604257" w:rsidP="00604257">
      <w:pPr>
        <w:jc w:val="both"/>
        <w:rPr>
          <w:sz w:val="24"/>
          <w:szCs w:val="24"/>
        </w:rPr>
      </w:pPr>
      <w:r w:rsidRPr="00972BBB">
        <w:rPr>
          <w:sz w:val="24"/>
          <w:szCs w:val="24"/>
        </w:rPr>
        <w:t xml:space="preserve">        Também relativo ao tópico da depressão, a intenção era de elaborar com maior detalhe a sua componente neurobiológica, particularmente o ciclo do </w:t>
      </w:r>
      <w:r w:rsidRPr="00972BBB">
        <w:rPr>
          <w:i/>
          <w:iCs/>
          <w:sz w:val="24"/>
          <w:szCs w:val="24"/>
        </w:rPr>
        <w:t>stress</w:t>
      </w:r>
      <w:r w:rsidRPr="00972BBB">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4B62" w14:textId="77777777" w:rsidR="005074A7" w:rsidRPr="00972BBB" w:rsidRDefault="005074A7" w:rsidP="00201762">
      <w:pPr>
        <w:spacing w:after="0" w:line="240" w:lineRule="auto"/>
      </w:pPr>
      <w:r w:rsidRPr="00972BBB">
        <w:separator/>
      </w:r>
    </w:p>
  </w:endnote>
  <w:endnote w:type="continuationSeparator" w:id="0">
    <w:p w14:paraId="0AD57830" w14:textId="77777777" w:rsidR="005074A7" w:rsidRPr="00972BBB" w:rsidRDefault="005074A7" w:rsidP="00201762">
      <w:pPr>
        <w:spacing w:after="0" w:line="240" w:lineRule="auto"/>
      </w:pPr>
      <w:r w:rsidRPr="00972B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9DB3" w14:textId="77777777" w:rsidR="005074A7" w:rsidRPr="00972BBB" w:rsidRDefault="005074A7" w:rsidP="00201762">
      <w:pPr>
        <w:spacing w:after="0" w:line="240" w:lineRule="auto"/>
      </w:pPr>
      <w:r w:rsidRPr="00972BBB">
        <w:separator/>
      </w:r>
    </w:p>
  </w:footnote>
  <w:footnote w:type="continuationSeparator" w:id="0">
    <w:p w14:paraId="1015BD89" w14:textId="77777777" w:rsidR="005074A7" w:rsidRPr="00972BBB" w:rsidRDefault="005074A7" w:rsidP="00201762">
      <w:pPr>
        <w:spacing w:after="0" w:line="240" w:lineRule="auto"/>
      </w:pPr>
      <w:r w:rsidRPr="00972BBB">
        <w:continuationSeparator/>
      </w:r>
    </w:p>
  </w:footnote>
  <w:footnote w:id="1">
    <w:p w14:paraId="645F5370" w14:textId="6B354D85" w:rsidR="00201762" w:rsidRPr="00972BBB" w:rsidRDefault="00201762">
      <w:pPr>
        <w:pStyle w:val="FootnoteText"/>
      </w:pPr>
      <w:r w:rsidRPr="00972BBB">
        <w:rPr>
          <w:rStyle w:val="FootnoteReference"/>
        </w:rPr>
        <w:footnoteRef/>
      </w:r>
      <w:r w:rsidRPr="00972BBB">
        <w:t xml:space="preserve"> A homeostasia refere-se à capacidade do organismo de permanecer em equilíbrio e reagir, mesmo que ocorram mudanças radicais no meio externo </w:t>
      </w:r>
      <w:r w:rsidRPr="00972BBB">
        <w:fldChar w:fldCharType="begin" w:fldLock="1"/>
      </w:r>
      <w:r w:rsidR="00A57BFD" w:rsidRPr="00972BBB">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sidRPr="00972BBB">
        <w:fldChar w:fldCharType="separate"/>
      </w:r>
      <w:r w:rsidRPr="00972BBB">
        <w:rPr>
          <w:noProof/>
        </w:rPr>
        <w:t>(Libretti &amp; Puckett, 2023)</w:t>
      </w:r>
      <w:r w:rsidRPr="00972BBB">
        <w:fldChar w:fldCharType="end"/>
      </w:r>
      <w:r w:rsidRPr="00972BBB">
        <w:t>.</w:t>
      </w:r>
    </w:p>
  </w:footnote>
  <w:footnote w:id="2">
    <w:p w14:paraId="4283DFB2" w14:textId="29CB1956" w:rsidR="00E05CB5" w:rsidRPr="00972BBB" w:rsidRDefault="00E05CB5">
      <w:pPr>
        <w:pStyle w:val="FootnoteText"/>
      </w:pPr>
      <w:r w:rsidRPr="00972BBB">
        <w:rPr>
          <w:rStyle w:val="FootnoteReference"/>
        </w:rPr>
        <w:footnoteRef/>
      </w:r>
      <w:r w:rsidRPr="00972BBB">
        <w:t xml:space="preserve"> </w:t>
      </w:r>
      <w:r w:rsidRPr="00972BBB">
        <w:t>O humor é um sentimento generalizado e sustentado</w:t>
      </w:r>
      <w:r w:rsidRPr="00972BBB">
        <w:t xml:space="preserve"> </w:t>
      </w:r>
      <w:r w:rsidRPr="00972BBB">
        <w:t>que é vivenciado internamente e que influencia o comportamento e perceção do mundo de um sujeito</w:t>
      </w:r>
      <w:r w:rsidRPr="00972BBB">
        <w:t>, podendo</w:t>
      </w:r>
      <w:r w:rsidRPr="00972BBB">
        <w:t xml:space="preserve"> ser eutímico, ou seja, normal, elevado ou deprimido</w:t>
      </w:r>
      <w:r w:rsidRPr="00972BBB">
        <w:t xml:space="preserve"> </w:t>
      </w:r>
      <w:r w:rsidRPr="00972BBB">
        <w:fldChar w:fldCharType="begin" w:fldLock="1"/>
      </w:r>
      <w:r w:rsidR="0042009D" w:rsidRPr="00972BBB">
        <w:instrText>ADDIN CSL_CITATION {"citationItems":[{"id":"ITEM-1","itemData":{"author":[{"dropping-particle":"","family":"Saraiva","given":"Carlos","non-dropping-particle":"","parse-names":false,"suffix":""},{"dropping-particle":"","family":"Cerejeira","given":"Joaquim","non-dropping-particle":"","parse-names":false,"suffix":""}],"id":"ITEM-1","issued":{"date-parts":[["2014"]]},"number-of-pages":"205-206","title":"Psiquiatria Fundamental","type":"book"},"uris":["http://www.mendeley.com/documents/?uuid=2bb771a0-4610-3353-9bd2-a499783d4a47"]}],"mendeley":{"formattedCitation":"(Saraiva &amp; Cerejeira, 2014)","plainTextFormattedCitation":"(Saraiva &amp; Cerejeira, 2014)","previouslyFormattedCitation":"(Saraiva &amp; Cerejeira, 2014)"},"properties":{"noteIndex":0},"schema":"https://github.com/citation-style-language/schema/raw/master/csl-citation.json"}</w:instrText>
      </w:r>
      <w:r w:rsidRPr="00972BBB">
        <w:fldChar w:fldCharType="separate"/>
      </w:r>
      <w:r w:rsidRPr="00972BBB">
        <w:rPr>
          <w:noProof/>
        </w:rPr>
        <w:t>(Saraiva &amp; Cerejeira, 2014)</w:t>
      </w:r>
      <w:r w:rsidRPr="00972BBB">
        <w:fldChar w:fldCharType="end"/>
      </w:r>
      <w:r w:rsidRPr="00972BBB">
        <w:t>.</w:t>
      </w:r>
    </w:p>
  </w:footnote>
  <w:footnote w:id="3">
    <w:p w14:paraId="523D5BE3" w14:textId="135167D4" w:rsidR="00972BBB" w:rsidRPr="00972BBB" w:rsidRDefault="00972BBB">
      <w:pPr>
        <w:pStyle w:val="FootnoteText"/>
        <w:rPr>
          <w:lang w:val="pt-BR"/>
        </w:rPr>
      </w:pPr>
      <w:r w:rsidRPr="00972BBB">
        <w:rPr>
          <w:rStyle w:val="FootnoteReference"/>
        </w:rPr>
        <w:footnoteRef/>
      </w:r>
      <w:r w:rsidRPr="00972BBB">
        <w:t xml:space="preserve"> De</w:t>
      </w:r>
      <w:r>
        <w:t xml:space="preserve">signa-se por prevalência a proporção de uma da dada população que possui uma dada característica (como, por exemplo, sofrer de uma doença em concreto), num dado intervalo de tempo </w:t>
      </w:r>
      <w:r>
        <w:fldChar w:fldCharType="begin" w:fldLock="1"/>
      </w:r>
      <w:r w:rsidR="00B26600">
        <w:instrText>ADDIN CSL_CITATION {"citationItems":[{"id":"ITEM-1","itemData":{"URL":"https://www.nimh.nih.gov/health/statistics/what-is-prevalence","accessed":{"date-parts":[["2023","10","3"]]},"author":[{"dropping-particle":"","family":"National Institute of Mental Health","given":"","non-dropping-particle":"","parse-names":false,"suffix":""}],"id":"ITEM-1","issued":{"date-parts":[["0"]]},"title":"What is Prevalence?","type":"webpage"},"uris":["http://www.mendeley.com/documents/?uuid=09eb463b-98cf-38a4-912d-1f8213e0592b"]}],"mendeley":{"formattedCitation":"(National Institute of Mental Health, n.d.)","plainTextFormattedCitation":"(National Institute of Mental Health, n.d.)","previouslyFormattedCitation":"(National Institute of Mental Health, n.d.)"},"properties":{"noteIndex":0},"schema":"https://github.com/citation-style-language/schema/raw/master/csl-citation.json"}</w:instrText>
      </w:r>
      <w:r>
        <w:fldChar w:fldCharType="separate"/>
      </w:r>
      <w:r w:rsidRPr="00972BBB">
        <w:rPr>
          <w:noProof/>
        </w:rPr>
        <w:t>(National Institute of Mental Health, n.d.)</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24140"/>
    <w:rsid w:val="000D6455"/>
    <w:rsid w:val="000E4556"/>
    <w:rsid w:val="000F5C90"/>
    <w:rsid w:val="001142EE"/>
    <w:rsid w:val="001C05DB"/>
    <w:rsid w:val="001C2EEB"/>
    <w:rsid w:val="001E5AAD"/>
    <w:rsid w:val="001F69C0"/>
    <w:rsid w:val="00201762"/>
    <w:rsid w:val="002350D2"/>
    <w:rsid w:val="00245C25"/>
    <w:rsid w:val="00255155"/>
    <w:rsid w:val="00260607"/>
    <w:rsid w:val="002D7C81"/>
    <w:rsid w:val="002E6E1C"/>
    <w:rsid w:val="002F31BE"/>
    <w:rsid w:val="00317144"/>
    <w:rsid w:val="00330B87"/>
    <w:rsid w:val="003377C7"/>
    <w:rsid w:val="003D44B3"/>
    <w:rsid w:val="003E4B4E"/>
    <w:rsid w:val="00411661"/>
    <w:rsid w:val="004149DC"/>
    <w:rsid w:val="0042009D"/>
    <w:rsid w:val="004B63BE"/>
    <w:rsid w:val="005074A7"/>
    <w:rsid w:val="00517957"/>
    <w:rsid w:val="00534849"/>
    <w:rsid w:val="005E13F6"/>
    <w:rsid w:val="00604257"/>
    <w:rsid w:val="00616919"/>
    <w:rsid w:val="006916F7"/>
    <w:rsid w:val="006B6931"/>
    <w:rsid w:val="00716CA1"/>
    <w:rsid w:val="00724C95"/>
    <w:rsid w:val="007713DE"/>
    <w:rsid w:val="007D2862"/>
    <w:rsid w:val="007E0A64"/>
    <w:rsid w:val="007F4344"/>
    <w:rsid w:val="00803628"/>
    <w:rsid w:val="00827B52"/>
    <w:rsid w:val="00833FAD"/>
    <w:rsid w:val="008E17AB"/>
    <w:rsid w:val="00972BBB"/>
    <w:rsid w:val="009B0524"/>
    <w:rsid w:val="009D198F"/>
    <w:rsid w:val="009D2739"/>
    <w:rsid w:val="00A256F0"/>
    <w:rsid w:val="00A4074F"/>
    <w:rsid w:val="00A57BFD"/>
    <w:rsid w:val="00A82178"/>
    <w:rsid w:val="00AB768F"/>
    <w:rsid w:val="00B254A5"/>
    <w:rsid w:val="00B26600"/>
    <w:rsid w:val="00B5031E"/>
    <w:rsid w:val="00B933BE"/>
    <w:rsid w:val="00BA1C85"/>
    <w:rsid w:val="00C075EA"/>
    <w:rsid w:val="00C1287D"/>
    <w:rsid w:val="00C42BED"/>
    <w:rsid w:val="00C53728"/>
    <w:rsid w:val="00D3705F"/>
    <w:rsid w:val="00D8543C"/>
    <w:rsid w:val="00E05CB5"/>
    <w:rsid w:val="00E149D7"/>
    <w:rsid w:val="00E21752"/>
    <w:rsid w:val="00E50F13"/>
    <w:rsid w:val="00ED6CC0"/>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C441E3"/>
    <w:rsid w:val="00D36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6</Pages>
  <Words>10214</Words>
  <Characters>51994</Characters>
  <Application>Microsoft Office Word</Application>
  <DocSecurity>0</DocSecurity>
  <Lines>812</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76</cp:revision>
  <dcterms:created xsi:type="dcterms:W3CDTF">2023-10-01T16:58:00Z</dcterms:created>
  <dcterms:modified xsi:type="dcterms:W3CDTF">2023-10-03T14:37:00Z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